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rPr/>
      </w:pPr>
      <w:r>
        <w:rPr/>
      </w:r>
    </w:p>
    <w:p>
      <w:pPr>
        <w:pStyle w:val="TextBody"/>
        <w:spacing w:before="0" w:after="0"/>
        <w:jc w:val="center"/>
        <w:rPr>
          <w:rFonts w:ascii="Times New Roman" w:hAnsi="Times New Roman"/>
          <w:b/>
          <w:sz w:val="28"/>
        </w:rPr>
      </w:pPr>
      <w:r>
        <w:rPr>
          <w:rFonts w:ascii="Times New Roman" w:hAnsi="Times New Roman"/>
          <w:b/>
          <w:sz w:val="28"/>
        </w:rPr>
        <w:t xml:space="preserve">UNITED STATES </w:t>
      </w: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spacing w:before="0" w:after="0"/>
        <w:rPr/>
      </w:pPr>
      <w:r>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April 26, 2023</w:t>
      </w:r>
    </w:p>
    <w:p>
      <w:pPr>
        <w:pStyle w:val="TextBody"/>
        <w:spacing w:before="0" w:after="0"/>
        <w:rPr/>
      </w:pPr>
      <w:r>
        <w:rPr/>
        <w:t> </w:t>
      </w:r>
    </w:p>
    <w:p>
      <w:pPr>
        <w:pStyle w:val="TextBody"/>
        <w:spacing w:before="0" w:after="0"/>
        <w:jc w:val="center"/>
        <w:rPr>
          <w:rFonts w:ascii="Times New Roman" w:hAnsi="Times New Roman"/>
          <w:b/>
          <w:color w:val="000000"/>
          <w:sz w:val="48"/>
        </w:rPr>
      </w:pPr>
      <w:r>
        <w:rPr>
          <w:rFonts w:ascii="Times New Roman" w:hAnsi="Times New Roman"/>
          <w:b/>
          <w:color w:val="000000"/>
          <w:sz w:val="48"/>
        </w:rPr>
        <w:t>ACM Research, Inc.</w:t>
      </w:r>
    </w:p>
    <w:p>
      <w:pPr>
        <w:pStyle w:val="TextBody"/>
        <w:spacing w:before="0" w:after="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spacing w:before="0" w:after="0"/>
        <w:rPr/>
      </w:pPr>
      <w:r>
        <w:rPr/>
        <w:t> </w:t>
      </w:r>
    </w:p>
    <w:tbl>
      <w:tblPr>
        <w:tblW w:w="8685" w:type="dxa"/>
        <w:jc w:val="left"/>
        <w:tblInd w:w="0" w:type="dxa"/>
        <w:tblCellMar>
          <w:top w:w="0" w:type="dxa"/>
          <w:left w:w="0" w:type="dxa"/>
          <w:bottom w:w="0" w:type="dxa"/>
          <w:right w:w="0" w:type="dxa"/>
        </w:tblCellMar>
      </w:tblPr>
      <w:tblGrid>
        <w:gridCol w:w="3740"/>
        <w:gridCol w:w="2195"/>
        <w:gridCol w:w="2750"/>
      </w:tblGrid>
      <w:tr>
        <w:trPr/>
        <w:tc>
          <w:tcPr>
            <w:tcW w:w="374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shd w:fill="FFFFFF" w:val="clear"/>
            <w:vAlign w:val="center"/>
          </w:tcPr>
          <w:p>
            <w:pPr>
              <w:pStyle w:val="TableContents"/>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001-38273</w:t>
            </w:r>
          </w:p>
        </w:tc>
        <w:tc>
          <w:tcPr>
            <w:tcW w:w="275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shd w:fill="auto" w:val="clear"/>
            <w:vAlign w:val="center"/>
          </w:tcPr>
          <w:p>
            <w:pPr>
              <w:pStyle w:val="TableContents"/>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shd w:fill="auto" w:val="clear"/>
            <w:vAlign w:val="center"/>
          </w:tcPr>
          <w:p>
            <w:pPr>
              <w:pStyle w:val="TableContents"/>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shd w:fill="auto" w:val="clear"/>
            <w:vAlign w:val="center"/>
          </w:tcPr>
          <w:p>
            <w:pPr>
              <w:pStyle w:val="TableContents"/>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spacing w:before="0" w:after="0"/>
        <w:rPr>
          <w:rFonts w:ascii="Times New Roman" w:hAnsi="Times New Roman"/>
          <w:sz w:val="20"/>
        </w:rPr>
      </w:pPr>
      <w:r>
        <w:rPr>
          <w:rFonts w:ascii="Times New Roman" w:hAnsi="Times New Roman"/>
          <w:sz w:val="20"/>
        </w:rPr>
      </w:r>
    </w:p>
    <w:tbl>
      <w:tblPr>
        <w:tblW w:w="4225" w:type="dxa"/>
        <w:jc w:val="left"/>
        <w:tblInd w:w="0" w:type="dxa"/>
        <w:tblCellMar>
          <w:top w:w="0" w:type="dxa"/>
          <w:left w:w="0" w:type="dxa"/>
          <w:bottom w:w="0" w:type="dxa"/>
          <w:right w:w="0" w:type="dxa"/>
        </w:tblCellMar>
      </w:tblPr>
      <w:tblGrid>
        <w:gridCol w:w="3275"/>
        <w:gridCol w:w="60"/>
        <w:gridCol w:w="890"/>
      </w:tblGrid>
      <w:tr>
        <w:trPr/>
        <w:tc>
          <w:tcPr>
            <w:tcW w:w="327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shd w:fill="auto" w:val="clear"/>
            <w:vAlign w:val="center"/>
          </w:tcPr>
          <w:p>
            <w:pPr>
              <w:pStyle w:val="TableContents"/>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color w:val="000000"/>
          <w:sz w:val="20"/>
        </w:rPr>
        <w:t>Registrant’s telephone number, including area code:</w:t>
      </w:r>
      <w:r>
        <w:rPr>
          <w:rFonts w:ascii="Times New Roman" w:hAnsi="Times New Roman"/>
          <w:sz w:val="20"/>
        </w:rPr>
        <w:t> </w:t>
      </w:r>
      <w:r>
        <w:rPr>
          <w:rFonts w:ascii="Times New Roman" w:hAnsi="Times New Roman"/>
          <w:b/>
          <w:color w:val="000000"/>
          <w:sz w:val="20"/>
        </w:rPr>
        <w:t>(510) 445-3700</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spacing w:before="0" w:after="0"/>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color w:val="000000"/>
              </w:rPr>
            </w:pPr>
            <w:r>
              <w:rPr>
                <w:color w:val="000000"/>
              </w:rPr>
              <w:t>☐</w:t>
            </w:r>
          </w:p>
        </w:tc>
        <w:tc>
          <w:tcPr>
            <w:tcW w:w="729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spacing w:before="0" w:after="0"/>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color w:val="000000"/>
              </w:rPr>
            </w:pPr>
            <w:r>
              <w:rPr>
                <w:color w:val="000000"/>
              </w:rPr>
              <w:t>☐</w:t>
            </w:r>
          </w:p>
        </w:tc>
        <w:tc>
          <w:tcPr>
            <w:tcW w:w="732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spacing w:before="0" w:after="0"/>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olor w:val="000000"/>
              </w:rPr>
            </w:pPr>
            <w:r>
              <w:rPr>
                <w:color w:val="000000"/>
              </w:rPr>
              <w:t>☐</w:t>
            </w:r>
          </w:p>
        </w:tc>
        <w:tc>
          <w:tcPr>
            <w:tcW w:w="906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spacing w:before="0" w:after="0"/>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color w:val="000000"/>
              </w:rPr>
            </w:pPr>
            <w:r>
              <w:rPr>
                <w:color w:val="000000"/>
              </w:rPr>
              <w:t>☐</w:t>
            </w:r>
          </w:p>
        </w:tc>
        <w:tc>
          <w:tcPr>
            <w:tcW w:w="900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rPr/>
      </w:pPr>
      <w:r>
        <w:rPr/>
        <w:t> </w:t>
      </w:r>
    </w:p>
    <w:tbl>
      <w:tblPr>
        <w:tblW w:w="9465" w:type="dxa"/>
        <w:jc w:val="left"/>
        <w:tblInd w:w="0" w:type="dxa"/>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38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shd w:fill="auto" w:val="clear"/>
            <w:tcMar>
              <w:bottom w:w="0" w:type="dxa"/>
            </w:tcMar>
            <w:vAlign w:val="center"/>
          </w:tcPr>
          <w:p>
            <w:pPr>
              <w:pStyle w:val="TableContents"/>
              <w:spacing w:before="0" w:after="283"/>
              <w:rPr/>
            </w:pPr>
            <w:r>
              <w:rPr/>
              <w:t> </w:t>
            </w:r>
          </w:p>
        </w:tc>
        <w:tc>
          <w:tcPr>
            <w:tcW w:w="369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shd w:fill="auto" w:val="clear"/>
            <w:tcMar>
              <w:bottom w:w="0" w:type="dxa"/>
            </w:tcMar>
            <w:vAlign w:val="center"/>
          </w:tcPr>
          <w:p>
            <w:pPr>
              <w:pStyle w:val="TableContents"/>
              <w:spacing w:before="0" w:after="283"/>
              <w:rPr/>
            </w:pPr>
            <w:r>
              <w:rPr/>
              <w:t> </w:t>
            </w:r>
          </w:p>
        </w:tc>
        <w:tc>
          <w:tcPr>
            <w:tcW w:w="3695" w:type="dxa"/>
            <w:tcBorders/>
            <w:shd w:fill="auto"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color w:val="000000"/>
          <w:sz w:val="20"/>
        </w:rPr>
        <w:t xml:space="preserve">Indicate by check mark whether the registrant is an emerging growth company as defined in Rule 405 of the Securities Act of 1933 or Rule 12b-2 of the Securities Exchange Act of 1934:          Emerging growth company  </w:t>
      </w:r>
      <w:r>
        <w:rPr>
          <w:rFonts w:ascii="Times New Roman" w:hAnsi="Times New Roman"/>
          <w:sz w:val="20"/>
        </w:rPr>
        <w:t>☐</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HorizontalLine"/>
        <w:spacing w:before="200" w:after="200"/>
        <w:rPr/>
      </w:pPr>
      <w:r>
        <w:rPr/>
      </w:r>
    </w:p>
    <w:tbl>
      <w:tblPr>
        <w:tblW w:w="4855" w:type="dxa"/>
        <w:jc w:val="left"/>
        <w:tblInd w:w="0" w:type="dxa"/>
        <w:tblCellMar>
          <w:top w:w="0" w:type="dxa"/>
          <w:left w:w="0" w:type="dxa"/>
          <w:bottom w:w="0" w:type="dxa"/>
          <w:right w:w="0" w:type="dxa"/>
        </w:tblCellMar>
      </w:tblPr>
      <w:tblGrid>
        <w:gridCol w:w="875"/>
        <w:gridCol w:w="3980"/>
      </w:tblGrid>
      <w:tr>
        <w:trPr/>
        <w:tc>
          <w:tcPr>
            <w:tcW w:w="875"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2.02.</w:t>
            </w:r>
          </w:p>
        </w:tc>
        <w:tc>
          <w:tcPr>
            <w:tcW w:w="39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spacing w:before="0" w:after="0"/>
        <w:rPr/>
      </w:pPr>
      <w:r>
        <w:rPr/>
        <w:t> </w:t>
      </w:r>
    </w:p>
    <w:p>
      <w:pPr>
        <w:pStyle w:val="TextBody"/>
        <w:spacing w:before="0" w:after="0"/>
        <w:jc w:val="left"/>
        <w:rPr>
          <w:rFonts w:ascii="Times New Roman" w:hAnsi="Times New Roman"/>
          <w:sz w:val="24"/>
        </w:rPr>
      </w:pPr>
      <w:r>
        <w:rPr>
          <w:rFonts w:ascii="Times New Roman" w:hAnsi="Times New Roman"/>
          <w:sz w:val="20"/>
        </w:rPr>
        <w:t>On April 26, 2023, we issued a press release entitled “</w:t>
      </w:r>
      <w:r>
        <w:rPr>
          <w:rFonts w:ascii="Times New Roman" w:hAnsi="Times New Roman"/>
          <w:b w:val="false"/>
          <w:sz w:val="20"/>
        </w:rPr>
        <w:t>ACM Research Announces Preliminary Unaudited Revenue Range for First Quarter 2023.</w:t>
      </w:r>
      <w:r>
        <w:rPr>
          <w:rFonts w:ascii="Times New Roman" w:hAnsi="Times New Roman"/>
          <w:sz w:val="24"/>
        </w:rPr>
        <w:t xml:space="preserve">” </w:t>
      </w:r>
      <w:r>
        <w:rPr>
          <w:rFonts w:ascii="Times New Roman" w:hAnsi="Times New Roman"/>
          <w:sz w:val="20"/>
        </w:rPr>
        <w:t>The full text of the press release is furnished as Exhibit 99.01 hereto and is incorporated herein by reference</w:t>
      </w:r>
      <w:r>
        <w:rPr>
          <w:rFonts w:ascii="Times New Roman" w:hAnsi="Times New Roman"/>
          <w:i/>
          <w:sz w:val="20"/>
        </w:rPr>
        <w:t>.</w:t>
      </w:r>
    </w:p>
    <w:p>
      <w:pPr>
        <w:pStyle w:val="TextBody"/>
        <w:spacing w:before="0" w:after="0"/>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sz w:val="20"/>
        </w:rPr>
      </w:pPr>
      <w:r>
        <w:rPr>
          <w:rFonts w:ascii="Times New Roman" w:hAnsi="Times New Roman"/>
          <w:sz w:val="20"/>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pStyle w:val="TextBody"/>
        <w:spacing w:before="0" w:after="0"/>
        <w:rPr>
          <w:rFonts w:ascii="Times New Roman" w:hAnsi="Times New Roman"/>
          <w:sz w:val="20"/>
        </w:rPr>
      </w:pPr>
      <w:r>
        <w:rPr>
          <w:rFonts w:ascii="Times New Roman" w:hAnsi="Times New Roman"/>
          <w:sz w:val="20"/>
        </w:rPr>
      </w:r>
    </w:p>
    <w:tbl>
      <w:tblPr>
        <w:tblW w:w="3790" w:type="dxa"/>
        <w:jc w:val="left"/>
        <w:tblInd w:w="0" w:type="dxa"/>
        <w:tblCellMar>
          <w:top w:w="0" w:type="dxa"/>
          <w:left w:w="0" w:type="dxa"/>
          <w:bottom w:w="0" w:type="dxa"/>
          <w:right w:w="0" w:type="dxa"/>
        </w:tblCellMar>
      </w:tblPr>
      <w:tblGrid>
        <w:gridCol w:w="830"/>
        <w:gridCol w:w="2960"/>
      </w:tblGrid>
      <w:tr>
        <w:trPr/>
        <w:tc>
          <w:tcPr>
            <w:tcW w:w="83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spacing w:before="0" w:after="0"/>
        <w:rPr/>
      </w:pPr>
      <w:r>
        <w:rPr/>
        <w:t> </w:t>
      </w:r>
    </w:p>
    <w:tbl>
      <w:tblPr>
        <w:tblW w:w="1045" w:type="dxa"/>
        <w:jc w:val="left"/>
        <w:tblInd w:w="0" w:type="dxa"/>
        <w:tblCellMar>
          <w:top w:w="0" w:type="dxa"/>
          <w:left w:w="0" w:type="dxa"/>
          <w:bottom w:w="0" w:type="dxa"/>
          <w:right w:w="0" w:type="dxa"/>
        </w:tblCellMar>
      </w:tblPr>
      <w:tblGrid>
        <w:gridCol w:w="260"/>
        <w:gridCol w:w="785"/>
      </w:tblGrid>
      <w:tr>
        <w:trPr/>
        <w:tc>
          <w:tcPr>
            <w:tcW w:w="26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(d)</w:t>
            </w:r>
          </w:p>
        </w:tc>
        <w:tc>
          <w:tcPr>
            <w:tcW w:w="78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Exhibits.</w:t>
            </w:r>
          </w:p>
        </w:tc>
      </w:tr>
    </w:tbl>
    <w:p>
      <w:pPr>
        <w:pStyle w:val="TextBody"/>
        <w:spacing w:before="0" w:after="0"/>
        <w:rPr/>
      </w:pPr>
      <w:r>
        <w:rPr/>
        <w:t> </w:t>
      </w:r>
    </w:p>
    <w:tbl>
      <w:tblPr>
        <w:tblW w:w="6685" w:type="dxa"/>
        <w:jc w:val="left"/>
        <w:tblInd w:w="0" w:type="dxa"/>
        <w:tblCellMar>
          <w:top w:w="0" w:type="dxa"/>
          <w:left w:w="0" w:type="dxa"/>
          <w:bottom w:w="28" w:type="dxa"/>
          <w:right w:w="0" w:type="dxa"/>
        </w:tblCellMar>
      </w:tblPr>
      <w:tblGrid>
        <w:gridCol w:w="665"/>
        <w:gridCol w:w="60"/>
        <w:gridCol w:w="5960"/>
      </w:tblGrid>
      <w:tr>
        <w:trPr/>
        <w:tc>
          <w:tcPr>
            <w:tcW w:w="665"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Exhibit</w:t>
            </w:r>
          </w:p>
        </w:tc>
        <w:tc>
          <w:tcPr>
            <w:tcW w:w="60" w:type="dxa"/>
            <w:tcBorders/>
            <w:shd w:fill="auto" w:val="clear"/>
            <w:tcMar>
              <w:bottom w:w="0" w:type="dxa"/>
            </w:tcMar>
            <w:vAlign w:val="center"/>
          </w:tcPr>
          <w:p>
            <w:pPr>
              <w:pStyle w:val="TableContents"/>
              <w:spacing w:before="0" w:after="283"/>
              <w:rPr/>
            </w:pPr>
            <w:r>
              <w:rPr/>
              <w:t> </w:t>
            </w:r>
          </w:p>
        </w:tc>
        <w:tc>
          <w:tcPr>
            <w:tcW w:w="5960"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Description</w:t>
            </w:r>
          </w:p>
        </w:tc>
      </w:tr>
      <w:tr>
        <w:trPr/>
        <w:tc>
          <w:tcPr>
            <w:tcW w:w="6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960" w:type="dxa"/>
            <w:tcBorders/>
            <w:shd w:fill="auto" w:val="clear"/>
            <w:tcMar>
              <w:bottom w:w="0" w:type="dxa"/>
            </w:tcMar>
            <w:vAlign w:val="center"/>
          </w:tcPr>
          <w:p>
            <w:pPr>
              <w:pStyle w:val="TableContents"/>
              <w:spacing w:before="0" w:after="283"/>
              <w:rPr/>
            </w:pPr>
            <w:r>
              <w:rPr/>
              <w:t> </w:t>
            </w:r>
          </w:p>
        </w:tc>
      </w:tr>
      <w:tr>
        <w:trPr/>
        <w:tc>
          <w:tcPr>
            <w:tcW w:w="665" w:type="dxa"/>
            <w:tcBorders/>
            <w:shd w:fill="auto" w:val="clear"/>
            <w:tcMar>
              <w:bottom w:w="0" w:type="dxa"/>
            </w:tcMar>
            <w:vAlign w:val="center"/>
          </w:tcPr>
          <w:p>
            <w:pPr>
              <w:pStyle w:val="TableContents"/>
              <w:spacing w:before="0" w:after="0"/>
              <w:jc w:val="center"/>
              <w:rPr/>
            </w:pPr>
            <w:hyperlink w:anchor="brhc20051978_ex99-01.htm">
              <w:r>
                <w:rPr>
                  <w:rStyle w:val="InternetLink"/>
                  <w:rFonts w:ascii="Times New Roman" w:hAnsi="Times New Roman"/>
                  <w:sz w:val="20"/>
                </w:rPr>
                <w:t>99.01</w:t>
              </w:r>
            </w:hyperlink>
          </w:p>
        </w:tc>
        <w:tc>
          <w:tcPr>
            <w:tcW w:w="60" w:type="dxa"/>
            <w:tcBorders/>
            <w:shd w:fill="auto" w:val="clear"/>
            <w:tcMar>
              <w:bottom w:w="0" w:type="dxa"/>
            </w:tcMar>
            <w:vAlign w:val="center"/>
          </w:tcPr>
          <w:p>
            <w:pPr>
              <w:pStyle w:val="TableContents"/>
              <w:spacing w:before="0" w:after="283"/>
              <w:rPr/>
            </w:pPr>
            <w:r>
              <w:rPr/>
              <w:t> </w:t>
            </w:r>
          </w:p>
        </w:tc>
        <w:tc>
          <w:tcPr>
            <w:tcW w:w="5960" w:type="dxa"/>
            <w:tcBorders/>
            <w:shd w:fill="auto"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Press Release of ACM Research, Inc. dated April 26, 2023</w:t>
            </w:r>
          </w:p>
        </w:tc>
      </w:tr>
      <w:tr>
        <w:trPr/>
        <w:tc>
          <w:tcPr>
            <w:tcW w:w="6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960" w:type="dxa"/>
            <w:tcBorders/>
            <w:shd w:fill="auto" w:val="clear"/>
            <w:tcMar>
              <w:bottom w:w="0" w:type="dxa"/>
            </w:tcMar>
            <w:vAlign w:val="center"/>
          </w:tcPr>
          <w:p>
            <w:pPr>
              <w:pStyle w:val="TableContents"/>
              <w:spacing w:before="0" w:after="283"/>
              <w:rPr/>
            </w:pPr>
            <w:r>
              <w:rPr/>
              <w:t> </w:t>
            </w:r>
          </w:p>
        </w:tc>
      </w:tr>
      <w:tr>
        <w:trPr/>
        <w:tc>
          <w:tcPr>
            <w:tcW w:w="665" w:type="dxa"/>
            <w:tcBorders/>
            <w:shd w:fill="auto" w:val="clear"/>
            <w:tcMar>
              <w:bottom w:w="0" w:type="dxa"/>
            </w:tcMar>
            <w:vAlign w:val="center"/>
          </w:tcPr>
          <w:p>
            <w:pPr>
              <w:pStyle w:val="TableContents"/>
              <w:spacing w:before="0" w:after="283"/>
              <w:jc w:val="center"/>
              <w:rPr/>
            </w:pPr>
            <w:r>
              <w:rPr/>
              <w:t>104</w:t>
            </w:r>
          </w:p>
        </w:tc>
        <w:tc>
          <w:tcPr>
            <w:tcW w:w="60" w:type="dxa"/>
            <w:tcBorders/>
            <w:shd w:fill="auto" w:val="clear"/>
            <w:tcMar>
              <w:bottom w:w="0" w:type="dxa"/>
            </w:tcMar>
            <w:vAlign w:val="center"/>
          </w:tcPr>
          <w:p>
            <w:pPr>
              <w:pStyle w:val="TableContents"/>
              <w:spacing w:before="0" w:after="283"/>
              <w:rPr/>
            </w:pPr>
            <w:r>
              <w:rPr/>
              <w:t> </w:t>
            </w:r>
          </w:p>
        </w:tc>
        <w:tc>
          <w:tcPr>
            <w:tcW w:w="5960" w:type="dxa"/>
            <w:tcBorders/>
            <w:shd w:fill="auto"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spacing w:before="0" w:after="0"/>
        <w:rPr/>
      </w:pPr>
      <w:r>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p>
      <w:pPr>
        <w:pStyle w:val="HorizontalLine"/>
        <w:spacing w:before="200" w:after="200"/>
        <w:rPr/>
      </w:pPr>
      <w:r>
        <w:rPr/>
      </w:r>
    </w:p>
    <w:p>
      <w:pPr>
        <w:pStyle w:val="TextBody"/>
        <w:spacing w:before="0" w:after="0"/>
        <w:jc w:val="center"/>
        <w:rPr>
          <w:rFonts w:ascii="Times New Roman" w:hAnsi="Times New Roman"/>
          <w:b/>
          <w:sz w:val="20"/>
        </w:rPr>
      </w:pPr>
      <w:r>
        <w:rPr>
          <w:rFonts w:ascii="Times New Roman" w:hAnsi="Times New Roman"/>
          <w:b/>
          <w:sz w:val="20"/>
        </w:rPr>
        <w:t>SIGNATURE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t> </w:t>
      </w:r>
    </w:p>
    <w:tbl>
      <w:tblPr>
        <w:tblW w:w="5130" w:type="dxa"/>
        <w:jc w:val="left"/>
        <w:tblInd w:w="0" w:type="dxa"/>
        <w:tblCellMar>
          <w:top w:w="0" w:type="dxa"/>
          <w:left w:w="0" w:type="dxa"/>
          <w:bottom w:w="0" w:type="dxa"/>
          <w:right w:w="0" w:type="dxa"/>
        </w:tblCellMar>
      </w:tblPr>
      <w:tblGrid>
        <w:gridCol w:w="1790"/>
        <w:gridCol w:w="320"/>
        <w:gridCol w:w="3020"/>
      </w:tblGrid>
      <w:tr>
        <w:trPr/>
        <w:tc>
          <w:tcPr>
            <w:tcW w:w="1790" w:type="dxa"/>
            <w:tcBorders/>
            <w:shd w:fill="auto" w:val="clear"/>
            <w:vAlign w:val="center"/>
          </w:tcPr>
          <w:p>
            <w:pPr>
              <w:pStyle w:val="TableContents"/>
              <w:spacing w:before="0" w:after="283"/>
              <w:rPr/>
            </w:pPr>
            <w:r>
              <w:rPr/>
              <w:t> </w:t>
            </w:r>
          </w:p>
        </w:tc>
        <w:tc>
          <w:tcPr>
            <w:tcW w:w="3340"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ACM RESEARCH, INC.</w:t>
            </w:r>
          </w:p>
        </w:tc>
      </w:tr>
      <w:tr>
        <w:trPr/>
        <w:tc>
          <w:tcPr>
            <w:tcW w:w="1790" w:type="dxa"/>
            <w:tcBorders/>
            <w:shd w:fill="auto" w:val="clear"/>
            <w:vAlign w:val="center"/>
          </w:tcPr>
          <w:p>
            <w:pPr>
              <w:pStyle w:val="TableContents"/>
              <w:spacing w:before="0" w:after="283"/>
              <w:rPr/>
            </w:pPr>
            <w:r>
              <w:rPr/>
              <w:t> </w:t>
            </w:r>
          </w:p>
        </w:tc>
        <w:tc>
          <w:tcPr>
            <w:tcW w:w="3340" w:type="dxa"/>
            <w:gridSpan w:val="2"/>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sz w:val="20"/>
              </w:rPr>
            </w:pPr>
            <w:r>
              <w:rPr>
                <w:rFonts w:ascii="Times New Roman" w:hAnsi="Times New Roman"/>
                <w:sz w:val="20"/>
              </w:rPr>
              <w:t>/s/ Mark McKechnie</w:t>
            </w:r>
          </w:p>
        </w:tc>
      </w:tr>
      <w:tr>
        <w:trPr/>
        <w:tc>
          <w:tcPr>
            <w:tcW w:w="179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Mark McKechnie</w:t>
            </w:r>
          </w:p>
        </w:tc>
      </w:tr>
      <w:tr>
        <w:trPr/>
        <w:tc>
          <w:tcPr>
            <w:tcW w:w="179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9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Dated: April 26, 2023</w:t>
            </w:r>
          </w:p>
        </w:tc>
        <w:tc>
          <w:tcPr>
            <w:tcW w:w="32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 </w:t>
            </w:r>
          </w:p>
        </w:tc>
      </w:tr>
    </w:tbl>
    <w:p>
      <w:pPr>
        <w:pStyle w:val="TextBody"/>
        <w:spacing w:before="0" w:after="0"/>
        <w:rPr>
          <w:rFonts w:ascii="Times New Roman" w:hAnsi="Times New Roman"/>
          <w:sz w:val="20"/>
        </w:rPr>
      </w:pPr>
      <w:r>
        <w:rPr>
          <w:rFonts w:ascii="Times New Roman" w:hAnsi="Times New Roman"/>
          <w:sz w:val="20"/>
        </w:rPr>
      </w:r>
    </w:p>
    <w:p>
      <w:pPr>
        <w:pStyle w:val="TextBody"/>
        <w:spacing w:before="0" w:after="0"/>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3</w:t>
      </w:r>
    </w:p>
    <w:p>
      <w:pPr>
        <w:pStyle w:val="HorizontalLine"/>
        <w:rPr/>
      </w:pPr>
      <w:r>
        <w:rPr/>
      </w:r>
      <w:r>
        <w:br w:type="page"/>
      </w:r>
    </w:p>
    <w:p>
      <w:pPr>
        <w:pStyle w:val="HorizontalLine"/>
        <w:pBdr>
          <w:bottom w:val="single" w:sz="20" w:space="0" w:color="808080"/>
        </w:pBdr>
        <w:jc w:val="right"/>
        <w:rPr/>
      </w:pPr>
      <w:r>
        <w:rPr/>
      </w:r>
      <w:bookmarkStart w:id="0" w:name="brhc20051978_ex99-01.htm"/>
      <w:bookmarkStart w:id="1" w:name="ksbrhc20051978_ex9901"/>
      <w:bookmarkStart w:id="2" w:name="brhc20051978_ex99-01.htm"/>
      <w:bookmarkStart w:id="3" w:name="ksbrhc20051978_ex9901"/>
      <w:bookmarkEnd w:id="2"/>
      <w:bookmarkEnd w:id="3"/>
    </w:p>
    <w:p>
      <w:pPr>
        <w:pStyle w:val="TextBody"/>
        <w:spacing w:before="0" w:after="0"/>
        <w:jc w:val="right"/>
        <w:rPr/>
      </w:pPr>
      <w:r>
        <w:rPr/>
        <w:t>Exhibit 99.01</w:t>
      </w:r>
    </w:p>
    <w:p>
      <w:pPr>
        <w:pStyle w:val="TextBody"/>
        <w:spacing w:before="0" w:after="0"/>
        <w:jc w:val="center"/>
        <w:rPr/>
      </w:pPr>
      <w:r>
        <w:rPr/>
        <w:drawing>
          <wp:inline distT="0" distB="0" distL="0" distR="0">
            <wp:extent cx="8001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495300"/>
                    </a:xfrm>
                    <a:prstGeom prst="rect">
                      <a:avLst/>
                    </a:prstGeom>
                  </pic:spPr>
                </pic:pic>
              </a:graphicData>
            </a:graphic>
          </wp:inline>
        </w:drawing>
      </w: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ACM Research Announces Preliminary Unaudited Revenue Range for First Quarter 2023</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FREMONT, Calif., April 26, 2023 (Globe Newswire) –– </w:t>
      </w:r>
      <w:r>
        <w:rPr>
          <w:rFonts w:ascii="Times New Roman" w:hAnsi="Times New Roman"/>
          <w:sz w:val="20"/>
          <w:u w:val="single"/>
        </w:rPr>
        <w:t>ACM Research, Inc.</w:t>
      </w:r>
      <w:r>
        <w:rPr>
          <w:rFonts w:ascii="Times New Roman" w:hAnsi="Times New Roman"/>
          <w:sz w:val="20"/>
        </w:rPr>
        <w:t xml:space="preserve"> (“ACM”) (NASDAQ: ACMR), a leading supplier of wafer processing solutions for semiconductor and advanced wafer-level packaging (WLP) applications, today announced that its preliminary unaudited revenue for the first quarter of 2023 is expected to be in the range of $70 million to $74 million. Actual unaudited first quarter 2023 results are subject to the completion of ACM’s quarter end closing procedures and review by ACM’s independent registered public accounting firm. ACM will discuss its full financial results for the first quarter 2023 and its revenue outlook for the remainder of the year on its earnings call on Friday, May 5, 2023, at 8 AM Eastern Time (8 p.m. China Time).</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Today’s release of ACM’s first quarter 2023 preliminary unaudited expected revenue range coincides with the release of unaudited financial results by ACM Research (Shanghai), Inc., ACM’s principal operating subsidiary (ACM Shanghai), to the Shanghai Stock Exchange website [</w:t>
      </w:r>
      <w:r>
        <w:rPr>
          <w:rFonts w:ascii="Times New Roman" w:hAnsi="Times New Roman"/>
          <w:sz w:val="20"/>
          <w:u w:val="single"/>
        </w:rPr>
        <w:t>link to China Disclosure</w:t>
      </w:r>
      <w:r>
        <w:rPr>
          <w:rFonts w:ascii="Times New Roman" w:hAnsi="Times New Roman"/>
          <w:sz w:val="20"/>
        </w:rPr>
        <w:t>]. ACM currently owns an 82.5% equity interest in ACM Shanghai, and a substantial majority of ACM’s consolidated revenue and net income is contributed by ACM Shanghai. The stand-alone financial results of ACM Shanghai are reported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About ACM Research, Inc.</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hAnsi="Times New Roman"/>
          <w:sz w:val="20"/>
          <w:u w:val="single"/>
        </w:rPr>
        <w:t>www.acmrcsh.com</w:t>
      </w:r>
      <w:r>
        <w:rPr>
          <w:rFonts w:ascii="Times New Roman" w:hAnsi="Times New Roman"/>
          <w:sz w:val="20"/>
        </w:rPr>
        <w:t>.</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sz w:val="20"/>
        </w:rPr>
        <w:t>© 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  #</w:t>
      </w: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For investor and media inquiries, please contact:</w:t>
      </w:r>
    </w:p>
    <w:p>
      <w:pPr>
        <w:pStyle w:val="TextBody"/>
        <w:spacing w:before="0" w:after="0"/>
        <w:rPr/>
      </w:pPr>
      <w:r>
        <w:rPr/>
        <w:t> </w:t>
      </w:r>
    </w:p>
    <w:p>
      <w:pPr>
        <w:pStyle w:val="Normal"/>
        <w:spacing w:before="0" w:after="0"/>
        <w:rPr>
          <w:sz w:val="4"/>
          <w:szCs w:val="4"/>
        </w:rPr>
      </w:pPr>
      <w:r>
        <w:rPr>
          <w:sz w:val="4"/>
          <w:szCs w:val="4"/>
        </w:rPr>
      </w:r>
      <w:bookmarkStart w:id="4" w:name="z300b6bda67f34d939e0d45ffa3abeeb0"/>
      <w:bookmarkStart w:id="5" w:name="z300b6bda67f34d939e0d45ffa3abeeb0"/>
      <w:bookmarkEnd w:id="5"/>
    </w:p>
    <w:tbl>
      <w:tblPr>
        <w:tblW w:w="3895" w:type="dxa"/>
        <w:jc w:val="left"/>
        <w:tblInd w:w="0" w:type="dxa"/>
        <w:tblCellMar>
          <w:top w:w="0" w:type="dxa"/>
          <w:left w:w="0" w:type="dxa"/>
          <w:bottom w:w="0" w:type="dxa"/>
          <w:right w:w="0" w:type="dxa"/>
        </w:tblCellMar>
      </w:tblPr>
      <w:tblGrid>
        <w:gridCol w:w="1670"/>
        <w:gridCol w:w="2225"/>
      </w:tblGrid>
      <w:tr>
        <w:trPr/>
        <w:tc>
          <w:tcPr>
            <w:tcW w:w="16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In the United States</w:t>
            </w:r>
            <w:r>
              <w:rPr>
                <w:rFonts w:ascii="Times New Roman" w:hAnsi="Times New Roman"/>
                <w:sz w:val="20"/>
              </w:rPr>
              <w:t>:</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Blueshirt Group</w:t>
            </w:r>
          </w:p>
        </w:tc>
      </w:tr>
      <w:tr>
        <w:trPr/>
        <w:tc>
          <w:tcPr>
            <w:tcW w:w="167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Yujia Zhai</w:t>
            </w:r>
          </w:p>
        </w:tc>
      </w:tr>
      <w:tr>
        <w:trPr/>
        <w:tc>
          <w:tcPr>
            <w:tcW w:w="167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+1 (860) 214-0809</w:t>
            </w:r>
          </w:p>
        </w:tc>
      </w:tr>
      <w:tr>
        <w:trPr/>
        <w:tc>
          <w:tcPr>
            <w:tcW w:w="167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i/>
                <w:sz w:val="20"/>
              </w:rPr>
            </w:pPr>
            <w:r>
              <w:rPr>
                <w:rFonts w:ascii="Times New Roman" w:hAnsi="Times New Roman"/>
                <w:i/>
                <w:sz w:val="20"/>
              </w:rPr>
              <w:t>yujia@blueshirtgroup.com</w:t>
            </w:r>
          </w:p>
        </w:tc>
      </w:tr>
    </w:tbl>
    <w:p>
      <w:pPr>
        <w:pStyle w:val="TextBody"/>
        <w:spacing w:before="0" w:after="0"/>
        <w:rPr/>
      </w:pPr>
      <w:r>
        <w:rPr/>
      </w:r>
    </w:p>
    <w:p>
      <w:pPr>
        <w:pStyle w:val="Normal"/>
        <w:spacing w:before="0" w:after="0"/>
        <w:rPr>
          <w:sz w:val="4"/>
          <w:szCs w:val="4"/>
        </w:rPr>
      </w:pPr>
      <w:r>
        <w:rPr>
          <w:sz w:val="4"/>
          <w:szCs w:val="4"/>
        </w:rPr>
      </w:r>
      <w:bookmarkStart w:id="6" w:name="zba6824da9f0e4af8bc715a3807d07cc4"/>
      <w:bookmarkStart w:id="7" w:name="zba6824da9f0e4af8bc715a3807d07cc4"/>
      <w:bookmarkEnd w:id="7"/>
    </w:p>
    <w:tbl>
      <w:tblPr>
        <w:tblW w:w="2875" w:type="dxa"/>
        <w:jc w:val="left"/>
        <w:tblInd w:w="0" w:type="dxa"/>
        <w:tblCellMar>
          <w:top w:w="0" w:type="dxa"/>
          <w:left w:w="0" w:type="dxa"/>
          <w:bottom w:w="0" w:type="dxa"/>
          <w:right w:w="0" w:type="dxa"/>
        </w:tblCellMar>
      </w:tblPr>
      <w:tblGrid>
        <w:gridCol w:w="785"/>
        <w:gridCol w:w="2090"/>
      </w:tblGrid>
      <w:tr>
        <w:trPr/>
        <w:tc>
          <w:tcPr>
            <w:tcW w:w="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In China</w:t>
            </w:r>
            <w:r>
              <w:rPr>
                <w:rFonts w:ascii="Times New Roman" w:hAnsi="Times New Roman"/>
                <w:sz w:val="20"/>
              </w:rPr>
              <w:t>:</w:t>
            </w:r>
          </w:p>
        </w:tc>
        <w:tc>
          <w:tcPr>
            <w:tcW w:w="2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Blueshirt Group Asia</w:t>
            </w:r>
          </w:p>
        </w:tc>
      </w:tr>
      <w:tr>
        <w:trPr/>
        <w:tc>
          <w:tcPr>
            <w:tcW w:w="785"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Gary Dvorchak, CFA</w:t>
            </w:r>
          </w:p>
        </w:tc>
      </w:tr>
      <w:tr>
        <w:trPr/>
        <w:tc>
          <w:tcPr>
            <w:tcW w:w="785"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+86 (138) 1079-1480</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1109</Words>
  <CharactersWithSpaces>7374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