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389255</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492125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14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March 6, 2019</w:t>
      </w:r>
    </w:p>
    <w:p>
      <w:pPr>
        <w:spacing w:after="0" w:line="1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ACM Research, Inc.</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pacing w:after="0" w:line="163" w:lineRule="exact"/>
        <w:rPr>
          <w:sz w:val="24"/>
          <w:szCs w:val="24"/>
          <w:color w:val="auto"/>
        </w:rPr>
      </w:pPr>
    </w:p>
    <w:tbl>
      <w:tblPr>
        <w:tblLayout w:type="fixed"/>
        <w:tblInd w:w="180" w:type="dxa"/>
        <w:tblCellMar>
          <w:top w:w="0" w:type="dxa"/>
          <w:left w:w="0" w:type="dxa"/>
          <w:bottom w:w="0" w:type="dxa"/>
          <w:right w:w="0" w:type="dxa"/>
        </w:tblCellMar>
      </w:tblPr>
      <w:tr>
        <w:trPr>
          <w:trHeight w:val="230"/>
        </w:trPr>
        <w:tc>
          <w:tcPr>
            <w:tcW w:w="3980" w:type="dxa"/>
            <w:vAlign w:val="bottom"/>
          </w:tcPr>
          <w:p>
            <w:pPr>
              <w:jc w:val="center"/>
              <w:ind w:right="512"/>
              <w:spacing w:after="0"/>
              <w:rPr>
                <w:sz w:val="20"/>
                <w:szCs w:val="20"/>
                <w:color w:val="auto"/>
              </w:rPr>
            </w:pPr>
            <w:r>
              <w:rPr>
                <w:rFonts w:ascii="Times New Roman" w:cs="Times New Roman" w:eastAsia="Times New Roman" w:hAnsi="Times New Roman"/>
                <w:sz w:val="18"/>
                <w:szCs w:val="18"/>
                <w:b w:val="1"/>
                <w:bCs w:val="1"/>
                <w:color w:val="auto"/>
                <w:w w:val="95"/>
              </w:rPr>
              <w:t>Delaware</w:t>
            </w:r>
          </w:p>
        </w:tc>
        <w:tc>
          <w:tcPr>
            <w:tcW w:w="3360" w:type="dxa"/>
            <w:vAlign w:val="bottom"/>
          </w:tcPr>
          <w:p>
            <w:pPr>
              <w:jc w:val="right"/>
              <w:ind w:right="1332"/>
              <w:spacing w:after="0"/>
              <w:rPr>
                <w:sz w:val="20"/>
                <w:szCs w:val="20"/>
                <w:color w:val="auto"/>
              </w:rPr>
            </w:pPr>
            <w:r>
              <w:rPr>
                <w:rFonts w:ascii="Times New Roman" w:cs="Times New Roman" w:eastAsia="Times New Roman" w:hAnsi="Times New Roman"/>
                <w:sz w:val="18"/>
                <w:szCs w:val="18"/>
                <w:b w:val="1"/>
                <w:bCs w:val="1"/>
                <w:color w:val="auto"/>
              </w:rPr>
              <w:t>001-38273</w:t>
            </w:r>
          </w:p>
        </w:tc>
        <w:tc>
          <w:tcPr>
            <w:tcW w:w="3340" w:type="dxa"/>
            <w:vAlign w:val="bottom"/>
          </w:tcPr>
          <w:p>
            <w:pPr>
              <w:jc w:val="right"/>
              <w:ind w:right="752"/>
              <w:spacing w:after="0"/>
              <w:rPr>
                <w:sz w:val="20"/>
                <w:szCs w:val="20"/>
                <w:color w:val="auto"/>
              </w:rPr>
            </w:pPr>
            <w:r>
              <w:rPr>
                <w:rFonts w:ascii="Times New Roman" w:cs="Times New Roman" w:eastAsia="Times New Roman" w:hAnsi="Times New Roman"/>
                <w:sz w:val="18"/>
                <w:szCs w:val="18"/>
                <w:b w:val="1"/>
                <w:bCs w:val="1"/>
                <w:color w:val="auto"/>
              </w:rPr>
              <w:t>94-3290283</w:t>
            </w:r>
          </w:p>
        </w:tc>
        <w:tc>
          <w:tcPr>
            <w:tcW w:w="0" w:type="dxa"/>
            <w:vAlign w:val="bottom"/>
          </w:tcPr>
          <w:p>
            <w:pPr>
              <w:spacing w:after="0"/>
              <w:rPr>
                <w:sz w:val="1"/>
                <w:szCs w:val="1"/>
                <w:color w:val="auto"/>
              </w:rPr>
            </w:pPr>
          </w:p>
        </w:tc>
      </w:tr>
      <w:tr>
        <w:trPr>
          <w:trHeight w:val="229"/>
        </w:trPr>
        <w:tc>
          <w:tcPr>
            <w:tcW w:w="3980" w:type="dxa"/>
            <w:vAlign w:val="bottom"/>
          </w:tcPr>
          <w:p>
            <w:pPr>
              <w:jc w:val="center"/>
              <w:ind w:right="512"/>
              <w:spacing w:after="0"/>
              <w:rPr>
                <w:sz w:val="20"/>
                <w:szCs w:val="20"/>
                <w:color w:val="auto"/>
              </w:rPr>
            </w:pPr>
            <w:r>
              <w:rPr>
                <w:rFonts w:ascii="Times New Roman" w:cs="Times New Roman" w:eastAsia="Times New Roman" w:hAnsi="Times New Roman"/>
                <w:sz w:val="18"/>
                <w:szCs w:val="18"/>
                <w:i w:val="1"/>
                <w:iCs w:val="1"/>
                <w:color w:val="auto"/>
                <w:w w:val="98"/>
              </w:rPr>
              <w:t>(State or Other Jurisdiction of Incorporation or</w:t>
            </w:r>
          </w:p>
        </w:tc>
        <w:tc>
          <w:tcPr>
            <w:tcW w:w="3360" w:type="dxa"/>
            <w:vAlign w:val="bottom"/>
            <w:vMerge w:val="restart"/>
          </w:tcPr>
          <w:p>
            <w:pPr>
              <w:jc w:val="center"/>
              <w:ind w:right="152"/>
              <w:spacing w:after="0"/>
              <w:rPr>
                <w:sz w:val="20"/>
                <w:szCs w:val="20"/>
                <w:color w:val="auto"/>
              </w:rPr>
            </w:pPr>
            <w:r>
              <w:rPr>
                <w:rFonts w:ascii="Times New Roman" w:cs="Times New Roman" w:eastAsia="Times New Roman" w:hAnsi="Times New Roman"/>
                <w:sz w:val="18"/>
                <w:szCs w:val="18"/>
                <w:i w:val="1"/>
                <w:iCs w:val="1"/>
                <w:color w:val="auto"/>
                <w:w w:val="97"/>
              </w:rPr>
              <w:t>(Commission File Number)</w:t>
            </w:r>
          </w:p>
        </w:tc>
        <w:tc>
          <w:tcPr>
            <w:tcW w:w="3340" w:type="dxa"/>
            <w:vAlign w:val="bottom"/>
            <w:vMerge w:val="restart"/>
          </w:tcPr>
          <w:p>
            <w:pPr>
              <w:jc w:val="center"/>
              <w:ind w:left="732"/>
              <w:spacing w:after="0"/>
              <w:rPr>
                <w:sz w:val="20"/>
                <w:szCs w:val="20"/>
                <w:color w:val="auto"/>
              </w:rPr>
            </w:pPr>
            <w:r>
              <w:rPr>
                <w:rFonts w:ascii="Times New Roman" w:cs="Times New Roman" w:eastAsia="Times New Roman" w:hAnsi="Times New Roman"/>
                <w:sz w:val="18"/>
                <w:szCs w:val="18"/>
                <w:i w:val="1"/>
                <w:iCs w:val="1"/>
                <w:color w:val="auto"/>
                <w:w w:val="97"/>
              </w:rPr>
              <w:t>(I.R.S. Employer Identification No.)</w:t>
            </w:r>
          </w:p>
        </w:tc>
        <w:tc>
          <w:tcPr>
            <w:tcW w:w="0" w:type="dxa"/>
            <w:vAlign w:val="bottom"/>
          </w:tcPr>
          <w:p>
            <w:pPr>
              <w:spacing w:after="0"/>
              <w:rPr>
                <w:sz w:val="1"/>
                <w:szCs w:val="1"/>
                <w:color w:val="auto"/>
              </w:rPr>
            </w:pPr>
          </w:p>
        </w:tc>
      </w:tr>
      <w:tr>
        <w:trPr>
          <w:trHeight w:val="122"/>
        </w:trPr>
        <w:tc>
          <w:tcPr>
            <w:tcW w:w="3980" w:type="dxa"/>
            <w:vAlign w:val="bottom"/>
            <w:vMerge w:val="restart"/>
          </w:tcPr>
          <w:p>
            <w:pPr>
              <w:ind w:left="1180"/>
              <w:spacing w:after="0"/>
              <w:rPr>
                <w:sz w:val="20"/>
                <w:szCs w:val="20"/>
                <w:color w:val="auto"/>
              </w:rPr>
            </w:pPr>
            <w:r>
              <w:rPr>
                <w:rFonts w:ascii="Times New Roman" w:cs="Times New Roman" w:eastAsia="Times New Roman" w:hAnsi="Times New Roman"/>
                <w:sz w:val="18"/>
                <w:szCs w:val="18"/>
                <w:i w:val="1"/>
                <w:iCs w:val="1"/>
                <w:color w:val="auto"/>
              </w:rPr>
              <w:t>Organization)</w:t>
            </w:r>
          </w:p>
        </w:tc>
        <w:tc>
          <w:tcPr>
            <w:tcW w:w="3360" w:type="dxa"/>
            <w:vAlign w:val="bottom"/>
            <w:vMerge w:val="continue"/>
          </w:tcPr>
          <w:p>
            <w:pPr>
              <w:spacing w:after="0"/>
              <w:rPr>
                <w:sz w:val="10"/>
                <w:szCs w:val="10"/>
                <w:color w:val="auto"/>
              </w:rPr>
            </w:pPr>
          </w:p>
        </w:tc>
        <w:tc>
          <w:tcPr>
            <w:tcW w:w="33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980" w:type="dxa"/>
            <w:vAlign w:val="bottom"/>
            <w:vMerge w:val="continue"/>
          </w:tcPr>
          <w:p>
            <w:pPr>
              <w:spacing w:after="0"/>
              <w:rPr>
                <w:sz w:val="9"/>
                <w:szCs w:val="9"/>
                <w:color w:val="auto"/>
              </w:rPr>
            </w:pPr>
          </w:p>
        </w:tc>
        <w:tc>
          <w:tcPr>
            <w:tcW w:w="3360" w:type="dxa"/>
            <w:vAlign w:val="bottom"/>
          </w:tcPr>
          <w:p>
            <w:pPr>
              <w:spacing w:after="0"/>
              <w:rPr>
                <w:sz w:val="9"/>
                <w:szCs w:val="9"/>
                <w:color w:val="auto"/>
              </w:rPr>
            </w:pPr>
          </w:p>
        </w:tc>
        <w:tc>
          <w:tcPr>
            <w:tcW w:w="33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42307 Osgood Road, Suite I, Fremont, California 94539</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(Address of principal executive offices) (Zip code)</w:t>
      </w:r>
    </w:p>
    <w:p>
      <w:pPr>
        <w:spacing w:after="0" w:line="14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 xml:space="preserve">Registrant’s telephone number, including area code: </w:t>
      </w:r>
      <w:r>
        <w:rPr>
          <w:rFonts w:ascii="Times New Roman" w:cs="Times New Roman" w:eastAsia="Times New Roman" w:hAnsi="Times New Roman"/>
          <w:sz w:val="18"/>
          <w:szCs w:val="18"/>
          <w:b w:val="1"/>
          <w:bCs w:val="1"/>
          <w:color w:val="auto"/>
        </w:rPr>
        <w:t>(510) 445-3700</w:t>
      </w:r>
    </w:p>
    <w:p>
      <w:pPr>
        <w:spacing w:after="0" w:line="160" w:lineRule="exact"/>
        <w:rPr>
          <w:sz w:val="24"/>
          <w:szCs w:val="24"/>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6"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58" w:lineRule="exact"/>
        <w:rPr>
          <w:sz w:val="24"/>
          <w:szCs w:val="24"/>
          <w:color w:val="auto"/>
        </w:rPr>
      </w:pPr>
    </w:p>
    <w:p>
      <w:pPr>
        <w:ind w:right="74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or Rule 12b-2 of the Securities Exchange Act of 1934 (§240.12b-2 of this chapter). Emerging growth company </w:t>
      </w:r>
      <w:r>
        <w:rPr>
          <w:rFonts w:ascii="MS PGothic" w:cs="MS PGothic" w:eastAsia="MS PGothic" w:hAnsi="MS PGothic"/>
          <w:sz w:val="18"/>
          <w:szCs w:val="18"/>
          <w:color w:val="auto"/>
        </w:rPr>
        <w:t>☑</w:t>
      </w:r>
    </w:p>
    <w:p>
      <w:pPr>
        <w:spacing w:after="0" w:line="117" w:lineRule="exact"/>
        <w:rPr>
          <w:sz w:val="24"/>
          <w:szCs w:val="24"/>
          <w:color w:val="auto"/>
        </w:rPr>
      </w:pPr>
    </w:p>
    <w:p>
      <w:pPr>
        <w:ind w:right="420"/>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52" w:right="2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7" w:lineRule="exact"/>
        <w:rPr>
          <w:sz w:val="20"/>
          <w:szCs w:val="20"/>
          <w:color w:val="auto"/>
        </w:rPr>
      </w:pPr>
    </w:p>
    <w:p>
      <w:pPr>
        <w:ind w:right="160" w:firstLine="486"/>
        <w:spacing w:after="0" w:line="275" w:lineRule="auto"/>
        <w:rPr>
          <w:sz w:val="20"/>
          <w:szCs w:val="20"/>
          <w:color w:val="auto"/>
        </w:rPr>
      </w:pPr>
      <w:r>
        <w:rPr>
          <w:rFonts w:ascii="Times New Roman" w:cs="Times New Roman" w:eastAsia="Times New Roman" w:hAnsi="Times New Roman"/>
          <w:sz w:val="18"/>
          <w:szCs w:val="18"/>
          <w:color w:val="auto"/>
        </w:rPr>
        <w:t>On March 6, 2019, we issued a press release announcing financial results for the fourth quarter and fiscal year ended December 31, 2018. The full text of the press release is furnished as Exhibit 99.01 hereto and is incorporated herein by reference.</w:t>
      </w:r>
    </w:p>
    <w:p>
      <w:pPr>
        <w:spacing w:after="0" w:line="174" w:lineRule="exact"/>
        <w:rPr>
          <w:sz w:val="20"/>
          <w:szCs w:val="20"/>
          <w:color w:val="auto"/>
        </w:rPr>
      </w:pPr>
    </w:p>
    <w:p>
      <w:pPr>
        <w:ind w:right="260" w:firstLine="486"/>
        <w:spacing w:after="0" w:line="262" w:lineRule="auto"/>
        <w:rPr>
          <w:sz w:val="20"/>
          <w:szCs w:val="20"/>
          <w:color w:val="auto"/>
        </w:rPr>
      </w:pPr>
      <w:r>
        <w:rPr>
          <w:rFonts w:ascii="Times New Roman" w:cs="Times New Roman" w:eastAsia="Times New Roman" w:hAnsi="Times New Roman"/>
          <w:sz w:val="18"/>
          <w:szCs w:val="18"/>
          <w:color w:val="auto"/>
        </w:rPr>
        <w:t>The information contained herein, including the exhibit furnished hereto, is intended to be furnished and shall not be deemed “filed” for purposes of Section 18 of the Securities Exchange Act of 1934 or otherwise subject to the liabilities of that section, nor shall it be deemed incorporated by reference in any filing under the Securities Act of 1933 or the Securities Exchange Act of 1934, except as expressly set forth by specific reference in such filing.</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7" w:lineRule="exact"/>
        <w:rPr>
          <w:sz w:val="20"/>
          <w:szCs w:val="20"/>
          <w:color w:val="auto"/>
        </w:rPr>
      </w:pPr>
    </w:p>
    <w:p>
      <w:pPr>
        <w:ind w:left="620" w:hanging="612"/>
        <w:spacing w:after="0"/>
        <w:tabs>
          <w:tab w:leader="none" w:pos="6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13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100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99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380" w:type="dxa"/>
            <w:vAlign w:val="bottom"/>
            <w:tcBorders>
              <w:bottom w:val="single" w:sz="8" w:color="0000EE"/>
            </w:tcBorders>
            <w:shd w:val="clear" w:color="auto" w:fill="CCEEFF"/>
          </w:tcPr>
          <w:p>
            <w:pPr>
              <w:spacing w:after="0" w:line="176" w:lineRule="exact"/>
              <w:rPr>
                <w:rFonts w:ascii="Times New Roman" w:cs="Times New Roman" w:eastAsia="Times New Roman" w:hAnsi="Times New Roman"/>
                <w:sz w:val="18"/>
                <w:szCs w:val="18"/>
                <w:color w:val="0000EE"/>
                <w:w w:val="88"/>
              </w:rPr>
            </w:pPr>
            <w:hyperlink w:anchor="page4">
              <w:r>
                <w:rPr>
                  <w:rFonts w:ascii="Times New Roman" w:cs="Times New Roman" w:eastAsia="Times New Roman" w:hAnsi="Times New Roman"/>
                  <w:sz w:val="18"/>
                  <w:szCs w:val="18"/>
                  <w:color w:val="0000EE"/>
                  <w:w w:val="88"/>
                </w:rPr>
                <w:t>99.</w:t>
              </w:r>
              <w:r>
                <w:rPr>
                  <w:rFonts w:ascii="Times New Roman" w:cs="Times New Roman" w:eastAsia="Times New Roman" w:hAnsi="Times New Roman"/>
                  <w:sz w:val="18"/>
                  <w:szCs w:val="18"/>
                  <w:u w:val="single" w:color="auto"/>
                  <w:color w:val="0000EE"/>
                  <w:w w:val="88"/>
                </w:rPr>
                <w:t>01</w:t>
              </w:r>
            </w:hyperlink>
          </w:p>
        </w:tc>
        <w:tc>
          <w:tcPr>
            <w:tcW w:w="980" w:type="dxa"/>
            <w:vAlign w:val="bottom"/>
            <w:tcBorders>
              <w:bottom w:val="single" w:sz="8" w:color="CCEEFF"/>
            </w:tcBorders>
            <w:shd w:val="clear" w:color="auto" w:fill="CCEEFF"/>
          </w:tcPr>
          <w:p>
            <w:pPr>
              <w:spacing w:after="0"/>
              <w:rPr>
                <w:sz w:val="15"/>
                <w:szCs w:val="15"/>
                <w:color w:val="auto"/>
              </w:rPr>
            </w:pPr>
          </w:p>
        </w:tc>
        <w:tc>
          <w:tcPr>
            <w:tcW w:w="10040" w:type="dxa"/>
            <w:vAlign w:val="bottom"/>
            <w:tcBorders>
              <w:bottom w:val="single" w:sz="8" w:color="CCEEFF"/>
            </w:tcBorders>
            <w:gridSpan w:val="2"/>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Press Release of ACM Research, Inc. dated March 6, 2019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9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5" w:right="239" w:bottom="1440" w:gutter="0" w:footer="0" w:header="0"/>
        </w:sectPr>
      </w:pPr>
    </w:p>
    <w:bookmarkStart w:id="2" w:name="page3"/>
    <w:bookmarkEnd w:id="2"/>
    <w:p>
      <w:pPr>
        <w:jc w:val="center"/>
        <w:ind w:left="32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60" w:lineRule="exact"/>
        <w:rPr>
          <w:sz w:val="20"/>
          <w:szCs w:val="20"/>
          <w:color w:val="auto"/>
        </w:rPr>
      </w:pPr>
    </w:p>
    <w:p>
      <w:pPr>
        <w:ind w:firstLine="324"/>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filed on its behalf by the undersigned hereunto duly authorized.</w:t>
      </w:r>
    </w:p>
    <w:p>
      <w:pPr>
        <w:spacing w:after="0" w:line="200" w:lineRule="exact"/>
        <w:rPr>
          <w:sz w:val="20"/>
          <w:szCs w:val="20"/>
          <w:color w:val="auto"/>
        </w:rPr>
      </w:pPr>
    </w:p>
    <w:p>
      <w:pPr>
        <w:spacing w:after="0" w:line="33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ACM R</w:t>
      </w:r>
      <w:r>
        <w:rPr>
          <w:rFonts w:ascii="Times New Roman" w:cs="Times New Roman" w:eastAsia="Times New Roman" w:hAnsi="Times New Roman"/>
          <w:sz w:val="12"/>
          <w:szCs w:val="12"/>
          <w:b w:val="1"/>
          <w:bCs w:val="1"/>
          <w:color w:val="auto"/>
        </w:rPr>
        <w:t>ESEARCH</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b w:val="1"/>
          <w:bCs w:val="1"/>
          <w:color w:val="auto"/>
        </w:rPr>
        <w:t>.</w:t>
      </w:r>
    </w:p>
    <w:p>
      <w:pPr>
        <w:spacing w:after="0" w:line="227" w:lineRule="exact"/>
        <w:rPr>
          <w:sz w:val="20"/>
          <w:szCs w:val="20"/>
          <w:color w:val="auto"/>
        </w:rPr>
      </w:pPr>
    </w:p>
    <w:p>
      <w:pPr>
        <w:spacing w:after="0"/>
        <w:tabs>
          <w:tab w:leader="none" w:pos="5700" w:val="left"/>
        </w:tabs>
        <w:rPr>
          <w:sz w:val="20"/>
          <w:szCs w:val="20"/>
          <w:color w:val="auto"/>
        </w:rPr>
      </w:pPr>
      <w:r>
        <w:rPr>
          <w:rFonts w:ascii="Times New Roman" w:cs="Times New Roman" w:eastAsia="Times New Roman" w:hAnsi="Times New Roman"/>
          <w:sz w:val="18"/>
          <w:szCs w:val="18"/>
          <w:color w:val="auto"/>
        </w:rPr>
        <w:t>Dated: March 8, 2019</w:t>
      </w:r>
      <w:r>
        <w:rPr>
          <w:sz w:val="20"/>
          <w:szCs w:val="20"/>
          <w:color w:val="auto"/>
        </w:rPr>
        <w:tab/>
      </w:r>
      <w:r>
        <w:rPr>
          <w:rFonts w:ascii="Times New Roman" w:cs="Times New Roman" w:eastAsia="Times New Roman" w:hAnsi="Times New Roman"/>
          <w:sz w:val="18"/>
          <w:szCs w:val="18"/>
          <w:color w:val="auto"/>
        </w:rPr>
        <w:t>By: /s/ David H.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252984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David H. Wang</w:t>
      </w:r>
    </w:p>
    <w:p>
      <w:pPr>
        <w:spacing w:after="0" w:line="21"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Executive Officer and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20"/>
          </w:cols>
          <w:pgMar w:left="240" w:top="555" w:right="539" w:bottom="1440" w:gutter="0" w:footer="0" w:header="0"/>
        </w:sectPr>
      </w:pPr>
    </w:p>
    <w:bookmarkStart w:id="3" w:name="page4"/>
    <w:bookmarkEnd w:id="3"/>
    <w:p>
      <w:pPr>
        <w:ind w:left="10420"/>
        <w:spacing w:after="0"/>
        <w:rPr>
          <w:sz w:val="20"/>
          <w:szCs w:val="20"/>
          <w:color w:val="auto"/>
        </w:rPr>
      </w:pPr>
      <w:r>
        <w:rPr>
          <w:rFonts w:ascii="Times New Roman" w:cs="Times New Roman" w:eastAsia="Times New Roman" w:hAnsi="Times New Roman"/>
          <w:sz w:val="16"/>
          <w:szCs w:val="16"/>
          <w:b w:val="1"/>
          <w:bCs w:val="1"/>
          <w:color w:val="auto"/>
        </w:rPr>
        <w:t>Exhibit 99.01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926465" cy="5746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26465" cy="574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ACM Research Reports Fourth Quarter and Fiscal Year 2018 Results</w:t>
      </w:r>
    </w:p>
    <w:p>
      <w:pPr>
        <w:spacing w:after="0" w:line="160"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auto"/>
        </w:rPr>
        <w:t>FREMONT, California, March 6, 2019 (Globe Newswire) – ACM Research, Inc. (“ACM” or the “Company”) (NASDAQ:ACMR), a provider of single-wafer wet cleaning equipment used by manufacturers of advanced semiconductors, today reported financial results for its fourth quarter and fiscal year ended December 31, 2018.</w:t>
      </w:r>
    </w:p>
    <w:p>
      <w:pPr>
        <w:spacing w:after="0" w:line="11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ACM’s President and Chief Executive Officer Dr. David Wang commented, “Our strong financial performance in 2018 was a result of robust customer demand and crisp execution. We delivered 104% revenue growth, expanded operating margins, and generated $6.9 million in cash flow from operations. In addition to strong financial results, we made significant operating progress in 2018. We ramped production at our second factory, delivered a significant number of first tools, and introduced our newest major platform, the Ultra-C Tahoe.”</w:t>
      </w:r>
    </w:p>
    <w:p>
      <w:pPr>
        <w:spacing w:after="0" w:line="123"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8"/>
          <w:szCs w:val="18"/>
          <w:color w:val="auto"/>
        </w:rPr>
        <w:t>Dr. Wang continued, “As we head into 2019, we continue to see solid business momentum. We are committed to achieving our vision of becoming a major player in the semiconductor equipment market, and we look forward to delivering another strong year in 2019.”</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Operating Highlights</w:t>
      </w:r>
    </w:p>
    <w:p>
      <w:pPr>
        <w:spacing w:after="0" w:line="158" w:lineRule="exact"/>
        <w:rPr>
          <w:sz w:val="20"/>
          <w:szCs w:val="20"/>
          <w:color w:val="auto"/>
        </w:rPr>
      </w:pPr>
    </w:p>
    <w:p>
      <w:pPr>
        <w:jc w:val="both"/>
        <w:ind w:left="340" w:hanging="332"/>
        <w:spacing w:after="0" w:line="264"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Shipments. </w:t>
      </w:r>
      <w:r>
        <w:rPr>
          <w:rFonts w:ascii="Times New Roman" w:cs="Times New Roman" w:eastAsia="Times New Roman" w:hAnsi="Times New Roman"/>
          <w:sz w:val="18"/>
          <w:szCs w:val="18"/>
          <w:color w:val="auto"/>
        </w:rPr>
        <w:t>Total shipments in 2018 were approximately $95 million, versus $40 million in 2017. Total shipments in the fourth quarter of 2018 were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approximately $32 million, versus $13 million in the fourth quarter of 2017, and $32 million in the third quarter of 2018. Total shipments include deliveries for revenue in the quarter, and deliveries of systems awaiting customer acceptance for potential revenue in future quarters.</w:t>
      </w:r>
    </w:p>
    <w:p>
      <w:pPr>
        <w:spacing w:after="0" w:line="113" w:lineRule="exact"/>
        <w:rPr>
          <w:rFonts w:ascii="Times New Roman" w:cs="Times New Roman" w:eastAsia="Times New Roman" w:hAnsi="Times New Roman"/>
          <w:sz w:val="18"/>
          <w:szCs w:val="18"/>
          <w:color w:val="auto"/>
        </w:rPr>
      </w:pPr>
    </w:p>
    <w:p>
      <w:pPr>
        <w:ind w:left="340" w:hanging="332"/>
        <w:spacing w:after="0" w:line="277"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New Production Facility Ramping</w:t>
      </w:r>
      <w:r>
        <w:rPr>
          <w:rFonts w:ascii="Times New Roman" w:cs="Times New Roman" w:eastAsia="Times New Roman" w:hAnsi="Times New Roman"/>
          <w:sz w:val="18"/>
          <w:szCs w:val="18"/>
          <w:color w:val="auto"/>
        </w:rPr>
        <w:t>. More than 40% of fourth quarter output was produced at ACM’s second factory. The second factory adds 50,000 square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feet of available floor space to complement the 36,000 square feet at ACM’s initial facility.</w:t>
      </w:r>
    </w:p>
    <w:p>
      <w:pPr>
        <w:spacing w:after="0" w:line="102" w:lineRule="exact"/>
        <w:rPr>
          <w:rFonts w:ascii="Times New Roman" w:cs="Times New Roman" w:eastAsia="Times New Roman" w:hAnsi="Times New Roman"/>
          <w:sz w:val="18"/>
          <w:szCs w:val="18"/>
          <w:color w:val="auto"/>
        </w:rPr>
      </w:pPr>
    </w:p>
    <w:p>
      <w:pPr>
        <w:jc w:val="both"/>
        <w:ind w:left="340" w:hanging="332"/>
        <w:spacing w:after="0" w:line="264"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Ultra-C Tahoe. </w:t>
      </w:r>
      <w:r>
        <w:rPr>
          <w:rFonts w:ascii="Times New Roman" w:cs="Times New Roman" w:eastAsia="Times New Roman" w:hAnsi="Times New Roman"/>
          <w:sz w:val="18"/>
          <w:szCs w:val="18"/>
          <w:color w:val="auto"/>
        </w:rPr>
        <w:t>ACM delivered its first Ultra-C Tahoe evaluation tool in January of 2019. The Ultra-C Tahoe tool incorporates innovative and patented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technology to deliver high cleaning performance, but uses 10% or less of the sulfuric acid typically consumed by conventional high temperature single wafer cleaning tools.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Financial Summary</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5"/>
          </w:tcPr>
          <w:p>
            <w:pPr>
              <w:jc w:val="right"/>
              <w:ind w:right="380"/>
              <w:spacing w:after="0"/>
              <w:rPr>
                <w:sz w:val="20"/>
                <w:szCs w:val="20"/>
                <w:color w:val="auto"/>
              </w:rPr>
            </w:pPr>
            <w:r>
              <w:rPr>
                <w:rFonts w:ascii="Times New Roman" w:cs="Times New Roman" w:eastAsia="Times New Roman" w:hAnsi="Times New Roman"/>
                <w:sz w:val="15"/>
                <w:szCs w:val="15"/>
                <w:b w:val="1"/>
                <w:bCs w:val="1"/>
                <w:color w:val="auto"/>
                <w:w w:val="98"/>
              </w:rPr>
              <w:t>Three Months Ended December 31,</w:t>
            </w:r>
          </w:p>
        </w:tc>
        <w:tc>
          <w:tcPr>
            <w:tcW w:w="3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23"/>
        </w:trPr>
        <w:tc>
          <w:tcPr>
            <w:tcW w:w="47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GAAP</w:t>
            </w:r>
          </w:p>
        </w:tc>
        <w:tc>
          <w:tcPr>
            <w:tcW w:w="100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Non-GAAP(1)</w:t>
            </w:r>
          </w:p>
        </w:tc>
        <w:tc>
          <w:tcPr>
            <w:tcW w:w="74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47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5"/>
                <w:szCs w:val="15"/>
                <w:b w:val="1"/>
                <w:bCs w:val="1"/>
                <w:color w:val="auto"/>
              </w:rPr>
              <w:t>2018</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5"/>
                <w:szCs w:val="15"/>
                <w:b w:val="1"/>
                <w:bCs w:val="1"/>
                <w:color w:val="auto"/>
              </w:rPr>
              <w:t>2017</w:t>
            </w:r>
          </w:p>
        </w:tc>
        <w:tc>
          <w:tcPr>
            <w:tcW w:w="2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5"/>
                <w:szCs w:val="15"/>
                <w:b w:val="1"/>
                <w:bCs w:val="1"/>
                <w:color w:val="auto"/>
              </w:rPr>
              <w:t>2018</w:t>
            </w:r>
          </w:p>
        </w:tc>
        <w:tc>
          <w:tcPr>
            <w:tcW w:w="2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5"/>
                <w:szCs w:val="15"/>
                <w:b w:val="1"/>
                <w:bCs w:val="1"/>
                <w:color w:val="auto"/>
              </w:rPr>
              <w:t>2017</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2"/>
        </w:trPr>
        <w:tc>
          <w:tcPr>
            <w:tcW w:w="47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40" w:type="dxa"/>
            <w:vAlign w:val="bottom"/>
            <w:gridSpan w:val="5"/>
          </w:tcPr>
          <w:p>
            <w:pPr>
              <w:jc w:val="right"/>
              <w:ind w:right="74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3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7"/>
        </w:trPr>
        <w:tc>
          <w:tcPr>
            <w:tcW w:w="4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Revenue</w:t>
            </w:r>
          </w:p>
        </w:tc>
        <w:tc>
          <w:tcPr>
            <w:tcW w:w="15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20,848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17,192</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20,848</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78"/>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Gross margin(2)</w:t>
            </w: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49.5%</w:t>
            </w:r>
          </w:p>
        </w:tc>
        <w:tc>
          <w:tcPr>
            <w:tcW w:w="1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53.4%</w:t>
            </w: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49.6%</w:t>
            </w:r>
          </w:p>
        </w:tc>
        <w:tc>
          <w:tcPr>
            <w:tcW w:w="34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53.4%</w:t>
            </w:r>
          </w:p>
        </w:tc>
      </w:tr>
      <w:tr>
        <w:trPr>
          <w:trHeight w:val="216"/>
        </w:trPr>
        <w:tc>
          <w:tcPr>
            <w:tcW w:w="4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from operations(2)</w:t>
            </w:r>
          </w:p>
        </w:tc>
        <w:tc>
          <w:tcPr>
            <w:tcW w:w="15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3,765</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3,232</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78"/>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income attributable to ACM Research, Inc.(2)</w:t>
            </w:r>
          </w:p>
        </w:tc>
        <w:tc>
          <w:tcPr>
            <w:tcW w:w="15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2,286</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3,384</w:t>
            </w:r>
          </w:p>
        </w:tc>
        <w:tc>
          <w:tcPr>
            <w:tcW w:w="260" w:type="dxa"/>
            <w:vAlign w:val="bottom"/>
          </w:tcPr>
          <w:p>
            <w:pPr>
              <w:spacing w:after="0"/>
              <w:rPr>
                <w:sz w:val="18"/>
                <w:szCs w:val="18"/>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2,878</w:t>
            </w:r>
          </w:p>
        </w:tc>
        <w:tc>
          <w:tcPr>
            <w:tcW w:w="280" w:type="dxa"/>
            <w:vAlign w:val="bottom"/>
          </w:tcPr>
          <w:p>
            <w:pPr>
              <w:spacing w:after="0"/>
              <w:rPr>
                <w:sz w:val="18"/>
                <w:szCs w:val="18"/>
                <w:color w:val="auto"/>
              </w:rPr>
            </w:pPr>
          </w:p>
        </w:tc>
        <w:tc>
          <w:tcPr>
            <w:tcW w:w="340" w:type="dxa"/>
            <w:vAlign w:val="bottom"/>
          </w:tcPr>
          <w:p>
            <w:pPr>
              <w:jc w:val="right"/>
              <w:ind w:right="178"/>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 EPS(2)</w:t>
            </w:r>
          </w:p>
        </w:tc>
        <w:tc>
          <w:tcPr>
            <w:tcW w:w="15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78"/>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8"/>
        </w:trPr>
        <w:tc>
          <w:tcPr>
            <w:tcW w:w="4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Diluted EPS(2)</w:t>
            </w:r>
          </w:p>
        </w:tc>
        <w:tc>
          <w:tcPr>
            <w:tcW w:w="15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2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26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280" w:type="dxa"/>
            <w:vAlign w:val="bottom"/>
          </w:tcPr>
          <w:p>
            <w:pPr>
              <w:spacing w:after="0"/>
              <w:rPr>
                <w:sz w:val="19"/>
                <w:szCs w:val="19"/>
                <w:color w:val="auto"/>
              </w:rPr>
            </w:pPr>
          </w:p>
        </w:tc>
        <w:tc>
          <w:tcPr>
            <w:tcW w:w="340" w:type="dxa"/>
            <w:vAlign w:val="bottom"/>
          </w:tcPr>
          <w:p>
            <w:pPr>
              <w:jc w:val="right"/>
              <w:ind w:right="178"/>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851"/>
        </w:trPr>
        <w:tc>
          <w:tcPr>
            <w:tcW w:w="47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50" w:right="2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6"/>
          </w:tcPr>
          <w:p>
            <w:pPr>
              <w:jc w:val="right"/>
              <w:ind w:right="360"/>
              <w:spacing w:after="0"/>
              <w:rPr>
                <w:sz w:val="20"/>
                <w:szCs w:val="20"/>
                <w:color w:val="auto"/>
              </w:rPr>
            </w:pPr>
            <w:r>
              <w:rPr>
                <w:rFonts w:ascii="Times New Roman" w:cs="Times New Roman" w:eastAsia="Times New Roman" w:hAnsi="Times New Roman"/>
                <w:sz w:val="15"/>
                <w:szCs w:val="15"/>
                <w:b w:val="1"/>
                <w:bCs w:val="1"/>
                <w:color w:val="auto"/>
              </w:rPr>
              <w:t>Twelve Months Ended December 31,</w:t>
            </w:r>
          </w:p>
        </w:tc>
        <w:tc>
          <w:tcPr>
            <w:tcW w:w="3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23"/>
        </w:trPr>
        <w:tc>
          <w:tcPr>
            <w:tcW w:w="6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jc w:val="right"/>
              <w:ind w:right="74"/>
              <w:spacing w:after="0"/>
              <w:rPr>
                <w:sz w:val="20"/>
                <w:szCs w:val="20"/>
                <w:color w:val="auto"/>
              </w:rPr>
            </w:pPr>
            <w:r>
              <w:rPr>
                <w:rFonts w:ascii="Times New Roman" w:cs="Times New Roman" w:eastAsia="Times New Roman" w:hAnsi="Times New Roman"/>
                <w:sz w:val="15"/>
                <w:szCs w:val="15"/>
                <w:b w:val="1"/>
                <w:bCs w:val="1"/>
                <w:color w:val="auto"/>
              </w:rPr>
              <w:t>GAAP</w:t>
            </w:r>
          </w:p>
        </w:tc>
        <w:tc>
          <w:tcPr>
            <w:tcW w:w="86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Non-GAAP(1)</w:t>
            </w:r>
          </w:p>
        </w:tc>
        <w:tc>
          <w:tcPr>
            <w:tcW w:w="74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6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5"/>
                <w:szCs w:val="15"/>
                <w:b w:val="1"/>
                <w:bCs w:val="1"/>
                <w:color w:val="auto"/>
              </w:rPr>
              <w:t>2018</w:t>
            </w:r>
          </w:p>
        </w:tc>
        <w:tc>
          <w:tcPr>
            <w:tcW w:w="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5"/>
                <w:szCs w:val="15"/>
                <w:b w:val="1"/>
                <w:bCs w:val="1"/>
                <w:color w:val="auto"/>
              </w:rPr>
              <w:t>2017</w:t>
            </w:r>
          </w:p>
        </w:tc>
        <w:tc>
          <w:tcPr>
            <w:tcW w:w="2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5"/>
                <w:szCs w:val="15"/>
                <w:b w:val="1"/>
                <w:bCs w:val="1"/>
                <w:color w:val="auto"/>
              </w:rPr>
              <w:t>2018</w:t>
            </w:r>
          </w:p>
        </w:tc>
        <w:tc>
          <w:tcPr>
            <w:tcW w:w="2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5"/>
                <w:szCs w:val="15"/>
                <w:b w:val="1"/>
                <w:bCs w:val="1"/>
                <w:color w:val="auto"/>
              </w:rPr>
              <w:t>2017</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2"/>
        </w:trPr>
        <w:tc>
          <w:tcPr>
            <w:tcW w:w="6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500" w:type="dxa"/>
            <w:vAlign w:val="bottom"/>
            <w:gridSpan w:val="5"/>
          </w:tcPr>
          <w:p>
            <w:pPr>
              <w:jc w:val="right"/>
              <w:ind w:right="74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3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7"/>
        </w:trPr>
        <w:tc>
          <w:tcPr>
            <w:tcW w:w="6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74,643</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36,506</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74,643</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78"/>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36,506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Gross margin(2)</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46.2%</w:t>
            </w: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47.2%</w:t>
            </w: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46.2%</w:t>
            </w:r>
          </w:p>
        </w:tc>
        <w:tc>
          <w:tcPr>
            <w:tcW w:w="34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47.2%</w:t>
            </w:r>
          </w:p>
        </w:tc>
      </w:tr>
      <w:tr>
        <w:trPr>
          <w:trHeight w:val="216"/>
        </w:trPr>
        <w:tc>
          <w:tcPr>
            <w:tcW w:w="6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from operations(2)</w:t>
            </w:r>
          </w:p>
        </w:tc>
        <w:tc>
          <w:tcPr>
            <w:tcW w:w="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6,471</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9,834</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78"/>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income (loss) attributable to ACM Research, Inc.(2)</w:t>
            </w:r>
          </w:p>
        </w:tc>
        <w:tc>
          <w:tcPr>
            <w:tcW w:w="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6,574</w:t>
            </w:r>
          </w:p>
        </w:tc>
        <w:tc>
          <w:tcPr>
            <w:tcW w:w="260" w:type="dxa"/>
            <w:vAlign w:val="bottom"/>
          </w:tcPr>
          <w:p>
            <w:pPr>
              <w:spacing w:after="0"/>
              <w:rPr>
                <w:sz w:val="18"/>
                <w:szCs w:val="18"/>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(318)</w:t>
            </w: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9,937</w:t>
            </w:r>
          </w:p>
        </w:tc>
        <w:tc>
          <w:tcPr>
            <w:tcW w:w="280" w:type="dxa"/>
            <w:vAlign w:val="bottom"/>
          </w:tcPr>
          <w:p>
            <w:pPr>
              <w:spacing w:after="0"/>
              <w:rPr>
                <w:sz w:val="18"/>
                <w:szCs w:val="18"/>
                <w:color w:val="auto"/>
              </w:rPr>
            </w:pPr>
          </w:p>
        </w:tc>
        <w:tc>
          <w:tcPr>
            <w:tcW w:w="340" w:type="dxa"/>
            <w:vAlign w:val="bottom"/>
          </w:tcPr>
          <w:p>
            <w:pPr>
              <w:jc w:val="right"/>
              <w:ind w:right="178"/>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 EPS(2)</w:t>
            </w:r>
          </w:p>
        </w:tc>
        <w:tc>
          <w:tcPr>
            <w:tcW w:w="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(0.05)</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0.63</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78"/>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8"/>
        </w:trPr>
        <w:tc>
          <w:tcPr>
            <w:tcW w:w="6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Diluted EPS(2)</w:t>
            </w:r>
          </w:p>
        </w:tc>
        <w:tc>
          <w:tcPr>
            <w:tcW w:w="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26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(0.05)</w:t>
            </w: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280" w:type="dxa"/>
            <w:vAlign w:val="bottom"/>
          </w:tcPr>
          <w:p>
            <w:pPr>
              <w:spacing w:after="0"/>
              <w:rPr>
                <w:sz w:val="19"/>
                <w:szCs w:val="19"/>
                <w:color w:val="auto"/>
              </w:rPr>
            </w:pPr>
          </w:p>
        </w:tc>
        <w:tc>
          <w:tcPr>
            <w:tcW w:w="340" w:type="dxa"/>
            <w:vAlign w:val="bottom"/>
          </w:tcPr>
          <w:p>
            <w:pPr>
              <w:jc w:val="right"/>
              <w:ind w:right="178"/>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r>
    </w:tbl>
    <w:p>
      <w:pPr>
        <w:spacing w:after="0" w:line="122" w:lineRule="exact"/>
        <w:rPr>
          <w:sz w:val="20"/>
          <w:szCs w:val="20"/>
          <w:color w:val="auto"/>
        </w:rPr>
      </w:pPr>
    </w:p>
    <w:p>
      <w:pPr>
        <w:ind w:left="660" w:right="40" w:hanging="328"/>
        <w:spacing w:after="0" w:line="275" w:lineRule="auto"/>
        <w:tabs>
          <w:tab w:leader="none" w:pos="6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Reconciliations to U.S. generally accepted accounting principles (“GAAP”) financial measures from non-GAAP financial measures are presented below under “Reconciliation of GAAP to Non-GAAP Financial Measures.”</w:t>
      </w:r>
    </w:p>
    <w:p>
      <w:pPr>
        <w:spacing w:after="0" w:line="10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financial measures exclude stock-based compensation.</w:t>
      </w:r>
    </w:p>
    <w:p>
      <w:pPr>
        <w:spacing w:after="0" w:line="155" w:lineRule="exact"/>
        <w:rPr>
          <w:rFonts w:ascii="Times New Roman" w:cs="Times New Roman" w:eastAsia="Times New Roman" w:hAnsi="Times New Roman"/>
          <w:sz w:val="18"/>
          <w:szCs w:val="18"/>
          <w:color w:val="auto"/>
        </w:rPr>
      </w:pPr>
    </w:p>
    <w:p>
      <w:pPr>
        <w:jc w:val="both"/>
        <w:ind w:left="340" w:hanging="332"/>
        <w:spacing w:after="0" w:line="264" w:lineRule="auto"/>
        <w:tabs>
          <w:tab w:leader="none" w:pos="34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Revenue. </w:t>
      </w:r>
      <w:r>
        <w:rPr>
          <w:rFonts w:ascii="Times New Roman" w:cs="Times New Roman" w:eastAsia="Times New Roman" w:hAnsi="Times New Roman"/>
          <w:sz w:val="18"/>
          <w:szCs w:val="18"/>
          <w:color w:val="auto"/>
        </w:rPr>
        <w:t>Revenue for 2018 was $74.6 million, up 104% from 2017, due primarily to an increase in revenue from single-wafer wet cleaning tools. Revenue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fourth quarter of 2018 was $20.8 million, up 21% from the fourth quarter of 2017, due to an increased volume of tools shipped for revenue, and higher prices associated with these tools.</w:t>
      </w:r>
    </w:p>
    <w:p>
      <w:pPr>
        <w:spacing w:after="0" w:line="113" w:lineRule="exact"/>
        <w:rPr>
          <w:rFonts w:ascii="Times New Roman" w:cs="Times New Roman" w:eastAsia="Times New Roman" w:hAnsi="Times New Roman"/>
          <w:sz w:val="18"/>
          <w:szCs w:val="18"/>
          <w:b w:val="1"/>
          <w:bCs w:val="1"/>
          <w:color w:val="auto"/>
        </w:rPr>
      </w:pPr>
    </w:p>
    <w:p>
      <w:pPr>
        <w:jc w:val="both"/>
        <w:ind w:left="340" w:hanging="332"/>
        <w:spacing w:after="0" w:line="264"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Gross margin. </w:t>
      </w:r>
      <w:r>
        <w:rPr>
          <w:rFonts w:ascii="Times New Roman" w:cs="Times New Roman" w:eastAsia="Times New Roman" w:hAnsi="Times New Roman"/>
          <w:sz w:val="18"/>
          <w:szCs w:val="18"/>
          <w:color w:val="auto"/>
        </w:rPr>
        <w:t>Gross margin for 2018 was 46.2%, versus 47.2% in 2017. Gross margin for the fourth quarter of 2018 was 49.5%, versus 53.4% in 2017.</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Gross margin was above the range of 40.0% to 45.0% set forth in the Company’s long-term business model. The Company expects gross margin to vary from period to period due to a variety of factors, such as sales volume and product mix.</w:t>
      </w:r>
    </w:p>
    <w:p>
      <w:pPr>
        <w:spacing w:after="0" w:line="113" w:lineRule="exact"/>
        <w:rPr>
          <w:rFonts w:ascii="Times New Roman" w:cs="Times New Roman" w:eastAsia="Times New Roman" w:hAnsi="Times New Roman"/>
          <w:sz w:val="18"/>
          <w:szCs w:val="18"/>
          <w:color w:val="auto"/>
        </w:rPr>
      </w:pPr>
    </w:p>
    <w:p>
      <w:pPr>
        <w:jc w:val="both"/>
        <w:ind w:left="340" w:hanging="332"/>
        <w:spacing w:after="0" w:line="259"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Operating expenses. </w:t>
      </w:r>
      <w:r>
        <w:rPr>
          <w:rFonts w:ascii="Times New Roman" w:cs="Times New Roman" w:eastAsia="Times New Roman" w:hAnsi="Times New Roman"/>
          <w:sz w:val="18"/>
          <w:szCs w:val="18"/>
          <w:color w:val="auto"/>
        </w:rPr>
        <w:t>Operating expenses for fiscal year 2018 were $28.0 million, compared to $16.5 million in fiscal 2017. The increase in operating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expenses for 2018 was due to higher R&amp;D spending, sales and marketing expenses, and general and administrative expenses. Operating expenses in the fourth quarter of 2018 were $7.7 million, up from $5.4 million in the fourth quarter of 2017. The increase in operating expenses in the fourth quarter of 2018, versus the fourth quarter of 2017 was due primarily to higher R&amp;D spending.</w:t>
      </w:r>
    </w:p>
    <w:p>
      <w:pPr>
        <w:spacing w:after="0" w:line="119" w:lineRule="exact"/>
        <w:rPr>
          <w:rFonts w:ascii="Times New Roman" w:cs="Times New Roman" w:eastAsia="Times New Roman" w:hAnsi="Times New Roman"/>
          <w:sz w:val="18"/>
          <w:szCs w:val="18"/>
          <w:color w:val="auto"/>
        </w:rPr>
      </w:pPr>
    </w:p>
    <w:p>
      <w:pPr>
        <w:ind w:left="340" w:right="20" w:hanging="332"/>
        <w:spacing w:after="0" w:line="277"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income attributable to ACM Research, Inc. </w:t>
      </w:r>
      <w:r>
        <w:rPr>
          <w:rFonts w:ascii="Times New Roman" w:cs="Times New Roman" w:eastAsia="Times New Roman" w:hAnsi="Times New Roman"/>
          <w:sz w:val="18"/>
          <w:szCs w:val="18"/>
          <w:color w:val="auto"/>
        </w:rPr>
        <w:t>Net income for the fiscal year 2018 was $6.6 million, compared to net loss of $0.3 million in fiscal year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2017. Net income in the fourth quarter of 2018 was $2.3 million, compared to $3.4 million in the fourth quarter of 2017.</w:t>
      </w:r>
    </w:p>
    <w:p>
      <w:pPr>
        <w:spacing w:after="0" w:line="102" w:lineRule="exact"/>
        <w:rPr>
          <w:rFonts w:ascii="Times New Roman" w:cs="Times New Roman" w:eastAsia="Times New Roman" w:hAnsi="Times New Roman"/>
          <w:sz w:val="18"/>
          <w:szCs w:val="18"/>
          <w:color w:val="auto"/>
        </w:rPr>
      </w:pPr>
    </w:p>
    <w:p>
      <w:pPr>
        <w:ind w:left="340" w:hanging="332"/>
        <w:spacing w:after="0" w:line="277" w:lineRule="auto"/>
        <w:tabs>
          <w:tab w:leader="none" w:pos="34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Cash and equivalents </w:t>
      </w:r>
      <w:r>
        <w:rPr>
          <w:rFonts w:ascii="Times New Roman" w:cs="Times New Roman" w:eastAsia="Times New Roman" w:hAnsi="Times New Roman"/>
          <w:sz w:val="18"/>
          <w:szCs w:val="18"/>
          <w:color w:val="auto"/>
        </w:rPr>
        <w:t>at quarter-end were $27.1 million, up from $18.2 million at the end of the third quarter of 2018, and $17.7 million in the fourth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quarter of 2017.</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35" w:right="2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auto"/>
        </w:rPr>
        <w:t>Outlook</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fiscal year 2019, the Company expects revenue to be approximately $100 million.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Conference Call Details</w:t>
      </w:r>
    </w:p>
    <w:p>
      <w:pPr>
        <w:spacing w:after="0" w:line="160"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8"/>
          <w:szCs w:val="18"/>
          <w:color w:val="auto"/>
        </w:rPr>
        <w:t>A conference call to discuss results will be held on Thursday, March 7, 2019 at 8:00 a.m. Eastern Time (9:00 p.m. China Time). Dial-in details for the call are as follows. Please reference conference ID 8884467.</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120" w:type="dxa"/>
            <w:vAlign w:val="bottom"/>
          </w:tcPr>
          <w:p>
            <w:pPr>
              <w:spacing w:after="0"/>
              <w:rPr>
                <w:sz w:val="18"/>
                <w:szCs w:val="18"/>
                <w:color w:val="auto"/>
              </w:rPr>
            </w:pPr>
          </w:p>
        </w:tc>
        <w:tc>
          <w:tcPr>
            <w:tcW w:w="2940" w:type="dxa"/>
            <w:vAlign w:val="bottom"/>
            <w:gridSpan w:val="2"/>
          </w:tcPr>
          <w:p>
            <w:pPr>
              <w:ind w:left="760"/>
              <w:spacing w:after="0"/>
              <w:rPr>
                <w:sz w:val="20"/>
                <w:szCs w:val="20"/>
                <w:color w:val="auto"/>
              </w:rPr>
            </w:pPr>
            <w:r>
              <w:rPr>
                <w:rFonts w:ascii="Times New Roman" w:cs="Times New Roman" w:eastAsia="Times New Roman" w:hAnsi="Times New Roman"/>
                <w:sz w:val="18"/>
                <w:szCs w:val="18"/>
                <w:b w:val="1"/>
                <w:bCs w:val="1"/>
                <w:color w:val="auto"/>
              </w:rPr>
              <w:t>Phone Number</w:t>
            </w:r>
          </w:p>
        </w:tc>
        <w:tc>
          <w:tcPr>
            <w:tcW w:w="2120" w:type="dxa"/>
            <w:vAlign w:val="bottom"/>
          </w:tcPr>
          <w:p>
            <w:pPr>
              <w:ind w:left="760"/>
              <w:spacing w:after="0"/>
              <w:rPr>
                <w:sz w:val="20"/>
                <w:szCs w:val="20"/>
                <w:color w:val="auto"/>
              </w:rPr>
            </w:pPr>
            <w:r>
              <w:rPr>
                <w:rFonts w:ascii="Times New Roman" w:cs="Times New Roman" w:eastAsia="Times New Roman" w:hAnsi="Times New Roman"/>
                <w:sz w:val="18"/>
                <w:szCs w:val="18"/>
                <w:b w:val="1"/>
                <w:bCs w:val="1"/>
                <w:color w:val="auto"/>
                <w:w w:val="95"/>
              </w:rPr>
              <w:t>Toll-Free Number</w:t>
            </w:r>
          </w:p>
        </w:tc>
      </w:tr>
      <w:tr>
        <w:trPr>
          <w:trHeight w:val="216"/>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94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+1 (845) 675-0437</w:t>
            </w:r>
          </w:p>
        </w:tc>
        <w:tc>
          <w:tcPr>
            <w:tcW w:w="2120" w:type="dxa"/>
            <w:vAlign w:val="bottom"/>
          </w:tcPr>
          <w:p>
            <w:pPr>
              <w:ind w:left="760"/>
              <w:spacing w:after="0"/>
              <w:rPr>
                <w:sz w:val="20"/>
                <w:szCs w:val="20"/>
                <w:color w:val="auto"/>
              </w:rPr>
            </w:pPr>
            <w:r>
              <w:rPr>
                <w:rFonts w:ascii="Times New Roman" w:cs="Times New Roman" w:eastAsia="Times New Roman" w:hAnsi="Times New Roman"/>
                <w:sz w:val="18"/>
                <w:szCs w:val="18"/>
                <w:color w:val="auto"/>
                <w:w w:val="98"/>
              </w:rPr>
              <w:t>+1 (866) 519-4004</w:t>
            </w:r>
          </w:p>
        </w:tc>
      </w:tr>
      <w:tr>
        <w:trPr>
          <w:trHeight w:val="216"/>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Hong Kong</w:t>
            </w:r>
          </w:p>
        </w:tc>
        <w:tc>
          <w:tcPr>
            <w:tcW w:w="294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+852 3018 6771</w:t>
            </w:r>
          </w:p>
        </w:tc>
        <w:tc>
          <w:tcPr>
            <w:tcW w:w="21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+852 8009 06601</w:t>
            </w:r>
          </w:p>
        </w:tc>
      </w:tr>
      <w:tr>
        <w:trPr>
          <w:trHeight w:val="216"/>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Mainland China</w:t>
            </w:r>
          </w:p>
        </w:tc>
        <w:tc>
          <w:tcPr>
            <w:tcW w:w="1040" w:type="dxa"/>
            <w:vAlign w:val="bottom"/>
          </w:tcPr>
          <w:p>
            <w:pPr>
              <w:ind w:left="760"/>
              <w:spacing w:after="0"/>
              <w:rPr>
                <w:sz w:val="20"/>
                <w:szCs w:val="20"/>
                <w:color w:val="auto"/>
              </w:rPr>
            </w:pPr>
            <w:r>
              <w:rPr>
                <w:rFonts w:ascii="Times New Roman" w:cs="Times New Roman" w:eastAsia="Times New Roman" w:hAnsi="Times New Roman"/>
                <w:sz w:val="18"/>
                <w:szCs w:val="18"/>
                <w:color w:val="auto"/>
                <w:w w:val="92"/>
              </w:rPr>
              <w:t>+86</w:t>
            </w:r>
          </w:p>
        </w:tc>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(800) 819 0121</w:t>
            </w:r>
          </w:p>
        </w:tc>
        <w:tc>
          <w:tcPr>
            <w:tcW w:w="2120" w:type="dxa"/>
            <w:vAlign w:val="bottom"/>
          </w:tcPr>
          <w:p>
            <w:pPr>
              <w:spacing w:after="0"/>
              <w:rPr>
                <w:sz w:val="18"/>
                <w:szCs w:val="18"/>
                <w:color w:val="auto"/>
              </w:rPr>
            </w:pPr>
          </w:p>
        </w:tc>
      </w:tr>
      <w:tr>
        <w:trPr>
          <w:trHeight w:val="216"/>
        </w:trPr>
        <w:tc>
          <w:tcPr>
            <w:tcW w:w="2120" w:type="dxa"/>
            <w:vAlign w:val="bottom"/>
          </w:tcPr>
          <w:p>
            <w:pPr>
              <w:spacing w:after="0"/>
              <w:rPr>
                <w:sz w:val="18"/>
                <w:szCs w:val="18"/>
                <w:color w:val="auto"/>
              </w:rPr>
            </w:pPr>
          </w:p>
        </w:tc>
        <w:tc>
          <w:tcPr>
            <w:tcW w:w="1040" w:type="dxa"/>
            <w:vAlign w:val="bottom"/>
          </w:tcPr>
          <w:p>
            <w:pPr>
              <w:ind w:left="760"/>
              <w:spacing w:after="0"/>
              <w:rPr>
                <w:sz w:val="20"/>
                <w:szCs w:val="20"/>
                <w:color w:val="auto"/>
              </w:rPr>
            </w:pPr>
            <w:r>
              <w:rPr>
                <w:rFonts w:ascii="Times New Roman" w:cs="Times New Roman" w:eastAsia="Times New Roman" w:hAnsi="Times New Roman"/>
                <w:sz w:val="18"/>
                <w:szCs w:val="18"/>
                <w:color w:val="auto"/>
                <w:w w:val="92"/>
              </w:rPr>
              <w:t>+86</w:t>
            </w:r>
          </w:p>
        </w:tc>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(400) 620 8038</w:t>
            </w:r>
          </w:p>
        </w:tc>
        <w:tc>
          <w:tcPr>
            <w:tcW w:w="2120" w:type="dxa"/>
            <w:vAlign w:val="bottom"/>
          </w:tcPr>
          <w:p>
            <w:pPr>
              <w:spacing w:after="0"/>
              <w:rPr>
                <w:sz w:val="18"/>
                <w:szCs w:val="18"/>
                <w:color w:val="auto"/>
              </w:rPr>
            </w:pPr>
          </w:p>
        </w:tc>
      </w:tr>
      <w:tr>
        <w:trPr>
          <w:trHeight w:val="228"/>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Other International</w:t>
            </w:r>
          </w:p>
        </w:tc>
        <w:tc>
          <w:tcPr>
            <w:tcW w:w="1040" w:type="dxa"/>
            <w:vAlign w:val="bottom"/>
          </w:tcPr>
          <w:p>
            <w:pPr>
              <w:ind w:left="760"/>
              <w:spacing w:after="0"/>
              <w:rPr>
                <w:sz w:val="20"/>
                <w:szCs w:val="20"/>
                <w:color w:val="auto"/>
              </w:rPr>
            </w:pPr>
            <w:r>
              <w:rPr>
                <w:rFonts w:ascii="Times New Roman" w:cs="Times New Roman" w:eastAsia="Times New Roman" w:hAnsi="Times New Roman"/>
                <w:sz w:val="18"/>
                <w:szCs w:val="18"/>
                <w:color w:val="auto"/>
                <w:w w:val="92"/>
              </w:rPr>
              <w:t>+65</w:t>
            </w:r>
          </w:p>
        </w:tc>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6713 5090</w:t>
            </w:r>
          </w:p>
        </w:tc>
        <w:tc>
          <w:tcPr>
            <w:tcW w:w="2120" w:type="dxa"/>
            <w:vAlign w:val="bottom"/>
          </w:tcPr>
          <w:p>
            <w:pPr>
              <w:spacing w:after="0"/>
              <w:rPr>
                <w:sz w:val="19"/>
                <w:szCs w:val="19"/>
                <w:color w:val="auto"/>
              </w:rPr>
            </w:pPr>
          </w:p>
        </w:tc>
      </w:tr>
    </w:tbl>
    <w:p>
      <w:pPr>
        <w:spacing w:after="0" w:line="231" w:lineRule="exact"/>
        <w:rPr>
          <w:sz w:val="20"/>
          <w:szCs w:val="20"/>
          <w:color w:val="auto"/>
        </w:rPr>
      </w:pPr>
    </w:p>
    <w:p>
      <w:pPr>
        <w:ind w:right="1380"/>
        <w:spacing w:after="0" w:line="422" w:lineRule="auto"/>
        <w:rPr>
          <w:sz w:val="20"/>
          <w:szCs w:val="20"/>
          <w:color w:val="auto"/>
        </w:rPr>
      </w:pPr>
      <w:r>
        <w:rPr>
          <w:rFonts w:ascii="Times New Roman" w:cs="Times New Roman" w:eastAsia="Times New Roman" w:hAnsi="Times New Roman"/>
          <w:sz w:val="18"/>
          <w:szCs w:val="18"/>
          <w:color w:val="auto"/>
        </w:rPr>
        <w:t xml:space="preserve">A recording of the webcast will be available on the investor page of the ACM website at </w:t>
      </w:r>
      <w:r>
        <w:rPr>
          <w:rFonts w:ascii="Times New Roman" w:cs="Times New Roman" w:eastAsia="Times New Roman" w:hAnsi="Times New Roman"/>
          <w:sz w:val="18"/>
          <w:szCs w:val="18"/>
          <w:u w:val="single" w:color="auto"/>
          <w:color w:val="0563C1"/>
        </w:rPr>
        <w:t>www.acmrcsh.com</w:t>
      </w:r>
      <w:r>
        <w:rPr>
          <w:rFonts w:ascii="Times New Roman" w:cs="Times New Roman" w:eastAsia="Times New Roman" w:hAnsi="Times New Roman"/>
          <w:sz w:val="18"/>
          <w:szCs w:val="18"/>
          <w:color w:val="auto"/>
        </w:rPr>
        <w:t xml:space="preserve"> for one week following the call. </w:t>
      </w:r>
      <w:r>
        <w:rPr>
          <w:rFonts w:ascii="Times New Roman" w:cs="Times New Roman" w:eastAsia="Times New Roman" w:hAnsi="Times New Roman"/>
          <w:sz w:val="18"/>
          <w:szCs w:val="18"/>
          <w:b w:val="1"/>
          <w:bCs w:val="1"/>
          <w:u w:val="single" w:color="auto"/>
          <w:color w:val="auto"/>
        </w:rPr>
        <w:t>Use of Non-GAAP Financial Measures</w:t>
      </w:r>
    </w:p>
    <w:p>
      <w:pPr>
        <w:spacing w:after="0" w:line="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ACM presents non-GAAP gross margin, operating income, net income (loss) and basic and diluted earnings per share as supplemental measures to GAAP financial measures regarding ACM Research’s operational performance. These supplemental measures exclude the impact of stock-based compensation, which ACM does not believe is indicative of its core operating results. A reconciliation of each non-GAAP financial measure to the most directly comparable GAAP financial measure is provided below under “Reconciliation of Non-GAAP to GAAP Financial Measures.”</w:t>
      </w:r>
    </w:p>
    <w:p>
      <w:pPr>
        <w:spacing w:after="0" w:line="12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ACM believes these non-GAAP financial measures are useful to investors in assessing its operating performance. ACM uses these financial measures internally to evaluate its operating performance and for planning and forecasting of future periods. Financial analysts may focus on and publish both historical results and future projections based on the non-GAAP financial measures. ACM also believes it is in the best interests of investors for ACM to provide this non-GAAP information.</w:t>
      </w:r>
    </w:p>
    <w:p>
      <w:pPr>
        <w:spacing w:after="0" w:line="12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While ACM believes these non-GAAP financial measures provide useful supplemental information to investors, there are limitations associated with the use of these non-GAAP financial measures. These non-GAAP financial measures may not be reported by competitors, and they may not be directly comparable to similarly titled measures of other companies due to differences in calculation methodologies. The non-GAAP financial measures are not an alternative to GAAP information and are not meant to be considered in isolation or as a substitute for comparable GAAP financial measures. They should be used only as a supplement to GAAP information and should be considered only in conjunction with ACM Research’s consolidated financial statements prepared in accordance with GAAP.</w:t>
      </w:r>
    </w:p>
    <w:p>
      <w:pPr>
        <w:spacing w:after="0" w:line="200" w:lineRule="exact"/>
        <w:rPr>
          <w:sz w:val="20"/>
          <w:szCs w:val="20"/>
          <w:color w:val="auto"/>
        </w:rPr>
      </w:pPr>
    </w:p>
    <w:p>
      <w:pPr>
        <w:spacing w:after="0" w:line="23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582" w:right="3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Forward-Looking Statements</w:t>
      </w:r>
    </w:p>
    <w:p>
      <w:pPr>
        <w:spacing w:after="0" w:line="16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Information presented in the third paragraph of this press release and under the heading “Outlook” above contains forward-looking statements for purposes of the safe harbor provisions of the Private Securities Litigation Reform Act of 1995. Actual results may vary significantly from ACM Research’s expectations based on a number of risks and uncertainties, including but not limited to the following: anticipated customer orders or identified market opportunities may not grow or develop as anticipated; customer orders already received may be postponed or canceled; suppliers may not be able to meet ACM Research’s demands on a timely basis; volatile global economic, market, industry and other conditions could result in sharply lower demand for products containing semiconductors and for the company's products and in disruption of capital and credit markets; ACM Research’s failure to successfully manage its operations; and trade regulations, currency fluctuations, political instability and war may materially adversely affect ACM due to its substantial non-U.S. customer and supplier base and its substantial non-U.S. manufacturing operations. ACM cannot guarantee any future results, levels of activity, performance or achievements. ACM expressly disclaims any obligation to update forward-looking statements after the date of this press release.</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ACM Research, Inc.</w:t>
      </w:r>
    </w:p>
    <w:p>
      <w:pPr>
        <w:spacing w:after="0" w:line="160" w:lineRule="exact"/>
        <w:rPr>
          <w:sz w:val="20"/>
          <w:szCs w:val="20"/>
          <w:color w:val="auto"/>
        </w:rPr>
      </w:pPr>
    </w:p>
    <w:p>
      <w:pPr>
        <w:ind w:right="220"/>
        <w:spacing w:after="0" w:line="275" w:lineRule="auto"/>
        <w:rPr>
          <w:sz w:val="20"/>
          <w:szCs w:val="20"/>
          <w:color w:val="auto"/>
        </w:rPr>
      </w:pPr>
      <w:r>
        <w:rPr>
          <w:rFonts w:ascii="Times New Roman" w:cs="Times New Roman" w:eastAsia="Times New Roman" w:hAnsi="Times New Roman"/>
          <w:sz w:val="18"/>
          <w:szCs w:val="18"/>
          <w:color w:val="auto"/>
        </w:rPr>
        <w:t>ACM develops, manufactures and sells single-wafer wet cleaning equipment, which semiconductor manufacturers can use in numerous manufacturing steps to remove particles, contaminants and other random defects, and thereby improve product yield, in fabricating advanced integrated circuits.</w:t>
      </w:r>
    </w:p>
    <w:p>
      <w:pPr>
        <w:spacing w:after="0" w:line="106" w:lineRule="exact"/>
        <w:rPr>
          <w:sz w:val="20"/>
          <w:szCs w:val="20"/>
          <w:color w:val="auto"/>
        </w:rPr>
      </w:pPr>
    </w:p>
    <w:p>
      <w:pPr>
        <w:ind w:right="520" w:firstLine="8"/>
        <w:spacing w:after="0" w:line="275" w:lineRule="auto"/>
        <w:tabs>
          <w:tab w:leader="none" w:pos="16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ACM Research, Inc. The ACM logo is a trademark of ACM Research, Inc. All rights reserved. Any other trademarks are the property of their respective owners.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investor and media inquiries, please contact:</w:t>
      </w:r>
    </w:p>
    <w:p>
      <w:pPr>
        <w:sectPr>
          <w:pgSz w:w="11900" w:h="16838" w:orient="portrait"/>
          <w:cols w:equalWidth="0" w:num="1">
            <w:col w:w="11400"/>
          </w:cols>
          <w:pgMar w:left="240" w:top="582" w:right="259" w:bottom="1440" w:gutter="0" w:footer="0" w:header="0"/>
        </w:sectPr>
      </w:pP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the United States:</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Blueshirt Group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Ralph Fong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(415) 489-2195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ralph@blueshirtgroup.com</w:t>
      </w:r>
    </w:p>
    <w:p>
      <w:pPr>
        <w:spacing w:after="0" w:line="200" w:lineRule="exact"/>
        <w:rPr>
          <w:sz w:val="20"/>
          <w:szCs w:val="20"/>
          <w:color w:val="auto"/>
        </w:rPr>
      </w:pPr>
    </w:p>
    <w:p>
      <w:pPr>
        <w:sectPr>
          <w:pgSz w:w="11900" w:h="16838" w:orient="portrait"/>
          <w:cols w:equalWidth="0" w:num="2">
            <w:col w:w="2160" w:space="720"/>
            <w:col w:w="8520"/>
          </w:cols>
          <w:pgMar w:left="240" w:top="582" w:right="259" w:bottom="1440" w:gutter="0" w:footer="0" w:header="0"/>
          <w:type w:val="continuous"/>
        </w:sectPr>
      </w:pP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China:</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Blueshirt Group Asia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Gary Dvorchak, CFA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+86 (138) 1079-1480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gary@blueshirtgroup.com</w:t>
      </w:r>
    </w:p>
    <w:p>
      <w:pPr>
        <w:spacing w:after="0" w:line="200" w:lineRule="exact"/>
        <w:rPr>
          <w:sz w:val="20"/>
          <w:szCs w:val="20"/>
          <w:color w:val="auto"/>
        </w:rPr>
      </w:pPr>
    </w:p>
    <w:p>
      <w:pPr>
        <w:sectPr>
          <w:pgSz w:w="11900" w:h="16838" w:orient="portrait"/>
          <w:cols w:equalWidth="0" w:num="2">
            <w:col w:w="2160" w:space="720"/>
            <w:col w:w="8520"/>
          </w:cols>
          <w:pgMar w:left="240" w:top="582" w:right="2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2" w:right="259" w:bottom="1440" w:gutter="0" w:footer="0" w:header="0"/>
          <w:type w:val="continuous"/>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ACM RESEARCH,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4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38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December 31,</w:t>
            </w:r>
          </w:p>
        </w:tc>
        <w:tc>
          <w:tcPr>
            <w:tcW w:w="12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7"/>
              </w:rPr>
              <w:t>December 31,</w:t>
            </w:r>
          </w:p>
        </w:tc>
      </w:tr>
      <w:tr>
        <w:trPr>
          <w:trHeight w:val="239"/>
        </w:trPr>
        <w:tc>
          <w:tcPr>
            <w:tcW w:w="554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8"/>
                <w:szCs w:val="18"/>
                <w:b w:val="1"/>
                <w:bCs w:val="1"/>
                <w:color w:val="auto"/>
                <w:w w:val="94"/>
              </w:rPr>
              <w:t>2018</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2017</w:t>
            </w:r>
          </w:p>
        </w:tc>
        <w:tc>
          <w:tcPr>
            <w:tcW w:w="140" w:type="dxa"/>
            <w:vAlign w:val="bottom"/>
          </w:tcPr>
          <w:p>
            <w:pPr>
              <w:spacing w:after="0"/>
              <w:rPr>
                <w:sz w:val="20"/>
                <w:szCs w:val="20"/>
                <w:color w:val="auto"/>
              </w:rPr>
            </w:pPr>
          </w:p>
        </w:tc>
      </w:tr>
      <w:tr>
        <w:trPr>
          <w:trHeight w:val="227"/>
        </w:trPr>
        <w:tc>
          <w:tcPr>
            <w:tcW w:w="554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i w:val="1"/>
                <w:iCs w:val="1"/>
                <w:color w:val="auto"/>
                <w:w w:val="97"/>
              </w:rPr>
              <w:t>(unaudited)</w:t>
            </w: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16"/>
        </w:trPr>
        <w:tc>
          <w:tcPr>
            <w:tcW w:w="554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80" w:type="dxa"/>
            <w:vAlign w:val="bottom"/>
            <w:gridSpan w:val="5"/>
          </w:tcPr>
          <w:p>
            <w:pPr>
              <w:jc w:val="right"/>
              <w:ind w:right="260"/>
              <w:spacing w:after="0"/>
              <w:rPr>
                <w:sz w:val="20"/>
                <w:szCs w:val="20"/>
                <w:color w:val="auto"/>
              </w:rPr>
            </w:pPr>
            <w:r>
              <w:rPr>
                <w:rFonts w:ascii="Times New Roman" w:cs="Times New Roman" w:eastAsia="Times New Roman" w:hAnsi="Times New Roman"/>
                <w:sz w:val="18"/>
                <w:szCs w:val="18"/>
                <w:i w:val="1"/>
                <w:iCs w:val="1"/>
                <w:color w:val="auto"/>
                <w:w w:val="96"/>
              </w:rPr>
              <w:t>(in thousands, except share and</w:t>
            </w:r>
          </w:p>
        </w:tc>
      </w:tr>
      <w:tr>
        <w:trPr>
          <w:trHeight w:val="230"/>
        </w:trPr>
        <w:tc>
          <w:tcPr>
            <w:tcW w:w="554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80" w:type="dxa"/>
            <w:vAlign w:val="bottom"/>
            <w:gridSpan w:val="5"/>
          </w:tcPr>
          <w:p>
            <w:pPr>
              <w:jc w:val="right"/>
              <w:ind w:right="820"/>
              <w:spacing w:after="0"/>
              <w:rPr>
                <w:sz w:val="20"/>
                <w:szCs w:val="20"/>
                <w:color w:val="auto"/>
              </w:rPr>
            </w:pPr>
            <w:r>
              <w:rPr>
                <w:rFonts w:ascii="Times New Roman" w:cs="Times New Roman" w:eastAsia="Times New Roman" w:hAnsi="Times New Roman"/>
                <w:sz w:val="18"/>
                <w:szCs w:val="18"/>
                <w:i w:val="1"/>
                <w:iCs w:val="1"/>
                <w:color w:val="auto"/>
              </w:rPr>
              <w:t>per share data)</w:t>
            </w:r>
          </w:p>
        </w:tc>
      </w:tr>
      <w:tr>
        <w:trPr>
          <w:trHeight w:val="243"/>
        </w:trPr>
        <w:tc>
          <w:tcPr>
            <w:tcW w:w="5540" w:type="dxa"/>
            <w:vAlign w:val="bottom"/>
          </w:tcPr>
          <w:p>
            <w:pPr>
              <w:ind w:left="41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43"/>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18"/>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27,124</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17,681</w:t>
            </w:r>
          </w:p>
        </w:tc>
        <w:tc>
          <w:tcPr>
            <w:tcW w:w="140" w:type="dxa"/>
            <w:vAlign w:val="bottom"/>
            <w:shd w:val="clear" w:color="auto" w:fill="CCEEFF"/>
          </w:tcPr>
          <w:p>
            <w:pPr>
              <w:spacing w:after="0"/>
              <w:rPr>
                <w:sz w:val="18"/>
                <w:szCs w:val="18"/>
                <w:color w:val="auto"/>
              </w:rPr>
            </w:pPr>
          </w:p>
        </w:tc>
      </w:tr>
      <w:tr>
        <w:trPr>
          <w:trHeight w:val="202"/>
        </w:trPr>
        <w:tc>
          <w:tcPr>
            <w:tcW w:w="554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Accounts receivable, less allowance for doubtful accounts of $0 as of</w:t>
            </w:r>
          </w:p>
        </w:tc>
        <w:tc>
          <w:tcPr>
            <w:tcW w:w="3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28"/>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2018 and $0 as of December 31, 2017</w:t>
            </w:r>
          </w:p>
        </w:tc>
        <w:tc>
          <w:tcPr>
            <w:tcW w:w="3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24,608</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26,762</w:t>
            </w:r>
          </w:p>
        </w:tc>
        <w:tc>
          <w:tcPr>
            <w:tcW w:w="140" w:type="dxa"/>
            <w:vAlign w:val="bottom"/>
          </w:tcPr>
          <w:p>
            <w:pPr>
              <w:spacing w:after="0"/>
              <w:rPr>
                <w:sz w:val="19"/>
                <w:szCs w:val="19"/>
                <w:color w:val="auto"/>
              </w:rPr>
            </w:pPr>
          </w:p>
        </w:tc>
      </w:tr>
      <w:tr>
        <w:trPr>
          <w:trHeight w:val="218"/>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3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2,491</w:t>
            </w:r>
          </w:p>
        </w:tc>
        <w:tc>
          <w:tcPr>
            <w:tcW w:w="140" w:type="dxa"/>
            <w:vAlign w:val="bottom"/>
            <w:shd w:val="clear" w:color="auto" w:fill="CCEEFF"/>
          </w:tcPr>
          <w:p>
            <w:pPr>
              <w:spacing w:after="0"/>
              <w:rPr>
                <w:sz w:val="18"/>
                <w:szCs w:val="18"/>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Inventories</w:t>
            </w:r>
          </w:p>
        </w:tc>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38,764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15,388</w:t>
            </w:r>
          </w:p>
        </w:tc>
        <w:tc>
          <w:tcPr>
            <w:tcW w:w="140" w:type="dxa"/>
            <w:vAlign w:val="bottom"/>
          </w:tcPr>
          <w:p>
            <w:pPr>
              <w:spacing w:after="0"/>
              <w:rPr>
                <w:sz w:val="18"/>
                <w:szCs w:val="18"/>
                <w:color w:val="auto"/>
              </w:rPr>
            </w:pPr>
          </w:p>
        </w:tc>
      </w:tr>
      <w:tr>
        <w:trPr>
          <w:trHeight w:val="21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3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140" w:type="dxa"/>
            <w:vAlign w:val="bottom"/>
            <w:shd w:val="clear" w:color="auto" w:fill="CCEEFF"/>
          </w:tcPr>
          <w:p>
            <w:pPr>
              <w:spacing w:after="0"/>
              <w:rPr>
                <w:sz w:val="18"/>
                <w:szCs w:val="18"/>
                <w:color w:val="auto"/>
              </w:rPr>
            </w:pPr>
          </w:p>
        </w:tc>
      </w:tr>
      <w:tr>
        <w:trPr>
          <w:trHeight w:val="223"/>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3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40" w:type="dxa"/>
            <w:vAlign w:val="bottom"/>
          </w:tcPr>
          <w:p>
            <w:pPr>
              <w:spacing w:after="0"/>
              <w:rPr>
                <w:sz w:val="19"/>
                <w:szCs w:val="19"/>
                <w:color w:val="auto"/>
              </w:rPr>
            </w:pPr>
          </w:p>
        </w:tc>
      </w:tr>
      <w:tr>
        <w:trPr>
          <w:trHeight w:val="216"/>
        </w:trPr>
        <w:tc>
          <w:tcPr>
            <w:tcW w:w="5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3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96,028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62,914</w:t>
            </w:r>
          </w:p>
        </w:tc>
        <w:tc>
          <w:tcPr>
            <w:tcW w:w="140" w:type="dxa"/>
            <w:vAlign w:val="bottom"/>
            <w:shd w:val="clear" w:color="auto" w:fill="CCEEFF"/>
          </w:tcPr>
          <w:p>
            <w:pPr>
              <w:spacing w:after="0"/>
              <w:rPr>
                <w:sz w:val="18"/>
                <w:szCs w:val="18"/>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2,340</w:t>
            </w:r>
          </w:p>
        </w:tc>
        <w:tc>
          <w:tcPr>
            <w:tcW w:w="140" w:type="dxa"/>
            <w:vAlign w:val="bottom"/>
          </w:tcPr>
          <w:p>
            <w:pPr>
              <w:spacing w:after="0"/>
              <w:rPr>
                <w:sz w:val="18"/>
                <w:szCs w:val="18"/>
                <w:color w:val="auto"/>
              </w:rPr>
            </w:pPr>
          </w:p>
        </w:tc>
      </w:tr>
      <w:tr>
        <w:trPr>
          <w:trHeight w:val="21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3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40" w:type="dxa"/>
            <w:vAlign w:val="bottom"/>
            <w:shd w:val="clear" w:color="auto" w:fill="CCEEFF"/>
          </w:tcPr>
          <w:p>
            <w:pPr>
              <w:spacing w:after="0"/>
              <w:rPr>
                <w:sz w:val="18"/>
                <w:szCs w:val="18"/>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140" w:type="dxa"/>
            <w:vAlign w:val="bottom"/>
          </w:tcPr>
          <w:p>
            <w:pPr>
              <w:spacing w:after="0"/>
              <w:rPr>
                <w:sz w:val="18"/>
                <w:szCs w:val="18"/>
                <w:color w:val="auto"/>
              </w:rPr>
            </w:pPr>
          </w:p>
        </w:tc>
      </w:tr>
      <w:tr>
        <w:trPr>
          <w:trHeight w:val="21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 affiliates, equity method</w:t>
            </w:r>
          </w:p>
        </w:tc>
        <w:tc>
          <w:tcPr>
            <w:tcW w:w="3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w:t>
            </w:r>
          </w:p>
        </w:tc>
        <w:tc>
          <w:tcPr>
            <w:tcW w:w="140" w:type="dxa"/>
            <w:vAlign w:val="bottom"/>
            <w:shd w:val="clear" w:color="auto" w:fill="CCEEFF"/>
          </w:tcPr>
          <w:p>
            <w:pPr>
              <w:spacing w:after="0"/>
              <w:rPr>
                <w:sz w:val="18"/>
                <w:szCs w:val="18"/>
                <w:color w:val="auto"/>
              </w:rPr>
            </w:pPr>
          </w:p>
        </w:tc>
      </w:tr>
      <w:tr>
        <w:trPr>
          <w:trHeight w:val="223"/>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3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r>
      <w:tr>
        <w:trPr>
          <w:trHeight w:val="257"/>
        </w:trPr>
        <w:tc>
          <w:tcPr>
            <w:tcW w:w="5540" w:type="dxa"/>
            <w:vAlign w:val="bottom"/>
            <w:tcBorders>
              <w:bottom w:val="single" w:sz="8" w:color="CCEEFF"/>
            </w:tcBorders>
            <w:shd w:val="clear" w:color="auto" w:fill="CCEEFF"/>
          </w:tcPr>
          <w:p>
            <w:pPr>
              <w:ind w:left="110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2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103,047</w:t>
            </w:r>
          </w:p>
        </w:tc>
        <w:tc>
          <w:tcPr>
            <w:tcW w:w="2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67,891</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10"/>
        </w:trPr>
        <w:tc>
          <w:tcPr>
            <w:tcW w:w="5540" w:type="dxa"/>
            <w:vAlign w:val="bottom"/>
          </w:tcPr>
          <w:p>
            <w:pPr>
              <w:ind w:left="130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5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Short-term borrowings</w:t>
            </w:r>
          </w:p>
        </w:tc>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5,095</w:t>
            </w:r>
          </w:p>
        </w:tc>
        <w:tc>
          <w:tcPr>
            <w:tcW w:w="140" w:type="dxa"/>
            <w:vAlign w:val="bottom"/>
          </w:tcPr>
          <w:p>
            <w:pPr>
              <w:spacing w:after="0"/>
              <w:rPr>
                <w:sz w:val="18"/>
                <w:szCs w:val="18"/>
                <w:color w:val="auto"/>
              </w:rPr>
            </w:pPr>
          </w:p>
        </w:tc>
      </w:tr>
      <w:tr>
        <w:trPr>
          <w:trHeight w:val="21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liability</w:t>
            </w:r>
          </w:p>
        </w:tc>
        <w:tc>
          <w:tcPr>
            <w:tcW w:w="3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3,079</w:t>
            </w:r>
          </w:p>
        </w:tc>
        <w:tc>
          <w:tcPr>
            <w:tcW w:w="140" w:type="dxa"/>
            <w:vAlign w:val="bottom"/>
            <w:shd w:val="clear" w:color="auto" w:fill="CCEEFF"/>
          </w:tcPr>
          <w:p>
            <w:pPr>
              <w:spacing w:after="0"/>
              <w:rPr>
                <w:sz w:val="18"/>
                <w:szCs w:val="18"/>
                <w:color w:val="auto"/>
              </w:rPr>
            </w:pPr>
          </w:p>
        </w:tc>
      </w:tr>
      <w:tr>
        <w:trPr>
          <w:trHeight w:val="216"/>
        </w:trPr>
        <w:tc>
          <w:tcPr>
            <w:tcW w:w="5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16,673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7,419</w:t>
            </w:r>
          </w:p>
        </w:tc>
        <w:tc>
          <w:tcPr>
            <w:tcW w:w="140" w:type="dxa"/>
            <w:vAlign w:val="bottom"/>
          </w:tcPr>
          <w:p>
            <w:pPr>
              <w:spacing w:after="0"/>
              <w:rPr>
                <w:sz w:val="18"/>
                <w:szCs w:val="18"/>
                <w:color w:val="auto"/>
              </w:rPr>
            </w:pPr>
          </w:p>
        </w:tc>
      </w:tr>
      <w:tr>
        <w:trPr>
          <w:trHeight w:val="21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Advances from customers</w:t>
            </w:r>
          </w:p>
        </w:tc>
        <w:tc>
          <w:tcPr>
            <w:tcW w:w="3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40" w:type="dxa"/>
            <w:vAlign w:val="bottom"/>
            <w:shd w:val="clear" w:color="auto" w:fill="CCEEFF"/>
          </w:tcPr>
          <w:p>
            <w:pPr>
              <w:spacing w:after="0"/>
              <w:rPr>
                <w:sz w:val="18"/>
                <w:szCs w:val="18"/>
                <w:color w:val="auto"/>
              </w:rPr>
            </w:pPr>
          </w:p>
        </w:tc>
      </w:tr>
      <w:tr>
        <w:trPr>
          <w:trHeight w:val="216"/>
        </w:trPr>
        <w:tc>
          <w:tcPr>
            <w:tcW w:w="5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taxes payable</w:t>
            </w:r>
          </w:p>
        </w:tc>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40" w:type="dxa"/>
            <w:vAlign w:val="bottom"/>
          </w:tcPr>
          <w:p>
            <w:pPr>
              <w:spacing w:after="0"/>
              <w:rPr>
                <w:sz w:val="18"/>
                <w:szCs w:val="18"/>
                <w:color w:val="auto"/>
              </w:rPr>
            </w:pPr>
          </w:p>
        </w:tc>
      </w:tr>
      <w:tr>
        <w:trPr>
          <w:trHeight w:val="223"/>
        </w:trPr>
        <w:tc>
          <w:tcPr>
            <w:tcW w:w="5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payables and accrued expenses</w:t>
            </w:r>
          </w:p>
        </w:tc>
        <w:tc>
          <w:tcPr>
            <w:tcW w:w="32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10,410</w:t>
            </w:r>
          </w:p>
        </w:tc>
        <w:tc>
          <w:tcPr>
            <w:tcW w:w="2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6,037</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16"/>
        </w:trPr>
        <w:tc>
          <w:tcPr>
            <w:tcW w:w="55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46,140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21,817</w:t>
            </w:r>
          </w:p>
        </w:tc>
        <w:tc>
          <w:tcPr>
            <w:tcW w:w="140" w:type="dxa"/>
            <w:vAlign w:val="bottom"/>
          </w:tcPr>
          <w:p>
            <w:pPr>
              <w:spacing w:after="0"/>
              <w:rPr>
                <w:sz w:val="18"/>
                <w:szCs w:val="18"/>
                <w:color w:val="auto"/>
              </w:rPr>
            </w:pPr>
          </w:p>
        </w:tc>
      </w:tr>
      <w:tr>
        <w:trPr>
          <w:trHeight w:val="223"/>
        </w:trPr>
        <w:tc>
          <w:tcPr>
            <w:tcW w:w="5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2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4,583</w:t>
            </w:r>
          </w:p>
        </w:tc>
        <w:tc>
          <w:tcPr>
            <w:tcW w:w="2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6,217</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16"/>
        </w:trPr>
        <w:tc>
          <w:tcPr>
            <w:tcW w:w="5540" w:type="dxa"/>
            <w:vAlign w:val="bottom"/>
          </w:tcPr>
          <w:p>
            <w:pPr>
              <w:ind w:left="70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50,723</w:t>
            </w: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28,034</w:t>
            </w:r>
          </w:p>
        </w:tc>
        <w:tc>
          <w:tcPr>
            <w:tcW w:w="140" w:type="dxa"/>
            <w:vAlign w:val="bottom"/>
          </w:tcPr>
          <w:p>
            <w:pPr>
              <w:spacing w:after="0"/>
              <w:rPr>
                <w:sz w:val="18"/>
                <w:szCs w:val="18"/>
                <w:color w:val="auto"/>
              </w:rPr>
            </w:pPr>
          </w:p>
        </w:tc>
      </w:tr>
      <w:tr>
        <w:trPr>
          <w:trHeight w:val="21"/>
        </w:trPr>
        <w:tc>
          <w:tcPr>
            <w:tcW w:w="55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3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2"/>
        </w:trPr>
        <w:tc>
          <w:tcPr>
            <w:tcW w:w="554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w w:val="99"/>
              </w:rPr>
              <w:t>Common stock – Class A, par value $0.0001: 100,000,000 shares authorized</w:t>
            </w:r>
          </w:p>
        </w:tc>
        <w:tc>
          <w:tcPr>
            <w:tcW w:w="3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1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 of December 31, 2018 and 2017. 14,110,315 shares issued and</w:t>
            </w:r>
          </w:p>
        </w:tc>
        <w:tc>
          <w:tcPr>
            <w:tcW w:w="3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2018 and 12,935,546 shares issued and</w:t>
            </w:r>
          </w:p>
        </w:tc>
        <w:tc>
          <w:tcPr>
            <w:tcW w:w="3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30"/>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2017</w:t>
            </w:r>
          </w:p>
        </w:tc>
        <w:tc>
          <w:tcPr>
            <w:tcW w:w="3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20"/>
                <w:szCs w:val="20"/>
                <w:color w:val="auto"/>
              </w:rPr>
            </w:pPr>
          </w:p>
        </w:tc>
      </w:tr>
      <w:tr>
        <w:trPr>
          <w:trHeight w:val="202"/>
        </w:trPr>
        <w:tc>
          <w:tcPr>
            <w:tcW w:w="554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Common stock–Class B, par value $0.0001: 7,303,533 shares authorized as</w:t>
            </w:r>
          </w:p>
        </w:tc>
        <w:tc>
          <w:tcPr>
            <w:tcW w:w="3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of December 31, 2018 and 2017. 1,898,423 shares issued and outstanding as</w:t>
            </w:r>
          </w:p>
        </w:tc>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of December 31, 2018 and 2,409,738 shares issued and outstanding as of</w:t>
            </w:r>
          </w:p>
        </w:tc>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8"/>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2017</w:t>
            </w:r>
          </w:p>
        </w:tc>
        <w:tc>
          <w:tcPr>
            <w:tcW w:w="3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r>
      <w:tr>
        <w:trPr>
          <w:trHeight w:val="218"/>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 in capital</w:t>
            </w:r>
          </w:p>
        </w:tc>
        <w:tc>
          <w:tcPr>
            <w:tcW w:w="3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56,567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49,695</w:t>
            </w:r>
          </w:p>
        </w:tc>
        <w:tc>
          <w:tcPr>
            <w:tcW w:w="140" w:type="dxa"/>
            <w:vAlign w:val="bottom"/>
            <w:shd w:val="clear" w:color="auto" w:fill="CCEEFF"/>
          </w:tcPr>
          <w:p>
            <w:pPr>
              <w:spacing w:after="0"/>
              <w:rPr>
                <w:sz w:val="18"/>
                <w:szCs w:val="18"/>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(3,387)</w:t>
            </w:r>
          </w:p>
        </w:tc>
        <w:tc>
          <w:tcPr>
            <w:tcW w:w="2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(9,961)</w:t>
            </w:r>
          </w:p>
        </w:tc>
      </w:tr>
      <w:tr>
        <w:trPr>
          <w:trHeight w:val="223"/>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3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(857)</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40" w:type="dxa"/>
            <w:vAlign w:val="bottom"/>
            <w:shd w:val="clear" w:color="auto" w:fill="CCEEFF"/>
          </w:tcPr>
          <w:p>
            <w:pPr>
              <w:spacing w:after="0"/>
              <w:rPr>
                <w:sz w:val="19"/>
                <w:szCs w:val="19"/>
                <w:color w:val="auto"/>
              </w:rPr>
            </w:pPr>
          </w:p>
        </w:tc>
      </w:tr>
      <w:tr>
        <w:trPr>
          <w:trHeight w:val="216"/>
        </w:trPr>
        <w:tc>
          <w:tcPr>
            <w:tcW w:w="5540" w:type="dxa"/>
            <w:vAlign w:val="bottom"/>
            <w:tcBorders>
              <w:top w:val="single" w:sz="8" w:color="CCEEFF"/>
            </w:tcBorders>
          </w:tcPr>
          <w:p>
            <w:pPr>
              <w:ind w:left="66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328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52,324</w:t>
            </w:r>
          </w:p>
        </w:tc>
        <w:tc>
          <w:tcPr>
            <w:tcW w:w="28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39,857</w:t>
            </w:r>
          </w:p>
        </w:tc>
        <w:tc>
          <w:tcPr>
            <w:tcW w:w="140" w:type="dxa"/>
            <w:vAlign w:val="bottom"/>
            <w:tcBorders>
              <w:top w:val="single" w:sz="8" w:color="CCEEFF"/>
            </w:tcBorders>
          </w:tcPr>
          <w:p>
            <w:pPr>
              <w:spacing w:after="0"/>
              <w:rPr>
                <w:sz w:val="18"/>
                <w:szCs w:val="18"/>
                <w:color w:val="auto"/>
              </w:rPr>
            </w:pPr>
          </w:p>
        </w:tc>
      </w:tr>
      <w:tr>
        <w:trPr>
          <w:trHeight w:val="21"/>
        </w:trPr>
        <w:tc>
          <w:tcPr>
            <w:tcW w:w="55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554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3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103,047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67,891</w:t>
            </w:r>
          </w:p>
        </w:tc>
        <w:tc>
          <w:tcPr>
            <w:tcW w:w="140" w:type="dxa"/>
            <w:vAlign w:val="bottom"/>
            <w:shd w:val="clear" w:color="auto" w:fill="CCEEFF"/>
          </w:tcPr>
          <w:p>
            <w:pPr>
              <w:spacing w:after="0"/>
              <w:rPr>
                <w:sz w:val="18"/>
                <w:szCs w:val="18"/>
                <w:color w:val="auto"/>
              </w:rPr>
            </w:pPr>
          </w:p>
        </w:tc>
      </w:tr>
      <w:tr>
        <w:trPr>
          <w:trHeight w:val="863"/>
        </w:trPr>
        <w:tc>
          <w:tcPr>
            <w:tcW w:w="554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jc w:val="right"/>
              <w:ind w:right="2972"/>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55" w:right="2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ACM RESEARCH,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6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40" w:type="dxa"/>
            <w:vAlign w:val="bottom"/>
            <w:gridSpan w:val="5"/>
          </w:tcPr>
          <w:p>
            <w:pPr>
              <w:jc w:val="center"/>
              <w:ind w:right="360"/>
              <w:spacing w:after="0"/>
              <w:rPr>
                <w:sz w:val="20"/>
                <w:szCs w:val="20"/>
                <w:color w:val="auto"/>
              </w:rPr>
            </w:pPr>
            <w:r>
              <w:rPr>
                <w:rFonts w:ascii="Times New Roman" w:cs="Times New Roman" w:eastAsia="Times New Roman" w:hAnsi="Times New Roman"/>
                <w:sz w:val="15"/>
                <w:szCs w:val="15"/>
                <w:b w:val="1"/>
                <w:bCs w:val="1"/>
                <w:color w:val="auto"/>
                <w:w w:val="98"/>
              </w:rPr>
              <w:t>Three Months Ended December 31,</w:t>
            </w:r>
          </w:p>
        </w:tc>
        <w:tc>
          <w:tcPr>
            <w:tcW w:w="100" w:type="dxa"/>
            <w:vAlign w:val="bottom"/>
          </w:tcPr>
          <w:p>
            <w:pPr>
              <w:spacing w:after="0"/>
              <w:rPr>
                <w:sz w:val="16"/>
                <w:szCs w:val="16"/>
                <w:color w:val="auto"/>
              </w:rPr>
            </w:pPr>
          </w:p>
        </w:tc>
        <w:tc>
          <w:tcPr>
            <w:tcW w:w="2500" w:type="dxa"/>
            <w:vAlign w:val="bottom"/>
            <w:gridSpan w:val="5"/>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w w:val="97"/>
              </w:rPr>
              <w:t>Year Ended December 31,</w:t>
            </w: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33"/>
              <w:spacing w:after="0"/>
              <w:rPr>
                <w:sz w:val="20"/>
                <w:szCs w:val="20"/>
                <w:color w:val="auto"/>
              </w:rPr>
            </w:pPr>
            <w:r>
              <w:rPr>
                <w:rFonts w:ascii="Times New Roman" w:cs="Times New Roman" w:eastAsia="Times New Roman" w:hAnsi="Times New Roman"/>
                <w:sz w:val="15"/>
                <w:szCs w:val="15"/>
                <w:b w:val="1"/>
                <w:bCs w:val="1"/>
                <w:color w:val="auto"/>
              </w:rPr>
              <w:t>2018</w:t>
            </w:r>
          </w:p>
        </w:tc>
        <w:tc>
          <w:tcPr>
            <w:tcW w:w="260" w:type="dxa"/>
            <w:vAlign w:val="bottom"/>
            <w:tcBorders>
              <w:top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313"/>
              <w:spacing w:after="0"/>
              <w:rPr>
                <w:sz w:val="20"/>
                <w:szCs w:val="20"/>
                <w:color w:val="auto"/>
              </w:rPr>
            </w:pPr>
            <w:r>
              <w:rPr>
                <w:rFonts w:ascii="Times New Roman" w:cs="Times New Roman" w:eastAsia="Times New Roman" w:hAnsi="Times New Roman"/>
                <w:sz w:val="15"/>
                <w:szCs w:val="15"/>
                <w:b w:val="1"/>
                <w:bCs w:val="1"/>
                <w:color w:val="auto"/>
                <w:w w:val="93"/>
              </w:rPr>
              <w:t>2017</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13"/>
              <w:spacing w:after="0"/>
              <w:rPr>
                <w:sz w:val="20"/>
                <w:szCs w:val="20"/>
                <w:color w:val="auto"/>
              </w:rPr>
            </w:pPr>
            <w:r>
              <w:rPr>
                <w:rFonts w:ascii="Times New Roman" w:cs="Times New Roman" w:eastAsia="Times New Roman" w:hAnsi="Times New Roman"/>
                <w:sz w:val="15"/>
                <w:szCs w:val="15"/>
                <w:b w:val="1"/>
                <w:bCs w:val="1"/>
                <w:color w:val="auto"/>
              </w:rPr>
              <w:t>2018</w:t>
            </w:r>
          </w:p>
        </w:tc>
        <w:tc>
          <w:tcPr>
            <w:tcW w:w="2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313"/>
              <w:spacing w:after="0"/>
              <w:rPr>
                <w:sz w:val="20"/>
                <w:szCs w:val="20"/>
                <w:color w:val="auto"/>
              </w:rPr>
            </w:pPr>
            <w:r>
              <w:rPr>
                <w:rFonts w:ascii="Times New Roman" w:cs="Times New Roman" w:eastAsia="Times New Roman" w:hAnsi="Times New Roman"/>
                <w:sz w:val="15"/>
                <w:szCs w:val="15"/>
                <w:b w:val="1"/>
                <w:bCs w:val="1"/>
                <w:color w:val="auto"/>
              </w:rPr>
              <w:t>2017</w:t>
            </w:r>
          </w:p>
        </w:tc>
        <w:tc>
          <w:tcPr>
            <w:tcW w:w="140" w:type="dxa"/>
            <w:vAlign w:val="bottom"/>
          </w:tcPr>
          <w:p>
            <w:pPr>
              <w:spacing w:after="0"/>
              <w:rPr>
                <w:sz w:val="19"/>
                <w:szCs w:val="19"/>
                <w:color w:val="auto"/>
              </w:rPr>
            </w:pPr>
          </w:p>
        </w:tc>
      </w:tr>
      <w:tr>
        <w:trPr>
          <w:trHeight w:val="443"/>
        </w:trPr>
        <w:tc>
          <w:tcPr>
            <w:tcW w:w="2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4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i w:val="1"/>
                <w:iCs w:val="1"/>
                <w:color w:val="auto"/>
                <w:w w:val="97"/>
              </w:rPr>
              <w:t>( In thousands, except share and</w:t>
            </w:r>
          </w:p>
        </w:tc>
        <w:tc>
          <w:tcPr>
            <w:tcW w:w="100" w:type="dxa"/>
            <w:vAlign w:val="bottom"/>
          </w:tcPr>
          <w:p>
            <w:pPr>
              <w:spacing w:after="0"/>
              <w:rPr>
                <w:sz w:val="24"/>
                <w:szCs w:val="24"/>
                <w:color w:val="auto"/>
              </w:rPr>
            </w:pPr>
          </w:p>
        </w:tc>
        <w:tc>
          <w:tcPr>
            <w:tcW w:w="2500" w:type="dxa"/>
            <w:vAlign w:val="bottom"/>
            <w:gridSpan w:val="5"/>
          </w:tcPr>
          <w:p>
            <w:pPr>
              <w:jc w:val="center"/>
              <w:ind w:right="220"/>
              <w:spacing w:after="0"/>
              <w:rPr>
                <w:sz w:val="20"/>
                <w:szCs w:val="20"/>
                <w:color w:val="auto"/>
              </w:rPr>
            </w:pPr>
            <w:r>
              <w:rPr>
                <w:rFonts w:ascii="Times New Roman" w:cs="Times New Roman" w:eastAsia="Times New Roman" w:hAnsi="Times New Roman"/>
                <w:sz w:val="18"/>
                <w:szCs w:val="18"/>
                <w:i w:val="1"/>
                <w:iCs w:val="1"/>
                <w:color w:val="auto"/>
                <w:w w:val="97"/>
              </w:rPr>
              <w:t>( In thousands, except share and</w:t>
            </w:r>
          </w:p>
        </w:tc>
      </w:tr>
      <w:tr>
        <w:trPr>
          <w:trHeight w:val="230"/>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gridSpan w:val="3"/>
          </w:tcPr>
          <w:p>
            <w:pPr>
              <w:jc w:val="center"/>
              <w:ind w:left="513"/>
              <w:spacing w:after="0"/>
              <w:rPr>
                <w:sz w:val="20"/>
                <w:szCs w:val="20"/>
                <w:color w:val="auto"/>
              </w:rPr>
            </w:pPr>
            <w:r>
              <w:rPr>
                <w:rFonts w:ascii="Times New Roman" w:cs="Times New Roman" w:eastAsia="Times New Roman" w:hAnsi="Times New Roman"/>
                <w:sz w:val="18"/>
                <w:szCs w:val="18"/>
                <w:i w:val="1"/>
                <w:iCs w:val="1"/>
                <w:color w:val="auto"/>
                <w:w w:val="97"/>
              </w:rPr>
              <w:t>per share data)</w:t>
            </w: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00" w:type="dxa"/>
            <w:vAlign w:val="bottom"/>
            <w:gridSpan w:val="5"/>
          </w:tcPr>
          <w:p>
            <w:pPr>
              <w:jc w:val="center"/>
              <w:ind w:right="220"/>
              <w:spacing w:after="0"/>
              <w:rPr>
                <w:sz w:val="20"/>
                <w:szCs w:val="20"/>
                <w:color w:val="auto"/>
              </w:rPr>
            </w:pPr>
            <w:r>
              <w:rPr>
                <w:rFonts w:ascii="Times New Roman" w:cs="Times New Roman" w:eastAsia="Times New Roman" w:hAnsi="Times New Roman"/>
                <w:sz w:val="18"/>
                <w:szCs w:val="18"/>
                <w:i w:val="1"/>
                <w:iCs w:val="1"/>
                <w:color w:val="auto"/>
                <w:w w:val="97"/>
              </w:rPr>
              <w:t>per share data)</w:t>
            </w:r>
          </w:p>
        </w:tc>
      </w:tr>
      <w:tr>
        <w:trPr>
          <w:trHeight w:val="218"/>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20,848</w:t>
            </w: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74,643</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36,506</w:t>
            </w:r>
          </w:p>
        </w:tc>
        <w:tc>
          <w:tcPr>
            <w:tcW w:w="1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10,532</w:t>
            </w:r>
          </w:p>
        </w:tc>
        <w:tc>
          <w:tcPr>
            <w:tcW w:w="26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8,019</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40,194</w:t>
            </w: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19,281</w:t>
            </w:r>
          </w:p>
        </w:tc>
        <w:tc>
          <w:tcPr>
            <w:tcW w:w="14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0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10,316</w:t>
            </w:r>
          </w:p>
        </w:tc>
        <w:tc>
          <w:tcPr>
            <w:tcW w:w="26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9,173</w:t>
            </w:r>
          </w:p>
        </w:tc>
        <w:tc>
          <w:tcPr>
            <w:tcW w:w="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34,449</w:t>
            </w:r>
          </w:p>
        </w:tc>
        <w:tc>
          <w:tcPr>
            <w:tcW w:w="2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17,225</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Sales and marketing</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1,845</w:t>
            </w: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9,611</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4,156</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5,138</w:t>
            </w:r>
          </w:p>
        </w:tc>
        <w:tc>
          <w:tcPr>
            <w:tcW w:w="14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0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w:t>
            </w:r>
          </w:p>
        </w:tc>
        <w:tc>
          <w:tcPr>
            <w:tcW w:w="26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w:t>
            </w:r>
          </w:p>
        </w:tc>
        <w:tc>
          <w:tcPr>
            <w:tcW w:w="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7,987</w:t>
            </w:r>
          </w:p>
        </w:tc>
        <w:tc>
          <w:tcPr>
            <w:tcW w:w="2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5,887</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06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Total operating expenses, net</w:t>
            </w: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7,676</w:t>
            </w:r>
          </w:p>
        </w:tc>
        <w:tc>
          <w:tcPr>
            <w:tcW w:w="26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5,408</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27,978</w:t>
            </w: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16,525</w:t>
            </w:r>
          </w:p>
        </w:tc>
        <w:tc>
          <w:tcPr>
            <w:tcW w:w="1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Income (loss) from operations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2,640</w:t>
            </w: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6,471</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(134)</w:t>
            </w: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(277)</w:t>
            </w: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(794)</w:t>
            </w: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income in net income of affiliates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(112)</w:t>
            </w: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shd w:val="clear" w:color="auto" w:fill="CCEEFF"/>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2,445</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(325)</w:t>
            </w: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(159)</w:t>
            </w: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(547)</w:t>
            </w:r>
          </w:p>
        </w:tc>
      </w:tr>
      <w:tr>
        <w:trPr>
          <w:trHeight w:val="27"/>
        </w:trPr>
        <w:tc>
          <w:tcPr>
            <w:tcW w:w="20" w:type="dxa"/>
            <w:vAlign w:val="bottom"/>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2,286</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6,574</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(872)</w:t>
            </w: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(554)</w:t>
            </w:r>
          </w:p>
        </w:tc>
      </w:tr>
      <w:tr>
        <w:trPr>
          <w:trHeight w:val="27"/>
        </w:trPr>
        <w:tc>
          <w:tcPr>
            <w:tcW w:w="20" w:type="dxa"/>
            <w:vAlign w:val="bottom"/>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Net income (loss) attributable to ACM Research, Inc.</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2,286</w:t>
            </w:r>
          </w:p>
        </w:tc>
        <w:tc>
          <w:tcPr>
            <w:tcW w:w="260" w:type="dxa"/>
            <w:vAlign w:val="bottom"/>
          </w:tcPr>
          <w:p>
            <w:pPr>
              <w:spacing w:after="0"/>
              <w:rPr>
                <w:sz w:val="18"/>
                <w:szCs w:val="18"/>
                <w:color w:val="auto"/>
              </w:rPr>
            </w:pPr>
          </w:p>
        </w:tc>
        <w:tc>
          <w:tcPr>
            <w:tcW w:w="40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3,384</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6,574</w:t>
            </w:r>
          </w:p>
        </w:tc>
        <w:tc>
          <w:tcPr>
            <w:tcW w:w="280" w:type="dxa"/>
            <w:vAlign w:val="bottom"/>
          </w:tcPr>
          <w:p>
            <w:pPr>
              <w:spacing w:after="0"/>
              <w:rPr>
                <w:sz w:val="18"/>
                <w:szCs w:val="18"/>
                <w:color w:val="auto"/>
              </w:rPr>
            </w:pPr>
          </w:p>
        </w:tc>
        <w:tc>
          <w:tcPr>
            <w:tcW w:w="24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(318)</w:t>
            </w:r>
          </w:p>
        </w:tc>
      </w:tr>
      <w:tr>
        <w:trPr>
          <w:trHeight w:val="21"/>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 (loss)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income (loss)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2,286</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6,574</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(872)</w:t>
            </w: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(979)</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40" w:type="dxa"/>
            <w:vAlign w:val="bottom"/>
            <w:shd w:val="clear" w:color="auto" w:fill="CCEEFF"/>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2,384</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5,595</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(400)</w:t>
            </w: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Comprehensive income (loss) attributable to non-controlling interests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(369)</w:t>
            </w:r>
          </w:p>
        </w:tc>
      </w:tr>
      <w:tr>
        <w:trPr>
          <w:trHeight w:val="27"/>
        </w:trPr>
        <w:tc>
          <w:tcPr>
            <w:tcW w:w="20" w:type="dxa"/>
            <w:vAlign w:val="bottom"/>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Total comprehensive income (loss) attributable to ACM Research, Inc.</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2,384</w:t>
            </w:r>
          </w:p>
        </w:tc>
        <w:tc>
          <w:tcPr>
            <w:tcW w:w="260" w:type="dxa"/>
            <w:vAlign w:val="bottom"/>
          </w:tcPr>
          <w:p>
            <w:pPr>
              <w:spacing w:after="0"/>
              <w:rPr>
                <w:sz w:val="18"/>
                <w:szCs w:val="18"/>
                <w:color w:val="auto"/>
              </w:rPr>
            </w:pPr>
          </w:p>
        </w:tc>
        <w:tc>
          <w:tcPr>
            <w:tcW w:w="40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3,367</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5,595</w:t>
            </w:r>
          </w:p>
        </w:tc>
        <w:tc>
          <w:tcPr>
            <w:tcW w:w="280" w:type="dxa"/>
            <w:vAlign w:val="bottom"/>
          </w:tcPr>
          <w:p>
            <w:pPr>
              <w:spacing w:after="0"/>
              <w:rPr>
                <w:sz w:val="18"/>
                <w:szCs w:val="18"/>
                <w:color w:val="auto"/>
              </w:rPr>
            </w:pPr>
          </w:p>
        </w:tc>
        <w:tc>
          <w:tcPr>
            <w:tcW w:w="24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w:t>
            </w:r>
          </w:p>
        </w:tc>
      </w:tr>
      <w:tr>
        <w:trPr>
          <w:trHeight w:val="21"/>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42"/>
        </w:trPr>
        <w:tc>
          <w:tcPr>
            <w:tcW w:w="20" w:type="dxa"/>
            <w:vAlign w:val="bottom"/>
          </w:tcPr>
          <w:p>
            <w:pPr>
              <w:spacing w:after="0"/>
              <w:rPr>
                <w:sz w:val="21"/>
                <w:szCs w:val="21"/>
                <w:color w:val="auto"/>
              </w:rPr>
            </w:pPr>
          </w:p>
        </w:tc>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(loss) attributable to ACM Research, Inc. per common share :</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6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26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28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(0.05)</w:t>
            </w:r>
          </w:p>
        </w:tc>
      </w:tr>
      <w:tr>
        <w:trPr>
          <w:trHeight w:val="20"/>
        </w:trPr>
        <w:tc>
          <w:tcPr>
            <w:tcW w:w="20" w:type="dxa"/>
            <w:vAlign w:val="bottom"/>
          </w:tcPr>
          <w:p>
            <w:pPr>
              <w:spacing w:after="0" w:line="20" w:lineRule="exact"/>
              <w:rPr>
                <w:sz w:val="1"/>
                <w:szCs w:val="1"/>
                <w:color w:val="auto"/>
              </w:rPr>
            </w:pPr>
          </w:p>
        </w:tc>
        <w:tc>
          <w:tcPr>
            <w:tcW w:w="60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260" w:type="dxa"/>
            <w:vAlign w:val="bottom"/>
          </w:tcPr>
          <w:p>
            <w:pPr>
              <w:spacing w:after="0"/>
              <w:rPr>
                <w:sz w:val="18"/>
                <w:szCs w:val="18"/>
                <w:color w:val="auto"/>
              </w:rPr>
            </w:pPr>
          </w:p>
        </w:tc>
        <w:tc>
          <w:tcPr>
            <w:tcW w:w="40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280" w:type="dxa"/>
            <w:vAlign w:val="bottom"/>
          </w:tcPr>
          <w:p>
            <w:pPr>
              <w:spacing w:after="0"/>
              <w:rPr>
                <w:sz w:val="18"/>
                <w:szCs w:val="18"/>
                <w:color w:val="auto"/>
              </w:rPr>
            </w:pPr>
          </w:p>
        </w:tc>
        <w:tc>
          <w:tcPr>
            <w:tcW w:w="24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(0.05)</w:t>
            </w:r>
          </w:p>
        </w:tc>
      </w:tr>
      <w:tr>
        <w:trPr>
          <w:trHeight w:val="21"/>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bl>
    <w:p>
      <w:pPr>
        <w:spacing w:after="0" w:line="1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Weighted average common shares outstanding used in computing per share amounts: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32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28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16,004,781</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12,013,651</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15,788,460</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6,865,390</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3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3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18,115,071</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13,587,443</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17,912,105</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6,865,390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220" w:type="dxa"/>
            <w:vAlign w:val="bottom"/>
          </w:tcPr>
          <w:p>
            <w:pPr>
              <w:spacing w:after="0" w:line="20" w:lineRule="exact"/>
              <w:rPr>
                <w:sz w:val="1"/>
                <w:szCs w:val="1"/>
                <w:color w:val="auto"/>
              </w:rPr>
            </w:pPr>
          </w:p>
        </w:tc>
        <w:tc>
          <w:tcPr>
            <w:tcW w:w="2860" w:type="dxa"/>
            <w:vAlign w:val="bottom"/>
            <w:vMerge w:val="restart"/>
          </w:tcPr>
          <w:p>
            <w:pPr>
              <w:jc w:val="right"/>
              <w:ind w:right="232"/>
              <w:spacing w:after="0"/>
              <w:rPr>
                <w:sz w:val="20"/>
                <w:szCs w:val="20"/>
                <w:color w:val="auto"/>
              </w:rPr>
            </w:pPr>
            <w:r>
              <w:rPr>
                <w:rFonts w:ascii="Times New Roman" w:cs="Times New Roman" w:eastAsia="Times New Roman" w:hAnsi="Times New Roman"/>
                <w:sz w:val="18"/>
                <w:szCs w:val="18"/>
                <w:color w:val="auto"/>
              </w:rPr>
              <w:t>6</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68"/>
        </w:trPr>
        <w:tc>
          <w:tcPr>
            <w:tcW w:w="322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55" w:right="2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ACM RESEARCH,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GAAP to Non-GAAP Financial Measures</w:t>
      </w:r>
    </w:p>
    <w:p>
      <w:pPr>
        <w:spacing w:after="0" w:line="145"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color w:val="auto"/>
        </w:rPr>
        <w:t>As described under “Use of Non-GAAP Financial Measures” above, ACM presents non-GAAP gross margin, operating income and net income (loss) as supplemental measures to GAAP financial measures, each of which excludes stock-based compensation (“SBC”) from the equivalent GAAP financial line items. The following tables reconcile gross margin, operating income and net income (loss) to the related non-GAAP financial measures: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gridSpan w:val="8"/>
          </w:tcPr>
          <w:p>
            <w:pPr>
              <w:jc w:val="right"/>
              <w:ind w:right="240"/>
              <w:spacing w:after="0"/>
              <w:rPr>
                <w:sz w:val="20"/>
                <w:szCs w:val="20"/>
                <w:color w:val="auto"/>
              </w:rPr>
            </w:pPr>
            <w:r>
              <w:rPr>
                <w:rFonts w:ascii="Times New Roman" w:cs="Times New Roman" w:eastAsia="Times New Roman" w:hAnsi="Times New Roman"/>
                <w:sz w:val="15"/>
                <w:szCs w:val="15"/>
                <w:b w:val="1"/>
                <w:bCs w:val="1"/>
                <w:color w:val="auto"/>
              </w:rPr>
              <w:t>Three Months Ended December 31,</w:t>
            </w: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5"/>
                <w:szCs w:val="15"/>
                <w:b w:val="1"/>
                <w:bCs w:val="1"/>
                <w:color w:val="auto"/>
              </w:rPr>
              <w:t>2018</w:t>
            </w: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5"/>
                <w:szCs w:val="15"/>
                <w:b w:val="1"/>
                <w:bCs w:val="1"/>
                <w:color w:val="auto"/>
              </w:rPr>
              <w:t>2017</w:t>
            </w: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center"/>
              <w:ind w:right="292"/>
              <w:spacing w:after="0"/>
              <w:rPr>
                <w:sz w:val="20"/>
                <w:szCs w:val="20"/>
                <w:color w:val="auto"/>
              </w:rPr>
            </w:pPr>
            <w:r>
              <w:rPr>
                <w:rFonts w:ascii="Times New Roman" w:cs="Times New Roman" w:eastAsia="Times New Roman" w:hAnsi="Times New Roman"/>
                <w:sz w:val="15"/>
                <w:szCs w:val="15"/>
                <w:b w:val="1"/>
                <w:bCs w:val="1"/>
                <w:color w:val="auto"/>
              </w:rPr>
              <w:t>Actual</w:t>
            </w:r>
          </w:p>
        </w:tc>
        <w:tc>
          <w:tcPr>
            <w:tcW w:w="140" w:type="dxa"/>
            <w:vAlign w:val="bottom"/>
          </w:tcPr>
          <w:p>
            <w:pPr>
              <w:spacing w:after="0"/>
              <w:rPr>
                <w:sz w:val="20"/>
                <w:szCs w:val="20"/>
                <w:color w:val="auto"/>
              </w:rPr>
            </w:pPr>
          </w:p>
        </w:tc>
        <w:tc>
          <w:tcPr>
            <w:tcW w:w="1000" w:type="dxa"/>
            <w:vAlign w:val="bottom"/>
            <w:gridSpan w:val="2"/>
          </w:tcPr>
          <w:p>
            <w:pPr>
              <w:jc w:val="right"/>
              <w:ind w:right="540"/>
              <w:spacing w:after="0"/>
              <w:rPr>
                <w:sz w:val="20"/>
                <w:szCs w:val="20"/>
                <w:color w:val="auto"/>
              </w:rPr>
            </w:pPr>
            <w:r>
              <w:rPr>
                <w:rFonts w:ascii="Times New Roman" w:cs="Times New Roman" w:eastAsia="Times New Roman" w:hAnsi="Times New Roman"/>
                <w:sz w:val="15"/>
                <w:szCs w:val="15"/>
                <w:b w:val="1"/>
                <w:bCs w:val="1"/>
                <w:color w:val="auto"/>
              </w:rPr>
              <w:t>SBC</w:t>
            </w:r>
          </w:p>
        </w:tc>
        <w:tc>
          <w:tcPr>
            <w:tcW w:w="120" w:type="dxa"/>
            <w:vAlign w:val="bottom"/>
          </w:tcPr>
          <w:p>
            <w:pPr>
              <w:spacing w:after="0"/>
              <w:rPr>
                <w:sz w:val="20"/>
                <w:szCs w:val="20"/>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5"/>
                <w:szCs w:val="15"/>
                <w:b w:val="1"/>
                <w:bCs w:val="1"/>
                <w:color w:val="auto"/>
                <w:w w:val="99"/>
              </w:rPr>
              <w:t>Adjusted</w:t>
            </w:r>
          </w:p>
        </w:tc>
        <w:tc>
          <w:tcPr>
            <w:tcW w:w="160" w:type="dxa"/>
            <w:vAlign w:val="bottom"/>
          </w:tcPr>
          <w:p>
            <w:pPr>
              <w:spacing w:after="0"/>
              <w:rPr>
                <w:sz w:val="20"/>
                <w:szCs w:val="20"/>
                <w:color w:val="auto"/>
              </w:rPr>
            </w:pPr>
          </w:p>
        </w:tc>
        <w:tc>
          <w:tcPr>
            <w:tcW w:w="980" w:type="dxa"/>
            <w:vAlign w:val="bottom"/>
            <w:gridSpan w:val="2"/>
          </w:tcPr>
          <w:p>
            <w:pPr>
              <w:jc w:val="center"/>
              <w:ind w:right="360"/>
              <w:spacing w:after="0"/>
              <w:rPr>
                <w:sz w:val="20"/>
                <w:szCs w:val="20"/>
                <w:color w:val="auto"/>
              </w:rPr>
            </w:pPr>
            <w:r>
              <w:rPr>
                <w:rFonts w:ascii="Times New Roman" w:cs="Times New Roman" w:eastAsia="Times New Roman" w:hAnsi="Times New Roman"/>
                <w:sz w:val="15"/>
                <w:szCs w:val="15"/>
                <w:b w:val="1"/>
                <w:bCs w:val="1"/>
                <w:color w:val="auto"/>
                <w:w w:val="98"/>
              </w:rPr>
              <w:t>Actual</w:t>
            </w:r>
          </w:p>
        </w:tc>
        <w:tc>
          <w:tcPr>
            <w:tcW w:w="160" w:type="dxa"/>
            <w:vAlign w:val="bottom"/>
          </w:tcPr>
          <w:p>
            <w:pPr>
              <w:spacing w:after="0"/>
              <w:rPr>
                <w:sz w:val="20"/>
                <w:szCs w:val="20"/>
                <w:color w:val="auto"/>
              </w:rPr>
            </w:pPr>
          </w:p>
        </w:tc>
        <w:tc>
          <w:tcPr>
            <w:tcW w:w="980" w:type="dxa"/>
            <w:vAlign w:val="bottom"/>
            <w:gridSpan w:val="2"/>
          </w:tcPr>
          <w:p>
            <w:pPr>
              <w:jc w:val="right"/>
              <w:ind w:right="540"/>
              <w:spacing w:after="0"/>
              <w:rPr>
                <w:sz w:val="20"/>
                <w:szCs w:val="20"/>
                <w:color w:val="auto"/>
              </w:rPr>
            </w:pPr>
            <w:r>
              <w:rPr>
                <w:rFonts w:ascii="Times New Roman" w:cs="Times New Roman" w:eastAsia="Times New Roman" w:hAnsi="Times New Roman"/>
                <w:sz w:val="15"/>
                <w:szCs w:val="15"/>
                <w:b w:val="1"/>
                <w:bCs w:val="1"/>
                <w:color w:val="auto"/>
              </w:rPr>
              <w:t>SBC</w:t>
            </w:r>
          </w:p>
        </w:tc>
        <w:tc>
          <w:tcPr>
            <w:tcW w:w="120" w:type="dxa"/>
            <w:vAlign w:val="bottom"/>
          </w:tcPr>
          <w:p>
            <w:pPr>
              <w:spacing w:after="0"/>
              <w:rPr>
                <w:sz w:val="20"/>
                <w:szCs w:val="20"/>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9"/>
              </w:rPr>
              <w:t>Adjusted</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5"/>
                <w:szCs w:val="15"/>
                <w:b w:val="1"/>
                <w:bCs w:val="1"/>
                <w:color w:val="auto"/>
                <w:w w:val="98"/>
              </w:rPr>
              <w:t>(GAAP)</w:t>
            </w:r>
          </w:p>
        </w:tc>
        <w:tc>
          <w:tcPr>
            <w:tcW w:w="2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5"/>
                <w:szCs w:val="15"/>
                <w:b w:val="1"/>
                <w:bCs w:val="1"/>
                <w:color w:val="auto"/>
              </w:rPr>
              <w:t>SBC</w:t>
            </w:r>
          </w:p>
        </w:tc>
        <w:tc>
          <w:tcPr>
            <w:tcW w:w="220" w:type="dxa"/>
            <w:vAlign w:val="bottom"/>
          </w:tcPr>
          <w:p>
            <w:pPr>
              <w:spacing w:after="0"/>
              <w:rPr>
                <w:sz w:val="17"/>
                <w:szCs w:val="17"/>
                <w:color w:val="auto"/>
              </w:rPr>
            </w:pPr>
          </w:p>
        </w:tc>
        <w:tc>
          <w:tcPr>
            <w:tcW w:w="9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(Non-GAAP)</w:t>
            </w:r>
          </w:p>
        </w:tc>
        <w:tc>
          <w:tcPr>
            <w:tcW w:w="2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5"/>
                <w:szCs w:val="15"/>
                <w:b w:val="1"/>
                <w:bCs w:val="1"/>
                <w:color w:val="auto"/>
                <w:w w:val="98"/>
              </w:rPr>
              <w:t>(GAAP)</w:t>
            </w:r>
          </w:p>
        </w:tc>
        <w:tc>
          <w:tcPr>
            <w:tcW w:w="2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5"/>
                <w:szCs w:val="15"/>
                <w:b w:val="1"/>
                <w:bCs w:val="1"/>
                <w:color w:val="auto"/>
              </w:rPr>
              <w:t>SBC</w:t>
            </w:r>
          </w:p>
        </w:tc>
        <w:tc>
          <w:tcPr>
            <w:tcW w:w="220" w:type="dxa"/>
            <w:vAlign w:val="bottom"/>
          </w:tcPr>
          <w:p>
            <w:pPr>
              <w:spacing w:after="0"/>
              <w:rPr>
                <w:sz w:val="17"/>
                <w:szCs w:val="17"/>
                <w:color w:val="auto"/>
              </w:rPr>
            </w:pPr>
          </w:p>
        </w:tc>
        <w:tc>
          <w:tcPr>
            <w:tcW w:w="9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(Non-GAAP)</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40" w:type="dxa"/>
            <w:vAlign w:val="bottom"/>
            <w:gridSpan w:val="5"/>
          </w:tcPr>
          <w:p>
            <w:pPr>
              <w:jc w:val="right"/>
              <w:ind w:right="70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4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Revenue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20,848</w:t>
            </w:r>
          </w:p>
        </w:tc>
        <w:tc>
          <w:tcPr>
            <w:tcW w:w="2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20,848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17,192</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Cost of revenue</w:t>
            </w:r>
          </w:p>
        </w:tc>
        <w:tc>
          <w:tcPr>
            <w:tcW w:w="140" w:type="dxa"/>
            <w:vAlign w:val="bottom"/>
          </w:tcPr>
          <w:p>
            <w:pPr>
              <w:spacing w:after="0"/>
              <w:rPr>
                <w:sz w:val="18"/>
                <w:szCs w:val="18"/>
                <w:color w:val="auto"/>
              </w:rPr>
            </w:pPr>
          </w:p>
        </w:tc>
        <w:tc>
          <w:tcPr>
            <w:tcW w:w="1020" w:type="dxa"/>
            <w:vAlign w:val="bottom"/>
            <w:gridSpan w:val="2"/>
          </w:tcPr>
          <w:p>
            <w:pPr>
              <w:jc w:val="right"/>
              <w:ind w:right="92"/>
              <w:spacing w:after="0"/>
              <w:rPr>
                <w:sz w:val="20"/>
                <w:szCs w:val="20"/>
                <w:color w:val="auto"/>
              </w:rPr>
            </w:pPr>
            <w:r>
              <w:rPr>
                <w:rFonts w:ascii="Times New Roman" w:cs="Times New Roman" w:eastAsia="Times New Roman" w:hAnsi="Times New Roman"/>
                <w:sz w:val="18"/>
                <w:szCs w:val="18"/>
                <w:color w:val="auto"/>
              </w:rPr>
              <w:t>(10,532)</w:t>
            </w: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(10,505)</w:t>
            </w:r>
          </w:p>
        </w:tc>
        <w:tc>
          <w:tcPr>
            <w:tcW w:w="1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(8,019)</w:t>
            </w:r>
          </w:p>
        </w:tc>
        <w:tc>
          <w:tcPr>
            <w:tcW w:w="1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(8,013)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Borders>
              <w:right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10,316</w:t>
            </w:r>
          </w:p>
        </w:tc>
        <w:tc>
          <w:tcPr>
            <w:tcW w:w="2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9,179</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Operating expenses:</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Borders>
              <w:right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Sales and marketing</w:t>
            </w:r>
          </w:p>
        </w:tc>
        <w:tc>
          <w:tcPr>
            <w:tcW w:w="14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(1,845)</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(1,840)</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(1,881)</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tcPr>
          <w:p>
            <w:pPr>
              <w:spacing w:after="0"/>
              <w:rPr>
                <w:sz w:val="18"/>
                <w:szCs w:val="18"/>
                <w:color w:val="auto"/>
              </w:rPr>
            </w:pPr>
          </w:p>
        </w:tc>
        <w:tc>
          <w:tcPr>
            <w:tcW w:w="1020" w:type="dxa"/>
            <w:vAlign w:val="bottom"/>
            <w:gridSpan w:val="2"/>
          </w:tcPr>
          <w:p>
            <w:pPr>
              <w:jc w:val="right"/>
              <w:ind w:right="92"/>
              <w:spacing w:after="0"/>
              <w:rPr>
                <w:sz w:val="20"/>
                <w:szCs w:val="20"/>
                <w:color w:val="auto"/>
              </w:rPr>
            </w:pPr>
            <w:r>
              <w:rPr>
                <w:rFonts w:ascii="Times New Roman" w:cs="Times New Roman" w:eastAsia="Times New Roman" w:hAnsi="Times New Roman"/>
                <w:sz w:val="18"/>
                <w:szCs w:val="18"/>
                <w:color w:val="auto"/>
              </w:rPr>
              <w:t>(4,156)</w:t>
            </w: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(124)</w:t>
            </w: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(4,032)</w:t>
            </w:r>
          </w:p>
        </w:tc>
        <w:tc>
          <w:tcPr>
            <w:tcW w:w="1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(2,062)</w:t>
            </w:r>
          </w:p>
        </w:tc>
        <w:tc>
          <w:tcPr>
            <w:tcW w:w="1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Borders>
              <w:right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(1,675)</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(436)</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(1,239)</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(1,465)</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(1,570)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8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2,640</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(592)</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3,232</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3,765</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46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 attributable to ACM Research, Inc.</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2,286</w:t>
            </w:r>
          </w:p>
        </w:tc>
        <w:tc>
          <w:tcPr>
            <w:tcW w:w="240" w:type="dxa"/>
            <w:vAlign w:val="bottom"/>
            <w:tcBorders>
              <w:right w:val="single" w:sz="8" w:color="CCEEFF"/>
            </w:tcBorders>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(592)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2,878</w:t>
            </w:r>
          </w:p>
        </w:tc>
        <w:tc>
          <w:tcPr>
            <w:tcW w:w="2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3,384</w:t>
            </w:r>
          </w:p>
        </w:tc>
        <w:tc>
          <w:tcPr>
            <w:tcW w:w="2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3,315</w:t>
            </w:r>
          </w:p>
        </w:tc>
        <w:tc>
          <w:tcPr>
            <w:tcW w:w="100" w:type="dxa"/>
            <w:vAlign w:val="bottom"/>
            <w:tcBorders>
              <w:left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gridSpan w:val="2"/>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840" w:type="dxa"/>
            <w:vAlign w:val="bottom"/>
            <w:tcBorders>
              <w:right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attributable to ACM Research, Inc. per common share :</w:t>
            </w:r>
          </w:p>
        </w:tc>
        <w:tc>
          <w:tcPr>
            <w:tcW w:w="1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tcBorders>
              <w:left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(0.04)</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8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24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(0.03)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100" w:type="dxa"/>
            <w:vAlign w:val="bottom"/>
            <w:tcBorders>
              <w:left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8"/>
          </w:tcPr>
          <w:p>
            <w:pPr>
              <w:jc w:val="right"/>
              <w:ind w:right="200"/>
              <w:spacing w:after="0"/>
              <w:rPr>
                <w:sz w:val="20"/>
                <w:szCs w:val="20"/>
                <w:color w:val="auto"/>
              </w:rPr>
            </w:pPr>
            <w:r>
              <w:rPr>
                <w:rFonts w:ascii="Times New Roman" w:cs="Times New Roman" w:eastAsia="Times New Roman" w:hAnsi="Times New Roman"/>
                <w:sz w:val="15"/>
                <w:szCs w:val="15"/>
                <w:b w:val="1"/>
                <w:bCs w:val="1"/>
                <w:color w:val="auto"/>
              </w:rPr>
              <w:t>Twelve Months Ended December 31,</w:t>
            </w: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6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5"/>
                <w:szCs w:val="15"/>
                <w:b w:val="1"/>
                <w:bCs w:val="1"/>
                <w:color w:val="auto"/>
              </w:rPr>
              <w:t>2018</w:t>
            </w:r>
          </w:p>
        </w:tc>
        <w:tc>
          <w:tcPr>
            <w:tcW w:w="2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5"/>
                <w:szCs w:val="15"/>
                <w:b w:val="1"/>
                <w:bCs w:val="1"/>
                <w:color w:val="auto"/>
              </w:rPr>
              <w:t>2017</w:t>
            </w:r>
          </w:p>
        </w:tc>
        <w:tc>
          <w:tcPr>
            <w:tcW w:w="2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center"/>
              <w:ind w:right="292"/>
              <w:spacing w:after="0"/>
              <w:rPr>
                <w:sz w:val="20"/>
                <w:szCs w:val="20"/>
                <w:color w:val="auto"/>
              </w:rPr>
            </w:pPr>
            <w:r>
              <w:rPr>
                <w:rFonts w:ascii="Times New Roman" w:cs="Times New Roman" w:eastAsia="Times New Roman" w:hAnsi="Times New Roman"/>
                <w:sz w:val="15"/>
                <w:szCs w:val="15"/>
                <w:b w:val="1"/>
                <w:bCs w:val="1"/>
                <w:color w:val="auto"/>
              </w:rPr>
              <w:t>Actual</w:t>
            </w:r>
          </w:p>
        </w:tc>
        <w:tc>
          <w:tcPr>
            <w:tcW w:w="140" w:type="dxa"/>
            <w:vAlign w:val="bottom"/>
          </w:tcPr>
          <w:p>
            <w:pPr>
              <w:spacing w:after="0"/>
              <w:rPr>
                <w:sz w:val="20"/>
                <w:szCs w:val="20"/>
                <w:color w:val="auto"/>
              </w:rPr>
            </w:pPr>
          </w:p>
        </w:tc>
        <w:tc>
          <w:tcPr>
            <w:tcW w:w="1000" w:type="dxa"/>
            <w:vAlign w:val="bottom"/>
            <w:gridSpan w:val="2"/>
          </w:tcPr>
          <w:p>
            <w:pPr>
              <w:jc w:val="right"/>
              <w:ind w:right="540"/>
              <w:spacing w:after="0"/>
              <w:rPr>
                <w:sz w:val="20"/>
                <w:szCs w:val="20"/>
                <w:color w:val="auto"/>
              </w:rPr>
            </w:pPr>
            <w:r>
              <w:rPr>
                <w:rFonts w:ascii="Times New Roman" w:cs="Times New Roman" w:eastAsia="Times New Roman" w:hAnsi="Times New Roman"/>
                <w:sz w:val="15"/>
                <w:szCs w:val="15"/>
                <w:b w:val="1"/>
                <w:bCs w:val="1"/>
                <w:color w:val="auto"/>
              </w:rPr>
              <w:t>SBC</w:t>
            </w:r>
          </w:p>
        </w:tc>
        <w:tc>
          <w:tcPr>
            <w:tcW w:w="120" w:type="dxa"/>
            <w:vAlign w:val="bottom"/>
          </w:tcPr>
          <w:p>
            <w:pPr>
              <w:spacing w:after="0"/>
              <w:rPr>
                <w:sz w:val="20"/>
                <w:szCs w:val="20"/>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5"/>
                <w:szCs w:val="15"/>
                <w:b w:val="1"/>
                <w:bCs w:val="1"/>
                <w:color w:val="auto"/>
                <w:w w:val="99"/>
              </w:rPr>
              <w:t>Adjusted</w:t>
            </w:r>
          </w:p>
        </w:tc>
        <w:tc>
          <w:tcPr>
            <w:tcW w:w="160" w:type="dxa"/>
            <w:vAlign w:val="bottom"/>
          </w:tcPr>
          <w:p>
            <w:pPr>
              <w:spacing w:after="0"/>
              <w:rPr>
                <w:sz w:val="20"/>
                <w:szCs w:val="20"/>
                <w:color w:val="auto"/>
              </w:rPr>
            </w:pPr>
          </w:p>
        </w:tc>
        <w:tc>
          <w:tcPr>
            <w:tcW w:w="980" w:type="dxa"/>
            <w:vAlign w:val="bottom"/>
            <w:gridSpan w:val="2"/>
          </w:tcPr>
          <w:p>
            <w:pPr>
              <w:jc w:val="center"/>
              <w:ind w:right="360"/>
              <w:spacing w:after="0"/>
              <w:rPr>
                <w:sz w:val="20"/>
                <w:szCs w:val="20"/>
                <w:color w:val="auto"/>
              </w:rPr>
            </w:pPr>
            <w:r>
              <w:rPr>
                <w:rFonts w:ascii="Times New Roman" w:cs="Times New Roman" w:eastAsia="Times New Roman" w:hAnsi="Times New Roman"/>
                <w:sz w:val="15"/>
                <w:szCs w:val="15"/>
                <w:b w:val="1"/>
                <w:bCs w:val="1"/>
                <w:color w:val="auto"/>
                <w:w w:val="98"/>
              </w:rPr>
              <w:t>Actual</w:t>
            </w:r>
          </w:p>
        </w:tc>
        <w:tc>
          <w:tcPr>
            <w:tcW w:w="160" w:type="dxa"/>
            <w:vAlign w:val="bottom"/>
          </w:tcPr>
          <w:p>
            <w:pPr>
              <w:spacing w:after="0"/>
              <w:rPr>
                <w:sz w:val="20"/>
                <w:szCs w:val="20"/>
                <w:color w:val="auto"/>
              </w:rPr>
            </w:pPr>
          </w:p>
        </w:tc>
        <w:tc>
          <w:tcPr>
            <w:tcW w:w="980" w:type="dxa"/>
            <w:vAlign w:val="bottom"/>
            <w:gridSpan w:val="2"/>
          </w:tcPr>
          <w:p>
            <w:pPr>
              <w:jc w:val="right"/>
              <w:ind w:right="540"/>
              <w:spacing w:after="0"/>
              <w:rPr>
                <w:sz w:val="20"/>
                <w:szCs w:val="20"/>
                <w:color w:val="auto"/>
              </w:rPr>
            </w:pPr>
            <w:r>
              <w:rPr>
                <w:rFonts w:ascii="Times New Roman" w:cs="Times New Roman" w:eastAsia="Times New Roman" w:hAnsi="Times New Roman"/>
                <w:sz w:val="15"/>
                <w:szCs w:val="15"/>
                <w:b w:val="1"/>
                <w:bCs w:val="1"/>
                <w:color w:val="auto"/>
              </w:rPr>
              <w:t>SBC</w:t>
            </w:r>
          </w:p>
        </w:tc>
        <w:tc>
          <w:tcPr>
            <w:tcW w:w="120" w:type="dxa"/>
            <w:vAlign w:val="bottom"/>
          </w:tcPr>
          <w:p>
            <w:pPr>
              <w:spacing w:after="0"/>
              <w:rPr>
                <w:sz w:val="20"/>
                <w:szCs w:val="20"/>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9"/>
              </w:rPr>
              <w:t>Adjusted</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5"/>
                <w:szCs w:val="15"/>
                <w:b w:val="1"/>
                <w:bCs w:val="1"/>
                <w:color w:val="auto"/>
                <w:w w:val="98"/>
              </w:rPr>
              <w:t>(GAAP)</w:t>
            </w:r>
          </w:p>
        </w:tc>
        <w:tc>
          <w:tcPr>
            <w:tcW w:w="2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5"/>
                <w:szCs w:val="15"/>
                <w:b w:val="1"/>
                <w:bCs w:val="1"/>
                <w:color w:val="auto"/>
              </w:rPr>
              <w:t>SBC</w:t>
            </w:r>
          </w:p>
        </w:tc>
        <w:tc>
          <w:tcPr>
            <w:tcW w:w="220" w:type="dxa"/>
            <w:vAlign w:val="bottom"/>
          </w:tcPr>
          <w:p>
            <w:pPr>
              <w:spacing w:after="0"/>
              <w:rPr>
                <w:sz w:val="17"/>
                <w:szCs w:val="17"/>
                <w:color w:val="auto"/>
              </w:rPr>
            </w:pPr>
          </w:p>
        </w:tc>
        <w:tc>
          <w:tcPr>
            <w:tcW w:w="9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(Non-GAAP)</w:t>
            </w:r>
          </w:p>
        </w:tc>
        <w:tc>
          <w:tcPr>
            <w:tcW w:w="2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5"/>
                <w:szCs w:val="15"/>
                <w:b w:val="1"/>
                <w:bCs w:val="1"/>
                <w:color w:val="auto"/>
                <w:w w:val="98"/>
              </w:rPr>
              <w:t>(GAAP)</w:t>
            </w:r>
          </w:p>
        </w:tc>
        <w:tc>
          <w:tcPr>
            <w:tcW w:w="2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5"/>
                <w:szCs w:val="15"/>
                <w:b w:val="1"/>
                <w:bCs w:val="1"/>
                <w:color w:val="auto"/>
              </w:rPr>
              <w:t>SBC</w:t>
            </w:r>
          </w:p>
        </w:tc>
        <w:tc>
          <w:tcPr>
            <w:tcW w:w="220" w:type="dxa"/>
            <w:vAlign w:val="bottom"/>
          </w:tcPr>
          <w:p>
            <w:pPr>
              <w:spacing w:after="0"/>
              <w:rPr>
                <w:sz w:val="17"/>
                <w:szCs w:val="17"/>
                <w:color w:val="auto"/>
              </w:rPr>
            </w:pPr>
          </w:p>
        </w:tc>
        <w:tc>
          <w:tcPr>
            <w:tcW w:w="9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(Non-GAAP)</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40" w:type="dxa"/>
            <w:vAlign w:val="bottom"/>
            <w:gridSpan w:val="5"/>
          </w:tcPr>
          <w:p>
            <w:pPr>
              <w:jc w:val="right"/>
              <w:ind w:right="70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4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Revenue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74,643</w:t>
            </w:r>
          </w:p>
        </w:tc>
        <w:tc>
          <w:tcPr>
            <w:tcW w:w="2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74,643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36,506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36,506</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Cost of revenue</w:t>
            </w:r>
          </w:p>
        </w:tc>
        <w:tc>
          <w:tcPr>
            <w:tcW w:w="140" w:type="dxa"/>
            <w:vAlign w:val="bottom"/>
          </w:tcPr>
          <w:p>
            <w:pPr>
              <w:spacing w:after="0"/>
              <w:rPr>
                <w:sz w:val="18"/>
                <w:szCs w:val="18"/>
                <w:color w:val="auto"/>
              </w:rPr>
            </w:pPr>
          </w:p>
        </w:tc>
        <w:tc>
          <w:tcPr>
            <w:tcW w:w="1020" w:type="dxa"/>
            <w:vAlign w:val="bottom"/>
            <w:gridSpan w:val="2"/>
          </w:tcPr>
          <w:p>
            <w:pPr>
              <w:jc w:val="right"/>
              <w:ind w:right="92"/>
              <w:spacing w:after="0"/>
              <w:rPr>
                <w:sz w:val="20"/>
                <w:szCs w:val="20"/>
                <w:color w:val="auto"/>
              </w:rPr>
            </w:pPr>
            <w:r>
              <w:rPr>
                <w:rFonts w:ascii="Times New Roman" w:cs="Times New Roman" w:eastAsia="Times New Roman" w:hAnsi="Times New Roman"/>
                <w:sz w:val="18"/>
                <w:szCs w:val="18"/>
                <w:color w:val="auto"/>
              </w:rPr>
              <w:t>(40,194)</w:t>
            </w: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(40,123)</w:t>
            </w:r>
          </w:p>
        </w:tc>
        <w:tc>
          <w:tcPr>
            <w:tcW w:w="1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(19,281)</w:t>
            </w:r>
          </w:p>
        </w:tc>
        <w:tc>
          <w:tcPr>
            <w:tcW w:w="1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(19,260)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Borders>
              <w:right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34,449</w:t>
            </w:r>
          </w:p>
        </w:tc>
        <w:tc>
          <w:tcPr>
            <w:tcW w:w="2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34,520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17,225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17,246</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Operating expenses:</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Borders>
              <w:right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Sales and marketing</w:t>
            </w:r>
          </w:p>
        </w:tc>
        <w:tc>
          <w:tcPr>
            <w:tcW w:w="14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(9,611)</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(9,491)</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(5,500)</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(5,447)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tcPr>
          <w:p>
            <w:pPr>
              <w:spacing w:after="0"/>
              <w:rPr>
                <w:sz w:val="18"/>
                <w:szCs w:val="18"/>
                <w:color w:val="auto"/>
              </w:rPr>
            </w:pPr>
          </w:p>
        </w:tc>
        <w:tc>
          <w:tcPr>
            <w:tcW w:w="1020" w:type="dxa"/>
            <w:vAlign w:val="bottom"/>
            <w:gridSpan w:val="2"/>
          </w:tcPr>
          <w:p>
            <w:pPr>
              <w:jc w:val="right"/>
              <w:ind w:right="92"/>
              <w:spacing w:after="0"/>
              <w:rPr>
                <w:sz w:val="20"/>
                <w:szCs w:val="20"/>
                <w:color w:val="auto"/>
              </w:rPr>
            </w:pPr>
            <w:r>
              <w:rPr>
                <w:rFonts w:ascii="Times New Roman" w:cs="Times New Roman" w:eastAsia="Times New Roman" w:hAnsi="Times New Roman"/>
                <w:sz w:val="18"/>
                <w:szCs w:val="18"/>
                <w:color w:val="auto"/>
              </w:rPr>
              <w:t>(10,380)</w:t>
            </w: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(255)</w:t>
            </w: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(10,125)</w:t>
            </w:r>
          </w:p>
        </w:tc>
        <w:tc>
          <w:tcPr>
            <w:tcW w:w="1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(5,138)</w:t>
            </w:r>
          </w:p>
        </w:tc>
        <w:tc>
          <w:tcPr>
            <w:tcW w:w="1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Borders>
              <w:right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(7,987)</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(2,917)</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(5,070)</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(5,887)</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(1,499)</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(4,388)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8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6,471</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(3,363)</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9,834</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(1,623)</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46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 attributable to ACM Research, Inc.</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6,574</w:t>
            </w:r>
          </w:p>
        </w:tc>
        <w:tc>
          <w:tcPr>
            <w:tcW w:w="240" w:type="dxa"/>
            <w:vAlign w:val="bottom"/>
            <w:tcBorders>
              <w:right w:val="single" w:sz="8" w:color="CCEEFF"/>
            </w:tcBorders>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(3,363)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9,937</w:t>
            </w:r>
          </w:p>
        </w:tc>
        <w:tc>
          <w:tcPr>
            <w:tcW w:w="2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(1,623)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w:t>
            </w:r>
          </w:p>
        </w:tc>
        <w:tc>
          <w:tcPr>
            <w:tcW w:w="100" w:type="dxa"/>
            <w:vAlign w:val="bottom"/>
            <w:tcBorders>
              <w:left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gridSpan w:val="2"/>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840" w:type="dxa"/>
            <w:vAlign w:val="bottom"/>
            <w:tcBorders>
              <w:right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attributable to ACM Research, Inc. per common share :</w:t>
            </w:r>
          </w:p>
        </w:tc>
        <w:tc>
          <w:tcPr>
            <w:tcW w:w="1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tcBorders>
              <w:left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(0.21)</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0.63</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(0.24)</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68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24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(0.19)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tcBorders>
              <w:left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884"/>
        </w:trPr>
        <w:tc>
          <w:tcPr>
            <w:tcW w:w="20" w:type="dxa"/>
            <w:vAlign w:val="bottom"/>
          </w:tcPr>
          <w:p>
            <w:pPr>
              <w:spacing w:after="0"/>
              <w:rPr>
                <w:sz w:val="24"/>
                <w:szCs w:val="24"/>
                <w:color w:val="auto"/>
              </w:rPr>
            </w:pPr>
          </w:p>
        </w:tc>
        <w:tc>
          <w:tcPr>
            <w:tcW w:w="468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Borders>
              <w:top w:val="single" w:sz="8" w:color="auto"/>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76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76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58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4"/>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lvl w:ilvl="1">
      <w:lvlJc w:val="left"/>
      <w:lvlText w:val="(%2)"/>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2019-12-28T14:58:25Z</dcterms:created>
  <dcterms:modified xsi:type="dcterms:W3CDTF">2019-12-28T14:58:25Z</dcterms:modified>
</cp:coreProperties>
</file>