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374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Feng Lisa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00"/>
        <w:spacing w:after="0" w:line="337"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11/04/2019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6"/>
        <w:spacing w:after="0"/>
        <w:rPr>
          <w:sz w:val="20"/>
          <w:szCs w:val="20"/>
          <w:color w:val="auto"/>
        </w:rPr>
      </w:pPr>
      <w:r>
        <w:rPr>
          <w:rFonts w:ascii="Arial" w:cs="Arial" w:eastAsia="Arial" w:hAnsi="Arial"/>
          <w:sz w:val="17"/>
          <w:szCs w:val="17"/>
          <w:color w:val="0000FF"/>
        </w:rPr>
        <w:t>See remarks</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94539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13.64</w:t>
            </w:r>
          </w:p>
        </w:tc>
        <w:tc>
          <w:tcPr>
            <w:tcW w:w="140" w:type="dxa"/>
            <w:vAlign w:val="bottom"/>
          </w:tcPr>
          <w:p>
            <w:pPr>
              <w:spacing w:after="0"/>
              <w:rPr>
                <w:sz w:val="5"/>
                <w:szCs w:val="5"/>
                <w:color w:val="auto"/>
              </w:rPr>
            </w:pPr>
          </w:p>
        </w:tc>
        <w:tc>
          <w:tcPr>
            <w:tcW w:w="1080" w:type="dxa"/>
            <w:vAlign w:val="bottom"/>
            <w:vMerge w:val="restart"/>
          </w:tcPr>
          <w:p>
            <w:pPr>
              <w:ind w:left="280"/>
              <w:spacing w:after="0" w:line="148" w:lineRule="exact"/>
              <w:rPr>
                <w:sz w:val="20"/>
                <w:szCs w:val="20"/>
                <w:color w:val="auto"/>
              </w:rPr>
            </w:pPr>
            <w:r>
              <w:rPr>
                <w:rFonts w:ascii="Arial" w:cs="Arial" w:eastAsia="Arial" w:hAnsi="Arial"/>
                <w:sz w:val="13"/>
                <w:szCs w:val="13"/>
                <w:color w:val="0000FF"/>
              </w:rPr>
              <w:t>11/04/2019</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11/03/2029</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2,500 shares on November 4, 2020 and the remaining 7,500 shares will vest and become exercisable in equal monthly installments over the following 36 months, subject to continued service through each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of ACM Research (Shanghai), Inc.</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L. Johnson, Attorney-</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11/06/2019</w:t>
            </w:r>
          </w:p>
        </w:tc>
        <w:tc>
          <w:tcPr>
            <w:tcW w:w="0" w:type="dxa"/>
            <w:vAlign w:val="bottom"/>
          </w:tcPr>
          <w:p>
            <w:pPr>
              <w:spacing w:after="0"/>
              <w:rPr>
                <w:sz w:val="1"/>
                <w:szCs w:val="1"/>
                <w:color w:val="auto"/>
              </w:rPr>
            </w:pPr>
          </w:p>
        </w:tc>
      </w:tr>
      <w:tr>
        <w:trPr>
          <w:trHeight w:val="92"/>
        </w:trPr>
        <w:tc>
          <w:tcPr>
            <w:tcW w:w="1480" w:type="dxa"/>
            <w:vAlign w:val="bottom"/>
            <w:vMerge w:val="restart"/>
          </w:tcPr>
          <w:p>
            <w:pPr>
              <w:spacing w:after="0"/>
              <w:rPr>
                <w:sz w:val="20"/>
                <w:szCs w:val="20"/>
                <w:color w:val="auto"/>
              </w:rPr>
            </w:pPr>
            <w:r>
              <w:rPr>
                <w:rFonts w:ascii="Arial" w:cs="Arial" w:eastAsia="Arial" w:hAnsi="Arial"/>
                <w:sz w:val="17"/>
                <w:szCs w:val="17"/>
                <w:color w:val="0000FF"/>
                <w:w w:val="93"/>
              </w:rPr>
              <w:t>in-Fact for Lisa Feng</w:t>
            </w:r>
          </w:p>
        </w:tc>
        <w:tc>
          <w:tcPr>
            <w:tcW w:w="8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8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977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2019-12-23T21:53:15Z</dcterms:created>
  <dcterms:modified xsi:type="dcterms:W3CDTF">2019-12-23T21:53:15Z</dcterms:modified>
</cp:coreProperties>
</file>