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7" w:lineRule="exact"/>
        <w:rPr>
          <w:sz w:val="24"/>
          <w:szCs w:val="24"/>
          <w:color w:val="auto"/>
        </w:rPr>
      </w:pPr>
    </w:p>
    <w:p>
      <w:pPr>
        <w:jc w:val="right"/>
        <w:ind w:right="759"/>
        <w:spacing w:after="0"/>
        <w:rPr>
          <w:sz w:val="20"/>
          <w:szCs w:val="20"/>
          <w:color w:val="auto"/>
        </w:rPr>
      </w:pPr>
      <w:r>
        <w:rPr>
          <w:rFonts w:ascii="Times New Roman" w:cs="Times New Roman" w:eastAsia="Times New Roman" w:hAnsi="Times New Roman"/>
          <w:sz w:val="17"/>
          <w:szCs w:val="17"/>
          <w:b w:val="1"/>
          <w:bCs w:val="1"/>
          <w:color w:val="auto"/>
        </w:rPr>
        <w:t>Filed Pursuant to Rule 424(b)(5)</w:t>
      </w:r>
    </w:p>
    <w:p>
      <w:pPr>
        <w:spacing w:after="0" w:line="25" w:lineRule="exact"/>
        <w:rPr>
          <w:sz w:val="24"/>
          <w:szCs w:val="24"/>
          <w:color w:val="auto"/>
        </w:rPr>
      </w:pPr>
    </w:p>
    <w:p>
      <w:pPr>
        <w:jc w:val="right"/>
        <w:ind w:right="719"/>
        <w:spacing w:after="0"/>
        <w:rPr>
          <w:sz w:val="20"/>
          <w:szCs w:val="20"/>
          <w:color w:val="auto"/>
        </w:rPr>
      </w:pPr>
      <w:r>
        <w:rPr>
          <w:rFonts w:ascii="Times New Roman" w:cs="Times New Roman" w:eastAsia="Times New Roman" w:hAnsi="Times New Roman"/>
          <w:sz w:val="17"/>
          <w:szCs w:val="17"/>
          <w:b w:val="1"/>
          <w:bCs w:val="1"/>
          <w:color w:val="auto"/>
        </w:rPr>
        <w:t>Registration No. 333-278041</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(To Prospectus dated March 18,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264795</wp:posOffset>
            </wp:positionV>
            <wp:extent cx="1174750" cy="730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0" cy="730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3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2,884,615 Shares of Class A Common Stock</w:t>
      </w:r>
    </w:p>
    <w:p>
      <w:pPr>
        <w:spacing w:after="0" w:line="113" w:lineRule="exact"/>
        <w:rPr>
          <w:sz w:val="24"/>
          <w:szCs w:val="24"/>
          <w:color w:val="auto"/>
        </w:rPr>
      </w:pPr>
    </w:p>
    <w:p>
      <w:pPr>
        <w:jc w:val="both"/>
        <w:ind w:left="700" w:right="719"/>
        <w:spacing w:after="0" w:line="251" w:lineRule="auto"/>
        <w:rPr>
          <w:sz w:val="20"/>
          <w:szCs w:val="20"/>
          <w:color w:val="auto"/>
        </w:rPr>
      </w:pPr>
      <w:r>
        <w:rPr>
          <w:rFonts w:ascii="Times New Roman" w:cs="Times New Roman" w:eastAsia="Times New Roman" w:hAnsi="Times New Roman"/>
          <w:sz w:val="17"/>
          <w:szCs w:val="17"/>
          <w:color w:val="auto"/>
        </w:rPr>
        <w:t>We are offering to certain institutional and accredited investors (the “Investors”) 2,884,615 shares of Class A common stock, $0.0001 par value per share (the “Class A Common Stock”), of the Company, at the offering price of $52.00 per share, in a registered direct offering pursuant this prospectus supplement and the accompanying prospectus and a securities purchase agreement dated May 12, 2026, by between the Company and the Investors (the “Purchase Agreement”).</w:t>
      </w:r>
    </w:p>
    <w:p>
      <w:pPr>
        <w:spacing w:after="0" w:line="78" w:lineRule="exact"/>
        <w:rPr>
          <w:sz w:val="24"/>
          <w:szCs w:val="24"/>
          <w:color w:val="auto"/>
        </w:rPr>
      </w:pPr>
    </w:p>
    <w:p>
      <w:pPr>
        <w:jc w:val="both"/>
        <w:ind w:left="700" w:right="719"/>
        <w:spacing w:after="0" w:line="303" w:lineRule="auto"/>
        <w:rPr>
          <w:sz w:val="20"/>
          <w:szCs w:val="20"/>
          <w:color w:val="auto"/>
        </w:rPr>
      </w:pPr>
      <w:r>
        <w:rPr>
          <w:rFonts w:ascii="Times New Roman" w:cs="Times New Roman" w:eastAsia="Times New Roman" w:hAnsi="Times New Roman"/>
          <w:sz w:val="16"/>
          <w:szCs w:val="16"/>
          <w:color w:val="auto"/>
        </w:rPr>
        <w:t>Our Class A Common Stock is listed on the Nasdaq Global Market under the symbol “ACMR.” The last reported sale price of our Class A Common Stock on the Nasdaq Global Market on May 11, 2026 was $64.67 per share.</w:t>
      </w:r>
    </w:p>
    <w:p>
      <w:pPr>
        <w:spacing w:after="0" w:line="31" w:lineRule="exact"/>
        <w:rPr>
          <w:sz w:val="24"/>
          <w:szCs w:val="24"/>
          <w:color w:val="auto"/>
        </w:rPr>
      </w:pPr>
    </w:p>
    <w:p>
      <w:pPr>
        <w:jc w:val="both"/>
        <w:ind w:left="700" w:right="719"/>
        <w:spacing w:after="0" w:line="272" w:lineRule="auto"/>
        <w:rPr>
          <w:sz w:val="20"/>
          <w:szCs w:val="20"/>
          <w:color w:val="auto"/>
        </w:rPr>
      </w:pPr>
      <w:r>
        <w:rPr>
          <w:rFonts w:ascii="Times New Roman" w:cs="Times New Roman" w:eastAsia="Times New Roman" w:hAnsi="Times New Roman"/>
          <w:sz w:val="16"/>
          <w:szCs w:val="16"/>
          <w:b w:val="1"/>
          <w:bCs w:val="1"/>
          <w:color w:val="auto"/>
        </w:rPr>
        <w:t>Investing in our Class A Common Stock involves a high degree of risk. You should carefully read and consider this prospectus supplement, the accompanying prospectus, the documents incorporated by reference herein and therein, and the risk factors described in, and incorporated by reference under, “</w:t>
      </w:r>
      <w:r>
        <w:rPr>
          <w:rFonts w:ascii="Times New Roman" w:cs="Times New Roman" w:eastAsia="Times New Roman" w:hAnsi="Times New Roman"/>
          <w:sz w:val="16"/>
          <w:szCs w:val="16"/>
          <w:b w:val="1"/>
          <w:bCs w:val="1"/>
          <w:u w:val="single" w:color="auto"/>
          <w:color w:val="auto"/>
        </w:rPr>
        <w:t>Risk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Factors</w:t>
      </w:r>
      <w:r>
        <w:rPr>
          <w:rFonts w:ascii="Times New Roman" w:cs="Times New Roman" w:eastAsia="Times New Roman" w:hAnsi="Times New Roman"/>
          <w:sz w:val="16"/>
          <w:szCs w:val="16"/>
          <w:b w:val="1"/>
          <w:bCs w:val="1"/>
          <w:color w:val="auto"/>
        </w:rPr>
        <w:t>” beginning on page S-</w:t>
      </w:r>
      <w:r>
        <w:rPr>
          <w:rFonts w:ascii="Times New Roman" w:cs="Times New Roman" w:eastAsia="Times New Roman" w:hAnsi="Times New Roman"/>
          <w:sz w:val="16"/>
          <w:szCs w:val="16"/>
          <w:b w:val="1"/>
          <w:bCs w:val="1"/>
          <w:u w:val="single" w:color="auto"/>
          <w:color w:val="0000EE"/>
        </w:rPr>
        <w:t>4</w:t>
      </w:r>
      <w:r>
        <w:rPr>
          <w:rFonts w:ascii="Times New Roman" w:cs="Times New Roman" w:eastAsia="Times New Roman" w:hAnsi="Times New Roman"/>
          <w:sz w:val="16"/>
          <w:szCs w:val="16"/>
          <w:b w:val="1"/>
          <w:bCs w:val="1"/>
          <w:color w:val="auto"/>
        </w:rPr>
        <w:t xml:space="preserve"> of this prospectus supplement, and under similar headings in the other documents in the other documents incorporated by reference herein before investing in any securities.</w:t>
      </w:r>
    </w:p>
    <w:p>
      <w:pPr>
        <w:spacing w:after="0" w:line="57" w:lineRule="exact"/>
        <w:rPr>
          <w:sz w:val="24"/>
          <w:szCs w:val="24"/>
          <w:color w:val="auto"/>
        </w:rPr>
      </w:pPr>
    </w:p>
    <w:p>
      <w:pPr>
        <w:jc w:val="both"/>
        <w:ind w:left="700" w:right="719"/>
        <w:spacing w:after="0" w:line="26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9" w:lineRule="exact"/>
        <w:rPr>
          <w:sz w:val="24"/>
          <w:szCs w:val="24"/>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7"/>
          <w:szCs w:val="17"/>
          <w:color w:val="auto"/>
        </w:rPr>
        <w:t>Delivery of the Class A Common Stock is expected to be made on or about May 15, 2026, subject to customary closing conditions.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date of this prospectus is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118745</wp:posOffset>
            </wp:positionV>
            <wp:extent cx="647573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17" w:right="1440" w:bottom="1440" w:gutter="0" w:footer="0" w:header="0"/>
        </w:sectPr>
      </w:pPr>
    </w:p>
    <w:bookmarkStart w:id="1" w:name="page2"/>
    <w:bookmarkEnd w:id="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28" w:lineRule="exact"/>
        <w:rPr>
          <w:sz w:val="20"/>
          <w:szCs w:val="20"/>
          <w:color w:val="auto"/>
        </w:rPr>
      </w:pPr>
    </w:p>
    <w:tbl>
      <w:tblPr>
        <w:tblLayout w:type="fixed"/>
        <w:tblInd w:w="6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0" w:type="dxa"/>
            <w:vAlign w:val="bottom"/>
            <w:gridSpan w:val="7"/>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6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ABOUT THIS PROSPECTUS SUPPLEMENT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5"/>
            <w:shd w:val="clear" w:color="auto" w:fill="CCEEFF"/>
          </w:tcPr>
          <w:p>
            <w:pPr>
              <w:jc w:val="right"/>
              <w:ind w:right="20"/>
              <w:spacing w:after="0" w:line="180" w:lineRule="exact"/>
              <w:rPr>
                <w:sz w:val="20"/>
                <w:szCs w:val="20"/>
                <w:color w:val="auto"/>
              </w:rPr>
            </w:pPr>
            <w:r>
              <w:rPr>
                <w:rFonts w:ascii="Times New Roman" w:cs="Times New Roman" w:eastAsia="Times New Roman" w:hAnsi="Times New Roman"/>
                <w:sz w:val="17"/>
                <w:szCs w:val="17"/>
                <w:color w:val="0000EE"/>
                <w:w w:val="84"/>
              </w:rPr>
              <w:t>S-1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60" w:type="dxa"/>
            <w:vAlign w:val="bottom"/>
            <w:gridSpan w:val="14"/>
          </w:tcPr>
          <w:p>
            <w:pPr>
              <w:spacing w:after="0" w:line="175" w:lineRule="exact"/>
              <w:rPr>
                <w:sz w:val="20"/>
                <w:szCs w:val="20"/>
                <w:color w:val="auto"/>
              </w:rPr>
            </w:pPr>
            <w:r>
              <w:rPr>
                <w:rFonts w:ascii="Times New Roman" w:cs="Times New Roman" w:eastAsia="Times New Roman" w:hAnsi="Times New Roman"/>
                <w:sz w:val="17"/>
                <w:szCs w:val="17"/>
                <w:color w:val="0000EE"/>
              </w:rPr>
              <w:t>PROSPECTUS SUPPLEMENT SUMMARY</w:t>
            </w:r>
          </w:p>
        </w:tc>
        <w:tc>
          <w:tcPr>
            <w:tcW w:w="430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5"/>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84"/>
              </w:rPr>
              <w:t>S-2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THE OFFERING</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5"/>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84"/>
              </w:rPr>
              <w:t>S-3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gridSpan w:val="3"/>
          </w:tcPr>
          <w:p>
            <w:pPr>
              <w:spacing w:after="0" w:line="175" w:lineRule="exact"/>
              <w:rPr>
                <w:sz w:val="20"/>
                <w:szCs w:val="20"/>
                <w:color w:val="auto"/>
              </w:rPr>
            </w:pPr>
            <w:r>
              <w:rPr>
                <w:rFonts w:ascii="Times New Roman" w:cs="Times New Roman" w:eastAsia="Times New Roman" w:hAnsi="Times New Roman"/>
                <w:sz w:val="17"/>
                <w:szCs w:val="17"/>
                <w:color w:val="0000EE"/>
                <w:w w:val="95"/>
              </w:rPr>
              <w:t>RISK FACTORS</w:t>
            </w:r>
          </w:p>
        </w:tc>
        <w:tc>
          <w:tcPr>
            <w:tcW w:w="6300" w:type="dxa"/>
            <w:vAlign w:val="bottom"/>
            <w:gridSpan w:val="15"/>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5"/>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84"/>
              </w:rPr>
              <w:t>S-4</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40" w:type="dxa"/>
            <w:vAlign w:val="bottom"/>
            <w:gridSpan w:val="17"/>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CAUTIONARY NOTE REGARDING FORWARD-LOOKING STATEMENTS</w:t>
            </w:r>
          </w:p>
        </w:tc>
        <w:tc>
          <w:tcPr>
            <w:tcW w:w="2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gridSpan w:val="5"/>
            <w:shd w:val="clear" w:color="auto" w:fill="CCEEFF"/>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84"/>
              </w:rPr>
              <w:t>S-7</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2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340" w:type="dxa"/>
            <w:vAlign w:val="bottom"/>
            <w:gridSpan w:val="17"/>
          </w:tcPr>
          <w:p>
            <w:pPr>
              <w:spacing w:after="0" w:line="175" w:lineRule="exact"/>
              <w:rPr>
                <w:sz w:val="20"/>
                <w:szCs w:val="20"/>
                <w:color w:val="auto"/>
              </w:rPr>
            </w:pPr>
            <w:r>
              <w:rPr>
                <w:rFonts w:ascii="Times New Roman" w:cs="Times New Roman" w:eastAsia="Times New Roman" w:hAnsi="Times New Roman"/>
                <w:sz w:val="17"/>
                <w:szCs w:val="17"/>
                <w:color w:val="0000EE"/>
              </w:rPr>
              <w:t>USE OF PROCEEDS</w:t>
            </w: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5"/>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84"/>
              </w:rPr>
              <w:t>S-9</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DIVIDEND POLICY</w:t>
            </w:r>
          </w:p>
        </w:tc>
        <w:tc>
          <w:tcPr>
            <w:tcW w:w="320" w:type="dxa"/>
            <w:vAlign w:val="bottom"/>
            <w:gridSpan w:val="7"/>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S-10</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tcPr>
          <w:p>
            <w:pPr>
              <w:spacing w:after="0" w:line="175" w:lineRule="exact"/>
              <w:rPr>
                <w:sz w:val="20"/>
                <w:szCs w:val="20"/>
                <w:color w:val="auto"/>
              </w:rPr>
            </w:pPr>
            <w:r>
              <w:rPr>
                <w:rFonts w:ascii="Times New Roman" w:cs="Times New Roman" w:eastAsia="Times New Roman" w:hAnsi="Times New Roman"/>
                <w:sz w:val="17"/>
                <w:szCs w:val="17"/>
                <w:color w:val="0000EE"/>
              </w:rPr>
              <w:t>PLAN OF DISTRIBUTION</w:t>
            </w:r>
          </w:p>
        </w:tc>
        <w:tc>
          <w:tcPr>
            <w:tcW w:w="320" w:type="dxa"/>
            <w:vAlign w:val="bottom"/>
            <w:gridSpan w:val="7"/>
          </w:tcPr>
          <w:p>
            <w:pPr>
              <w:jc w:val="right"/>
              <w:ind w:right="20"/>
              <w:spacing w:after="0" w:line="175" w:lineRule="exact"/>
              <w:rPr>
                <w:sz w:val="20"/>
                <w:szCs w:val="20"/>
                <w:color w:val="auto"/>
              </w:rPr>
            </w:pPr>
            <w:r>
              <w:rPr>
                <w:rFonts w:ascii="Times New Roman" w:cs="Times New Roman" w:eastAsia="Times New Roman" w:hAnsi="Times New Roman"/>
                <w:sz w:val="17"/>
                <w:szCs w:val="17"/>
                <w:color w:val="0000EE"/>
                <w:w w:val="87"/>
              </w:rPr>
              <w:t>S-11</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340" w:type="dxa"/>
            <w:vAlign w:val="bottom"/>
            <w:tcBorders>
              <w:bottom w:val="single" w:sz="8" w:color="0000EE"/>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4"/>
              </w:rPr>
              <w:t>LEGAL MATTERS</w:t>
            </w:r>
          </w:p>
        </w:tc>
        <w:tc>
          <w:tcPr>
            <w:tcW w:w="6120" w:type="dxa"/>
            <w:vAlign w:val="bottom"/>
            <w:tcBorders>
              <w:bottom w:val="single" w:sz="8" w:color="CCEEFF"/>
            </w:tcBorders>
            <w:gridSpan w:val="14"/>
            <w:shd w:val="clear" w:color="auto" w:fill="CCEEFF"/>
          </w:tcPr>
          <w:p>
            <w:pPr>
              <w:spacing w:after="0"/>
              <w:rPr>
                <w:sz w:val="17"/>
                <w:szCs w:val="17"/>
                <w:color w:val="auto"/>
              </w:rPr>
            </w:pPr>
          </w:p>
        </w:tc>
        <w:tc>
          <w:tcPr>
            <w:tcW w:w="320" w:type="dxa"/>
            <w:vAlign w:val="bottom"/>
            <w:tcBorders>
              <w:bottom w:val="single" w:sz="8" w:color="0000EE"/>
            </w:tcBorders>
            <w:gridSpan w:val="7"/>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S-12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gridSpan w:val="18"/>
          </w:tcPr>
          <w:p>
            <w:pPr>
              <w:spacing w:after="0" w:line="175" w:lineRule="exact"/>
              <w:rPr>
                <w:sz w:val="20"/>
                <w:szCs w:val="20"/>
                <w:color w:val="auto"/>
              </w:rPr>
            </w:pPr>
            <w:r>
              <w:rPr>
                <w:rFonts w:ascii="Times New Roman" w:cs="Times New Roman" w:eastAsia="Times New Roman" w:hAnsi="Times New Roman"/>
                <w:sz w:val="17"/>
                <w:szCs w:val="17"/>
                <w:color w:val="0000EE"/>
              </w:rPr>
              <w:t>EXPERTS</w:t>
            </w:r>
          </w:p>
        </w:tc>
        <w:tc>
          <w:tcPr>
            <w:tcW w:w="320" w:type="dxa"/>
            <w:vAlign w:val="bottom"/>
            <w:gridSpan w:val="7"/>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S-12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20" w:type="dxa"/>
            <w:vAlign w:val="bottom"/>
            <w:tcBorders>
              <w:bottom w:val="single" w:sz="8" w:color="0000EE"/>
            </w:tcBorders>
            <w:gridSpan w:val="15"/>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WHERE YOU CAN FIND MORE INFORMATION</w:t>
            </w:r>
          </w:p>
        </w:tc>
        <w:tc>
          <w:tcPr>
            <w:tcW w:w="3940" w:type="dxa"/>
            <w:vAlign w:val="bottom"/>
            <w:tcBorders>
              <w:bottom w:val="single" w:sz="8" w:color="CCEEFF"/>
            </w:tcBorders>
            <w:gridSpan w:val="3"/>
            <w:shd w:val="clear" w:color="auto" w:fill="CCEEFF"/>
          </w:tcPr>
          <w:p>
            <w:pPr>
              <w:spacing w:after="0"/>
              <w:rPr>
                <w:sz w:val="17"/>
                <w:szCs w:val="17"/>
                <w:color w:val="auto"/>
              </w:rPr>
            </w:pPr>
          </w:p>
        </w:tc>
        <w:tc>
          <w:tcPr>
            <w:tcW w:w="320" w:type="dxa"/>
            <w:vAlign w:val="bottom"/>
            <w:tcBorders>
              <w:bottom w:val="single" w:sz="8" w:color="0000EE"/>
            </w:tcBorders>
            <w:gridSpan w:val="7"/>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S-13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80" w:type="dxa"/>
            <w:vAlign w:val="bottom"/>
            <w:tcBorders>
              <w:bottom w:val="single" w:sz="8" w:color="0000EE"/>
            </w:tcBorders>
            <w:gridSpan w:val="16"/>
          </w:tcPr>
          <w:p>
            <w:pPr>
              <w:spacing w:after="0" w:line="175" w:lineRule="exact"/>
              <w:rPr>
                <w:sz w:val="20"/>
                <w:szCs w:val="20"/>
                <w:color w:val="auto"/>
              </w:rPr>
            </w:pPr>
            <w:r>
              <w:rPr>
                <w:rFonts w:ascii="Times New Roman" w:cs="Times New Roman" w:eastAsia="Times New Roman" w:hAnsi="Times New Roman"/>
                <w:sz w:val="17"/>
                <w:szCs w:val="17"/>
                <w:color w:val="0000EE"/>
                <w:w w:val="96"/>
              </w:rPr>
              <w:t>INCORPORATION OF CERTAIN INFORMATION BY REFERENCE</w:t>
            </w:r>
          </w:p>
        </w:tc>
        <w:tc>
          <w:tcPr>
            <w:tcW w:w="2680" w:type="dxa"/>
            <w:vAlign w:val="bottom"/>
            <w:gridSpan w:val="2"/>
          </w:tcPr>
          <w:p>
            <w:pPr>
              <w:spacing w:after="0"/>
              <w:rPr>
                <w:sz w:val="15"/>
                <w:szCs w:val="15"/>
                <w:color w:val="auto"/>
              </w:rPr>
            </w:pPr>
          </w:p>
        </w:tc>
        <w:tc>
          <w:tcPr>
            <w:tcW w:w="320" w:type="dxa"/>
            <w:vAlign w:val="bottom"/>
            <w:tcBorders>
              <w:bottom w:val="single" w:sz="8" w:color="0000EE"/>
            </w:tcBorders>
            <w:gridSpan w:val="7"/>
          </w:tcPr>
          <w:p>
            <w:pPr>
              <w:jc w:val="right"/>
              <w:spacing w:after="0" w:line="175" w:lineRule="exact"/>
              <w:rPr>
                <w:sz w:val="20"/>
                <w:szCs w:val="20"/>
                <w:color w:val="auto"/>
              </w:rPr>
            </w:pPr>
            <w:r>
              <w:rPr>
                <w:rFonts w:ascii="Times New Roman" w:cs="Times New Roman" w:eastAsia="Times New Roman" w:hAnsi="Times New Roman"/>
                <w:sz w:val="17"/>
                <w:szCs w:val="17"/>
                <w:color w:val="0000EE"/>
                <w:w w:val="93"/>
              </w:rPr>
              <w:t>S-14</w:t>
            </w: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Prospectus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2"/>
        </w:trPr>
        <w:tc>
          <w:tcPr>
            <w:tcW w:w="7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60" w:type="dxa"/>
            <w:vAlign w:val="bottom"/>
            <w:gridSpan w:val="18"/>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ABOUT THIS PROSPECTUS</w:t>
            </w:r>
          </w:p>
        </w:tc>
        <w:tc>
          <w:tcPr>
            <w:tcW w:w="260" w:type="dxa"/>
            <w:vAlign w:val="bottom"/>
            <w:gridSpan w:val="5"/>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040" w:type="dxa"/>
            <w:vAlign w:val="bottom"/>
            <w:gridSpan w:val="8"/>
          </w:tcPr>
          <w:p>
            <w:pPr>
              <w:spacing w:after="0" w:line="175" w:lineRule="exact"/>
              <w:rPr>
                <w:sz w:val="20"/>
                <w:szCs w:val="20"/>
                <w:color w:val="auto"/>
              </w:rPr>
            </w:pPr>
            <w:r>
              <w:rPr>
                <w:rFonts w:ascii="Times New Roman" w:cs="Times New Roman" w:eastAsia="Times New Roman" w:hAnsi="Times New Roman"/>
                <w:sz w:val="17"/>
                <w:szCs w:val="17"/>
                <w:color w:val="0000EE"/>
              </w:rPr>
              <w:t>ABOUT OUR COMPANY</w:t>
            </w:r>
          </w:p>
        </w:tc>
        <w:tc>
          <w:tcPr>
            <w:tcW w:w="5420" w:type="dxa"/>
            <w:vAlign w:val="bottom"/>
            <w:gridSpan w:val="10"/>
          </w:tcPr>
          <w:p>
            <w:pPr>
              <w:spacing w:after="0"/>
              <w:rPr>
                <w:sz w:val="15"/>
                <w:szCs w:val="15"/>
                <w:color w:val="auto"/>
              </w:rPr>
            </w:pPr>
          </w:p>
        </w:tc>
        <w:tc>
          <w:tcPr>
            <w:tcW w:w="260" w:type="dxa"/>
            <w:vAlign w:val="bottom"/>
            <w:gridSpan w:val="5"/>
          </w:tcPr>
          <w:p>
            <w:pPr>
              <w:jc w:val="right"/>
              <w:spacing w:after="0" w:line="175" w:lineRule="exact"/>
              <w:rPr>
                <w:sz w:val="20"/>
                <w:szCs w:val="20"/>
                <w:color w:val="auto"/>
              </w:rPr>
            </w:pPr>
            <w:r>
              <w:rPr>
                <w:rFonts w:ascii="Times New Roman" w:cs="Times New Roman" w:eastAsia="Times New Roman" w:hAnsi="Times New Roman"/>
                <w:sz w:val="17"/>
                <w:szCs w:val="17"/>
                <w:color w:val="0000EE"/>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RISK FACTORS</w:t>
            </w:r>
          </w:p>
        </w:tc>
        <w:tc>
          <w:tcPr>
            <w:tcW w:w="260" w:type="dxa"/>
            <w:vAlign w:val="bottom"/>
            <w:gridSpan w:val="5"/>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tcPr>
          <w:p>
            <w:pPr>
              <w:spacing w:after="0" w:line="175" w:lineRule="exact"/>
              <w:rPr>
                <w:sz w:val="20"/>
                <w:szCs w:val="20"/>
                <w:color w:val="auto"/>
              </w:rPr>
            </w:pPr>
            <w:r>
              <w:rPr>
                <w:rFonts w:ascii="Times New Roman" w:cs="Times New Roman" w:eastAsia="Times New Roman" w:hAnsi="Times New Roman"/>
                <w:sz w:val="17"/>
                <w:szCs w:val="17"/>
                <w:color w:val="0000EE"/>
              </w:rPr>
              <w:t>USE OF PROCEEDS</w:t>
            </w:r>
          </w:p>
        </w:tc>
        <w:tc>
          <w:tcPr>
            <w:tcW w:w="260" w:type="dxa"/>
            <w:vAlign w:val="bottom"/>
            <w:gridSpan w:val="5"/>
          </w:tcPr>
          <w:p>
            <w:pPr>
              <w:jc w:val="right"/>
              <w:spacing w:after="0" w:line="175" w:lineRule="exact"/>
              <w:rPr>
                <w:sz w:val="20"/>
                <w:szCs w:val="20"/>
                <w:color w:val="auto"/>
              </w:rPr>
            </w:pPr>
            <w:r>
              <w:rPr>
                <w:rFonts w:ascii="Times New Roman" w:cs="Times New Roman" w:eastAsia="Times New Roman" w:hAnsi="Times New Roman"/>
                <w:sz w:val="17"/>
                <w:szCs w:val="17"/>
                <w:color w:val="0000EE"/>
              </w:rPr>
              <w:t>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4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DESCRIPTION OF CAPITAL STOCK</w:t>
            </w:r>
          </w:p>
        </w:tc>
        <w:tc>
          <w:tcPr>
            <w:tcW w:w="4820" w:type="dxa"/>
            <w:vAlign w:val="bottom"/>
            <w:gridSpan w:val="8"/>
            <w:shd w:val="clear" w:color="auto" w:fill="CCEEFF"/>
          </w:tcPr>
          <w:p>
            <w:pPr>
              <w:spacing w:after="0"/>
              <w:rPr>
                <w:sz w:val="15"/>
                <w:szCs w:val="15"/>
                <w:color w:val="auto"/>
              </w:rPr>
            </w:pPr>
          </w:p>
        </w:tc>
        <w:tc>
          <w:tcPr>
            <w:tcW w:w="260" w:type="dxa"/>
            <w:vAlign w:val="bottom"/>
            <w:gridSpan w:val="5"/>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5</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tcPr>
          <w:p>
            <w:pPr>
              <w:spacing w:after="0" w:line="175"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260" w:type="dxa"/>
            <w:vAlign w:val="bottom"/>
            <w:gridSpan w:val="5"/>
          </w:tcPr>
          <w:p>
            <w:pPr>
              <w:jc w:val="right"/>
              <w:spacing w:after="0" w:line="175" w:lineRule="exact"/>
              <w:rPr>
                <w:sz w:val="20"/>
                <w:szCs w:val="20"/>
                <w:color w:val="auto"/>
              </w:rPr>
            </w:pPr>
            <w:r>
              <w:rPr>
                <w:rFonts w:ascii="Times New Roman" w:cs="Times New Roman" w:eastAsia="Times New Roman" w:hAnsi="Times New Roman"/>
                <w:sz w:val="17"/>
                <w:szCs w:val="17"/>
                <w:color w:val="0000EE"/>
              </w:rPr>
              <w:t>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DESCRIPTION OF OTHER SECURITIES</w:t>
            </w:r>
          </w:p>
        </w:tc>
        <w:tc>
          <w:tcPr>
            <w:tcW w:w="260" w:type="dxa"/>
            <w:vAlign w:val="bottom"/>
            <w:gridSpan w:val="5"/>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17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Borders>
              <w:top w:val="single" w:sz="8" w:color="0000EE"/>
            </w:tcBorders>
            <w:gridSpan w:val="12"/>
          </w:tcPr>
          <w:p>
            <w:pPr>
              <w:spacing w:after="0" w:line="175" w:lineRule="exact"/>
              <w:rPr>
                <w:sz w:val="20"/>
                <w:szCs w:val="20"/>
                <w:color w:val="auto"/>
              </w:rPr>
            </w:pPr>
            <w:r>
              <w:rPr>
                <w:rFonts w:ascii="Times New Roman" w:cs="Times New Roman" w:eastAsia="Times New Roman" w:hAnsi="Times New Roman"/>
                <w:sz w:val="17"/>
                <w:szCs w:val="17"/>
                <w:color w:val="0000EE"/>
              </w:rPr>
              <w:t>SELLING STOCKHOLDERS</w:t>
            </w:r>
          </w:p>
        </w:tc>
        <w:tc>
          <w:tcPr>
            <w:tcW w:w="4560" w:type="dxa"/>
            <w:vAlign w:val="bottom"/>
            <w:tcBorders>
              <w:top w:val="single" w:sz="8" w:color="CCEEFF"/>
            </w:tcBorders>
            <w:gridSpan w:val="6"/>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0000EE"/>
            </w:tcBorders>
            <w:gridSpan w:val="2"/>
          </w:tcPr>
          <w:p>
            <w:pPr>
              <w:jc w:val="right"/>
              <w:spacing w:after="0" w:line="175" w:lineRule="exact"/>
              <w:rPr>
                <w:sz w:val="20"/>
                <w:szCs w:val="20"/>
                <w:color w:val="auto"/>
              </w:rPr>
            </w:pPr>
            <w:r>
              <w:rPr>
                <w:rFonts w:ascii="Times New Roman" w:cs="Times New Roman" w:eastAsia="Times New Roman" w:hAnsi="Times New Roman"/>
                <w:sz w:val="17"/>
                <w:szCs w:val="17"/>
                <w:color w:val="0000EE"/>
                <w:w w:val="82"/>
              </w:rPr>
              <w:t>17</w:t>
            </w: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4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PLAN OF DISTRIBUTION</w:t>
            </w:r>
          </w:p>
        </w:tc>
        <w:tc>
          <w:tcPr>
            <w:tcW w:w="260" w:type="dxa"/>
            <w:vAlign w:val="bottom"/>
            <w:gridSpan w:val="5"/>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18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Borders>
              <w:top w:val="single" w:sz="8" w:color="0000EE"/>
            </w:tcBorders>
            <w:gridSpan w:val="7"/>
          </w:tcPr>
          <w:p>
            <w:pPr>
              <w:spacing w:after="0" w:line="175" w:lineRule="exact"/>
              <w:rPr>
                <w:sz w:val="20"/>
                <w:szCs w:val="20"/>
                <w:color w:val="auto"/>
              </w:rPr>
            </w:pPr>
            <w:r>
              <w:rPr>
                <w:rFonts w:ascii="Times New Roman" w:cs="Times New Roman" w:eastAsia="Times New Roman" w:hAnsi="Times New Roman"/>
                <w:sz w:val="17"/>
                <w:szCs w:val="17"/>
                <w:color w:val="0000EE"/>
              </w:rPr>
              <w:t>LEGAL MATTERS</w:t>
            </w:r>
          </w:p>
        </w:tc>
        <w:tc>
          <w:tcPr>
            <w:tcW w:w="5580" w:type="dxa"/>
            <w:vAlign w:val="bottom"/>
            <w:tcBorders>
              <w:top w:val="single" w:sz="8" w:color="CCEEFF"/>
            </w:tcBorders>
            <w:gridSpan w:val="11"/>
          </w:tcPr>
          <w:p>
            <w:pPr>
              <w:spacing w:after="0"/>
              <w:rPr>
                <w:sz w:val="15"/>
                <w:szCs w:val="15"/>
                <w:color w:val="auto"/>
              </w:rPr>
            </w:pPr>
          </w:p>
        </w:tc>
        <w:tc>
          <w:tcPr>
            <w:tcW w:w="100" w:type="dxa"/>
            <w:vAlign w:val="bottom"/>
            <w:tcBorders>
              <w:top w:val="single" w:sz="8" w:color="CCEEFF"/>
            </w:tcBorders>
            <w:gridSpan w:val="3"/>
          </w:tcPr>
          <w:p>
            <w:pPr>
              <w:spacing w:after="0"/>
              <w:rPr>
                <w:sz w:val="15"/>
                <w:szCs w:val="15"/>
                <w:color w:val="auto"/>
              </w:rPr>
            </w:pPr>
          </w:p>
        </w:tc>
        <w:tc>
          <w:tcPr>
            <w:tcW w:w="160" w:type="dxa"/>
            <w:vAlign w:val="bottom"/>
            <w:tcBorders>
              <w:top w:val="single" w:sz="8" w:color="0000EE"/>
            </w:tcBorders>
            <w:gridSpan w:val="2"/>
          </w:tcPr>
          <w:p>
            <w:pPr>
              <w:jc w:val="right"/>
              <w:spacing w:after="0" w:line="175" w:lineRule="exact"/>
              <w:rPr>
                <w:sz w:val="20"/>
                <w:szCs w:val="20"/>
                <w:color w:val="auto"/>
              </w:rPr>
            </w:pPr>
            <w:r>
              <w:rPr>
                <w:rFonts w:ascii="Times New Roman" w:cs="Times New Roman" w:eastAsia="Times New Roman" w:hAnsi="Times New Roman"/>
                <w:sz w:val="17"/>
                <w:szCs w:val="17"/>
                <w:color w:val="0000EE"/>
                <w:w w:val="82"/>
              </w:rPr>
              <w:t>19</w:t>
            </w: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0" w:type="dxa"/>
            <w:vAlign w:val="bottom"/>
            <w:tcBorders>
              <w:bottom w:val="single" w:sz="8" w:color="0000EE"/>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2"/>
              </w:rPr>
              <w:t>EXPERTS</w:t>
            </w:r>
          </w:p>
        </w:tc>
        <w:tc>
          <w:tcPr>
            <w:tcW w:w="6760" w:type="dxa"/>
            <w:vAlign w:val="bottom"/>
            <w:tcBorders>
              <w:bottom w:val="single" w:sz="8" w:color="CCEEFF"/>
            </w:tcBorders>
            <w:gridSpan w:val="17"/>
            <w:shd w:val="clear" w:color="auto" w:fill="CCEEFF"/>
          </w:tcPr>
          <w:p>
            <w:pPr>
              <w:spacing w:after="0"/>
              <w:rPr>
                <w:sz w:val="17"/>
                <w:szCs w:val="17"/>
                <w:color w:val="auto"/>
              </w:rPr>
            </w:pPr>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w w:val="82"/>
              </w:rPr>
              <w:t>19</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gridSpan w:val="18"/>
          </w:tcPr>
          <w:p>
            <w:pPr>
              <w:spacing w:after="0" w:line="175"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260" w:type="dxa"/>
            <w:vAlign w:val="bottom"/>
            <w:gridSpan w:val="5"/>
          </w:tcPr>
          <w:p>
            <w:pPr>
              <w:jc w:val="right"/>
              <w:spacing w:after="0" w:line="175" w:lineRule="exact"/>
              <w:rPr>
                <w:sz w:val="20"/>
                <w:szCs w:val="20"/>
                <w:color w:val="auto"/>
              </w:rPr>
            </w:pPr>
            <w:r>
              <w:rPr>
                <w:rFonts w:ascii="Times New Roman" w:cs="Times New Roman" w:eastAsia="Times New Roman" w:hAnsi="Times New Roman"/>
                <w:sz w:val="17"/>
                <w:szCs w:val="17"/>
                <w:color w:val="0000EE"/>
              </w:rPr>
              <w:t>20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INCORPORATION BY REFERENCE</w:t>
            </w:r>
          </w:p>
        </w:tc>
        <w:tc>
          <w:tcPr>
            <w:tcW w:w="260" w:type="dxa"/>
            <w:vAlign w:val="bottom"/>
            <w:gridSpan w:val="5"/>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 SUPPLEMENT</w:t>
      </w:r>
    </w:p>
    <w:p>
      <w:pPr>
        <w:spacing w:after="0" w:line="10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part of a registration statement that we have filed with the United States Securities and Exchange Commission, or SEC, utilizing a “shelf” registration process.</w:t>
      </w:r>
    </w:p>
    <w:p>
      <w:pPr>
        <w:spacing w:after="0" w:line="58"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We provide information to you about this offering of shares of our Class A Common Stock in two separate documents that are bound together: (1) this prospectus supplement, which describes the specific terms and details regarding this offering and also adds to and updates information contained in the accompanying prospectus and the documents incorporated by reference therein;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 document having a later date incorporated by reference in this prospectus supplement, the statement in the document incorporated by reference modifies or supersedes the earlier statement as our business, financial condition, results of operations and prospects may have changed since the earlier dates.</w:t>
      </w:r>
    </w:p>
    <w:p>
      <w:pPr>
        <w:spacing w:after="0" w:line="78"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6"/>
          <w:szCs w:val="16"/>
          <w:color w:val="auto"/>
        </w:rPr>
        <w:t>You should rely only on the information contained in, or incorporated by reference into, this prospectus supplement, the accompanying prospectus or in any other prospectus supplement or free writing prospectus that we may authorize for use in connection with this offering. We have not authorized any other person to provide you with different or additional information. If anyone provides you with different, additional or inconsistent information, you should not rely on it.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base prospectus, the documents incorporated by reference into this prospectus supplement and the base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herein and therein,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Certain Documents by Reference.”</w:t>
      </w:r>
    </w:p>
    <w:p>
      <w:pPr>
        <w:spacing w:after="0" w:line="275" w:lineRule="exact"/>
        <w:rPr>
          <w:sz w:val="20"/>
          <w:szCs w:val="20"/>
          <w:color w:val="auto"/>
        </w:rPr>
      </w:pPr>
    </w:p>
    <w:p>
      <w:pPr>
        <w:jc w:val="both"/>
        <w:ind w:left="600" w:right="619"/>
        <w:spacing w:after="0" w:line="266" w:lineRule="auto"/>
        <w:rPr>
          <w:sz w:val="20"/>
          <w:szCs w:val="20"/>
          <w:color w:val="auto"/>
        </w:rPr>
      </w:pPr>
      <w:r>
        <w:rPr>
          <w:rFonts w:ascii="Times New Roman" w:cs="Times New Roman" w:eastAsia="Times New Roman" w:hAnsi="Times New Roman"/>
          <w:sz w:val="16"/>
          <w:szCs w:val="16"/>
          <w:color w:val="auto"/>
        </w:rPr>
        <w:t>We are offering to sell, and seeking offers to buy, shares of Class A Common Stock only in jurisdictions where offers and sales are permitted. The distribution of this prospectus and the offering of the Class A Common Stock in certain jurisdictions may be restricted by law. Persons outside the United States who come into possession of this prospectus supplement and the accompanying prospectus must inform themselves about, and observe any restrictions relating to, the offering of the Class A Common Stock and the distribution of this prospectus outside the United States. This prospectus supplement and the accompanying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6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When we refer to “ACMR,” “we,” “our,” “us” or the “Company” in this prospectus supplement, we mean ACM Research, Inc., and our consolidated subsidiaries unless otherwise specified. When we refer to “you,” we mean prospective investors in the Company.</w:t>
      </w:r>
    </w:p>
    <w:p>
      <w:pPr>
        <w:spacing w:after="0" w:line="69"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Our logo design is one of our trademarks. This prospectus also includes trademarks, tradenames, and service marks that are the property of other organizations. For convenience, our logo appears in this prospectus without the ™ symbol, but those uses are not intended to indicate that we will not assert, to the fullest extent under applicable law, our rights to this trademark.</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83185</wp:posOffset>
            </wp:positionV>
            <wp:extent cx="5234940" cy="4076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34940" cy="407606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SUPPLEMENT SUMMARY</w:t>
      </w:r>
    </w:p>
    <w:p>
      <w:pPr>
        <w:spacing w:after="0" w:line="106" w:lineRule="exact"/>
        <w:rPr>
          <w:sz w:val="20"/>
          <w:szCs w:val="20"/>
          <w:color w:val="auto"/>
        </w:rPr>
      </w:pPr>
    </w:p>
    <w:p>
      <w:pPr>
        <w:jc w:val="both"/>
        <w:ind w:left="620" w:right="599"/>
        <w:spacing w:after="0" w:line="252" w:lineRule="auto"/>
        <w:rPr>
          <w:sz w:val="20"/>
          <w:szCs w:val="20"/>
          <w:color w:val="auto"/>
        </w:rPr>
      </w:pPr>
      <w:r>
        <w:rPr>
          <w:rFonts w:ascii="Times New Roman" w:cs="Times New Roman" w:eastAsia="Times New Roman" w:hAnsi="Times New Roman"/>
          <w:sz w:val="17"/>
          <w:szCs w:val="17"/>
          <w:i w:val="1"/>
          <w:iCs w:val="1"/>
          <w:color w:val="auto"/>
        </w:rPr>
        <w:t>This summary description about us and our business highlights selected information contained elsewhere in this prospectus supplement or incorporated in this prospectus supplement by reference. This summary does not contain all of the information you should consider before buying our securities. You should carefully read this entire prospectus supplement, the accompanying prospectus, and any free writing prospectus, including each of the documents incorporated herein or therein by reference, before making an investment decision.</w:t>
      </w: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supply advanced, innovative capital equipment developed for the global semiconductor industry.</w:t>
      </w:r>
    </w:p>
    <w:p>
      <w:pPr>
        <w:spacing w:after="0" w:line="104" w:lineRule="exact"/>
        <w:rPr>
          <w:sz w:val="20"/>
          <w:szCs w:val="20"/>
          <w:color w:val="auto"/>
        </w:rPr>
      </w:pPr>
    </w:p>
    <w:p>
      <w:pPr>
        <w:jc w:val="both"/>
        <w:ind w:left="620" w:right="599"/>
        <w:spacing w:after="0" w:line="250" w:lineRule="auto"/>
        <w:rPr>
          <w:sz w:val="20"/>
          <w:szCs w:val="20"/>
          <w:color w:val="auto"/>
        </w:rPr>
      </w:pPr>
      <w:r>
        <w:rPr>
          <w:rFonts w:ascii="Times New Roman" w:cs="Times New Roman" w:eastAsia="Times New Roman" w:hAnsi="Times New Roman"/>
          <w:sz w:val="17"/>
          <w:szCs w:val="17"/>
          <w:color w:val="auto"/>
        </w:rPr>
        <w:t>Our products are designed to address yield-critical and performance-sensitive process steps that become increasingly difficult as semiconductor devices scale to smaller geometries and more complex structures. We focus on developing differentiated process solutions that enable effective particle removal, uniform material deposition, and reliable process control, while helping customers manage cost of ownership, throughput, and environmental considerations. We believe this approach has supported broader adoption of our tools across multiple technology nodes and device types.</w:t>
      </w:r>
    </w:p>
    <w:p>
      <w:pPr>
        <w:spacing w:after="0" w:line="78" w:lineRule="exact"/>
        <w:rPr>
          <w:sz w:val="20"/>
          <w:szCs w:val="20"/>
          <w:color w:val="auto"/>
        </w:rPr>
      </w:pPr>
    </w:p>
    <w:p>
      <w:pPr>
        <w:jc w:val="both"/>
        <w:ind w:left="620" w:right="599"/>
        <w:spacing w:after="0" w:line="251" w:lineRule="auto"/>
        <w:rPr>
          <w:sz w:val="20"/>
          <w:szCs w:val="20"/>
          <w:color w:val="auto"/>
        </w:rPr>
      </w:pPr>
      <w:r>
        <w:rPr>
          <w:rFonts w:ascii="Times New Roman" w:cs="Times New Roman" w:eastAsia="Times New Roman" w:hAnsi="Times New Roman"/>
          <w:sz w:val="17"/>
          <w:szCs w:val="17"/>
          <w:color w:val="auto"/>
        </w:rPr>
        <w:t>Fabricators of advanced integrated circuits, or chips, can use our wet-cleaning, plating, furnace, PECVD, track, and other front-end processing equipment in numerous steps to improve product yield, even at increasingly advanced process nodes. We have designed these products for use in fabricating foundry, logic and memory chips, including dynamic random-access memory, or DRAM, and 3D NAND-flash memory chips. We also develop, manufacture and sell a range of advanced packaging equipment to wafer assembly and packaging customers.</w:t>
      </w:r>
    </w:p>
    <w:p>
      <w:pPr>
        <w:spacing w:after="0" w:line="78" w:lineRule="exact"/>
        <w:rPr>
          <w:sz w:val="20"/>
          <w:szCs w:val="20"/>
          <w:color w:val="auto"/>
        </w:rPr>
      </w:pPr>
    </w:p>
    <w:p>
      <w:pPr>
        <w:jc w:val="both"/>
        <w:ind w:left="620" w:right="599"/>
        <w:spacing w:after="0" w:line="271" w:lineRule="auto"/>
        <w:rPr>
          <w:sz w:val="20"/>
          <w:szCs w:val="20"/>
          <w:color w:val="auto"/>
        </w:rPr>
      </w:pPr>
      <w:r>
        <w:rPr>
          <w:rFonts w:ascii="Times New Roman" w:cs="Times New Roman" w:eastAsia="Times New Roman" w:hAnsi="Times New Roman"/>
          <w:sz w:val="16"/>
          <w:szCs w:val="16"/>
          <w:color w:val="auto"/>
        </w:rPr>
        <w:t>We incorporated in California in January 1998 and redomesticated in Delaware in November 2016. Our headquarters are located at 42307 Osgood Road, Suite I, Fremont, California 94539, where our telephone number is</w:t>
      </w:r>
    </w:p>
    <w:p>
      <w:pPr>
        <w:spacing w:after="0" w:line="1" w:lineRule="exact"/>
        <w:rPr>
          <w:sz w:val="20"/>
          <w:szCs w:val="20"/>
          <w:color w:val="auto"/>
        </w:rPr>
      </w:pPr>
    </w:p>
    <w:p>
      <w:pPr>
        <w:jc w:val="both"/>
        <w:ind w:left="620" w:right="599" w:firstLine="1"/>
        <w:spacing w:after="0" w:line="247" w:lineRule="auto"/>
        <w:tabs>
          <w:tab w:leader="none" w:pos="107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445-3700. Our website address is www.acmr.com.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83185</wp:posOffset>
            </wp:positionV>
            <wp:extent cx="5234940" cy="4544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4940" cy="4544060"/>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Class A Common Stock offered by us</w:t>
      </w:r>
    </w:p>
    <w:p>
      <w:pPr>
        <w:spacing w:after="0" w:line="104" w:lineRule="exact"/>
        <w:rPr>
          <w:sz w:val="20"/>
          <w:szCs w:val="20"/>
          <w:color w:val="auto"/>
        </w:rPr>
      </w:pPr>
    </w:p>
    <w:p>
      <w:pPr>
        <w:ind w:left="780" w:hanging="166"/>
        <w:spacing w:after="0" w:line="308" w:lineRule="auto"/>
        <w:rPr>
          <w:sz w:val="20"/>
          <w:szCs w:val="20"/>
          <w:color w:val="auto"/>
        </w:rPr>
      </w:pPr>
      <w:r>
        <w:rPr>
          <w:rFonts w:ascii="Times New Roman" w:cs="Times New Roman" w:eastAsia="Times New Roman" w:hAnsi="Times New Roman"/>
          <w:sz w:val="16"/>
          <w:szCs w:val="16"/>
          <w:b w:val="1"/>
          <w:bCs w:val="1"/>
          <w:color w:val="auto"/>
        </w:rPr>
        <w:t>Class A Common Stock to be outstanding immediately after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1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2,884,615 shares of our Class A Common Stock.</w:t>
      </w:r>
    </w:p>
    <w:p>
      <w:pPr>
        <w:spacing w:after="0" w:line="304" w:lineRule="exact"/>
        <w:rPr>
          <w:sz w:val="20"/>
          <w:szCs w:val="20"/>
          <w:color w:val="auto"/>
        </w:rPr>
      </w:pPr>
    </w:p>
    <w:p>
      <w:pPr>
        <w:jc w:val="both"/>
        <w:ind w:left="740" w:right="599"/>
        <w:spacing w:after="0" w:line="282" w:lineRule="auto"/>
        <w:rPr>
          <w:sz w:val="20"/>
          <w:szCs w:val="20"/>
          <w:color w:val="auto"/>
        </w:rPr>
      </w:pPr>
      <w:r>
        <w:rPr>
          <w:rFonts w:ascii="Times New Roman" w:cs="Times New Roman" w:eastAsia="Times New Roman" w:hAnsi="Times New Roman"/>
          <w:sz w:val="16"/>
          <w:szCs w:val="16"/>
          <w:color w:val="auto"/>
        </w:rPr>
        <w:t>64,117,679 shares of our Class A Common Stock, which is based on 61,233,064 shares of Class A Common Stock outstanding as of May 5, 2026, and excludes:</w:t>
      </w:r>
    </w:p>
    <w:p>
      <w:pPr>
        <w:spacing w:after="0" w:line="51" w:lineRule="exact"/>
        <w:rPr>
          <w:sz w:val="20"/>
          <w:szCs w:val="20"/>
          <w:color w:val="auto"/>
        </w:rPr>
      </w:pPr>
    </w:p>
    <w:p>
      <w:pPr>
        <w:jc w:val="both"/>
        <w:ind w:left="1400" w:right="599" w:hanging="326"/>
        <w:spacing w:after="0" w:line="251" w:lineRule="auto"/>
        <w:tabs>
          <w:tab w:leader="none" w:pos="14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6,386,792 shares of Class A Common Stock issuable upon exercise of stock options outstanding as of March 31, 2026 under our equity incentive plans, with a weighted-average exercise price of $12.38 per share.</w:t>
      </w:r>
    </w:p>
    <w:p>
      <w:pPr>
        <w:spacing w:after="0" w:line="115" w:lineRule="exact"/>
        <w:rPr>
          <w:sz w:val="20"/>
          <w:szCs w:val="20"/>
          <w:color w:val="auto"/>
        </w:rPr>
      </w:pPr>
    </w:p>
    <w:p>
      <w:pPr>
        <w:jc w:val="both"/>
        <w:ind w:left="740" w:right="599"/>
        <w:spacing w:after="0" w:line="250"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will be approximately $150 million, after deducting estimated offering expenses payable by us. We intend to use the net proceeds from this offering for the purpose of funding our U.S. and global expansion, as well as general corporate expenses.</w:t>
      </w:r>
    </w:p>
    <w:p>
      <w:pPr>
        <w:spacing w:after="0" w:line="103" w:lineRule="exact"/>
        <w:rPr>
          <w:sz w:val="20"/>
          <w:szCs w:val="20"/>
          <w:color w:val="auto"/>
        </w:rPr>
      </w:pPr>
    </w:p>
    <w:p>
      <w:pPr>
        <w:jc w:val="both"/>
        <w:ind w:left="740" w:right="599"/>
        <w:spacing w:after="0" w:line="248" w:lineRule="auto"/>
        <w:rPr>
          <w:sz w:val="20"/>
          <w:szCs w:val="20"/>
          <w:color w:val="auto"/>
        </w:rPr>
      </w:pPr>
      <w:r>
        <w:rPr>
          <w:rFonts w:ascii="Times New Roman" w:cs="Times New Roman" w:eastAsia="Times New Roman" w:hAnsi="Times New Roman"/>
          <w:sz w:val="17"/>
          <w:szCs w:val="17"/>
          <w:color w:val="auto"/>
        </w:rPr>
        <w:t>Investing in our Class A Common Stock involves significant risks. Please read the information contained in and incorporated by reference under the heading “Risk Factors” on page S-</w:t>
      </w:r>
      <w:r>
        <w:rPr>
          <w:rFonts w:ascii="Times New Roman" w:cs="Times New Roman" w:eastAsia="Times New Roman" w:hAnsi="Times New Roman"/>
          <w:sz w:val="17"/>
          <w:szCs w:val="17"/>
          <w:u w:val="single" w:color="auto"/>
          <w:color w:val="0000EE"/>
        </w:rPr>
        <w:t>4</w:t>
      </w:r>
      <w:r>
        <w:rPr>
          <w:rFonts w:ascii="Times New Roman" w:cs="Times New Roman" w:eastAsia="Times New Roman" w:hAnsi="Times New Roman"/>
          <w:sz w:val="17"/>
          <w:szCs w:val="17"/>
          <w:color w:val="auto"/>
        </w:rPr>
        <w:t xml:space="preserve"> of this prospectus supplement and under similar headings in the other documents that are filed after the date hereof and incorporated by reference into this prospectus supplement, together with the other information included in or incorporated by reference into this prospectus supplement, before deciding whether to invest in our Class A Common Stock.</w:t>
      </w:r>
    </w:p>
    <w:p>
      <w:pPr>
        <w:spacing w:after="0" w:line="1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“ACMR”</w:t>
      </w:r>
    </w:p>
    <w:p>
      <w:pPr>
        <w:spacing w:after="0" w:line="200" w:lineRule="exact"/>
        <w:rPr>
          <w:sz w:val="20"/>
          <w:szCs w:val="20"/>
          <w:color w:val="auto"/>
        </w:rPr>
      </w:pPr>
    </w:p>
    <w:p>
      <w:pPr>
        <w:sectPr>
          <w:pgSz w:w="11900" w:h="16838" w:orient="portrait"/>
          <w:cols w:equalWidth="0" w:num="2">
            <w:col w:w="3560" w:space="320"/>
            <w:col w:w="5139"/>
          </w:cols>
          <w:pgMar w:left="1440" w:top="255" w:right="1440" w:bottom="1440" w:gutter="0" w:footer="0" w:header="0"/>
          <w:type w:val="continuous"/>
        </w:sect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type w:val="continuous"/>
        </w:sectPr>
      </w:pPr>
    </w:p>
    <w:bookmarkStart w:id="5" w:name="page6"/>
    <w:bookmarkEnd w:id="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6"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6"/>
          <w:szCs w:val="16"/>
          <w:i w:val="1"/>
          <w:iCs w:val="1"/>
          <w:color w:val="auto"/>
        </w:rPr>
        <w:t>Investing in our Class A Common Stock involves a high degree of risk. Before making an investment decision, you should carefully consider the risks and uncertainties described below and discussed under the heading “Risk Factors” contained in our most recent Annual Report on Form 10-K, and in our subsequent Quarterly reports on Form 10-Q, as well as any amendments or updates thereto reflected in our subsequent filings with the Securities and Exchange Commission, or SEC, which are incorporated by reference into this prospectus supplement in their entirety, together with all of the other information in this prospectus supplement and the accompanying prospectus supplement, including our financial statements and related notes incorporated by reference herein and therein, the documents incorporated by reference herein and therein and any free writing prospectus that we may authorize for use in connection with this offering. If any of these risks are realized, our business, financial condition, results of operations and prospects could be materially and adversely affected. In that event, the trading price of our Class A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3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104"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54"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Although we currently intend to use the net proceeds from this offering in the manner described in the section entitled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314"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we raise additional capital through the sale of shares of our Class A Common Stock, convertible securities or debt in the future, your ownership in us could be diluted and restrictions could be imposed on our business.</w:t>
      </w:r>
    </w:p>
    <w:p>
      <w:pPr>
        <w:spacing w:after="0" w:line="54"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In addition to this offering, we may issue shares of our Class A Common Stock or securities convertible into our Class A Common Stock to raise additional capital in the future. To the extent we issue such securities, our stockholders may experience substantial dilution and the trading price of our Class A Common Stock could decline. If we obtain funds through a credit facility or through the issuance of debt or preferred securities, such debt or preferred securities could have rights senior to your rights as a common shareholder, which could impair the value of our Class A Common Stock.</w:t>
      </w:r>
    </w:p>
    <w:p>
      <w:pPr>
        <w:spacing w:after="0" w:line="31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54"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intend to retain any future earnings to finance the operation and expansion of our business, and we do not expect to declare or pay any dividends in the foreseeable future. Accordingly, you may only receive a return on your investment in Class A Common Stock if the market price of Class A Common Stock increases.</w:t>
      </w:r>
    </w:p>
    <w:p>
      <w:pPr>
        <w:spacing w:after="0" w:line="72"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Our ability to pay dividends on Class A Common Stock depends significantly on our receiving distributions of funds from our subsidiaries in mainland China. Mainland China statutory laws and regulations permit payments of dividends by those subsidiaries only out of their retained earnings, which are determined in accordance with mainland China accounting standards and regulations that differ from U.S. generally accepted accounting principles. Mainland China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In addition, our subsidiaries’ short-term bank loans restrict their ability to pay dividends to us.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has been and may continue to be volatile, which could result in substantial losses for investors purchasing our shares.</w:t>
      </w:r>
    </w:p>
    <w:p>
      <w:pPr>
        <w:spacing w:after="0" w:line="54"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The market price of Class A Common Stock has been, and could continue to be, subject to significant fluctuations. The market price of Class A Common Stock may fluctuate significantly in response to numerous factors, many of which are beyond our control, including:</w:t>
      </w:r>
    </w:p>
    <w:p>
      <w:pPr>
        <w:spacing w:after="0" w:line="69" w:lineRule="exact"/>
        <w:rPr>
          <w:sz w:val="20"/>
          <w:szCs w:val="20"/>
          <w:color w:val="auto"/>
        </w:rPr>
      </w:pPr>
    </w:p>
    <w:p>
      <w:pPr>
        <w:ind w:left="1260" w:hanging="322"/>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revenue and other operating results;</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these projections or our failure to meet these projections;</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69"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projections for the chips or chip equipment industries or in the operating performance or expectations and stock market valuations of chip companies, chip equipment companies or technology companies in general;</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results;</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in the financial projections we may provide to the public, our failure to meet these projections, or changes in recommendations by any securities analysts that elect to follow Class A Common Stock;</w:t>
      </w:r>
    </w:p>
    <w:p>
      <w:pPr>
        <w:spacing w:after="0" w:line="69"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shares of Class A Common Stock being sold into the market by us or our existing stockholders or the anticipation of such sales;</w:t>
      </w:r>
    </w:p>
    <w:p>
      <w:pPr>
        <w:spacing w:after="0" w:line="58"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including as a result of trends in the economy as a whole;</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and other developments relating to our patents or other proprietary rights or those of our competitors;</w:t>
      </w:r>
    </w:p>
    <w:p>
      <w:pPr>
        <w:spacing w:after="0" w:line="58"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in new legislation and pending lawsuits or regulatory actions, including interim or final rulings by judicial or regulatory bodies; and</w:t>
      </w:r>
    </w:p>
    <w:p>
      <w:pPr>
        <w:spacing w:after="0" w:line="58"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including changes in the demand for electronics or information technology or geopolitical events such as war or acts of terrorism, or any responses to such events.</w:t>
      </w:r>
    </w:p>
    <w:p>
      <w:pPr>
        <w:spacing w:after="0" w:line="5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In recent years, the stock market in general has experienced extreme price and volume fluctuations that have often been unrelated or disproportionate to changes in the operating performance of the companies whose stock is experiencing those price and volume fluctuations. Further, following periods of volatility in the overall market and the market price of a particular company’s securities, securities class action litigation has often been instituted against these companies. Similar litigation may be instituted against us in the future, which could result in substantial costs and a diversion of our management’s attention and resources.</w:t>
      </w:r>
    </w:p>
    <w:p>
      <w:pPr>
        <w:spacing w:after="0" w:line="324"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Class A Common Stock in the public market could cause our stock price to fall.</w:t>
      </w:r>
    </w:p>
    <w:p>
      <w:pPr>
        <w:spacing w:after="0" w:line="54"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sales may have on the prevailing market price of our Class A Common Stock. In addition, the sale of substantial amounts of our Class A Common Stock could adversely impact our trading price. The sale or the availability for sale of a large number of shares of our Class A Common Stock in the public market could cause the price of our Class A Common Stock to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both"/>
        <w:ind w:left="600" w:right="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us, our business or our market, or if they publish negative evaluations of Class A Common Stock or the stock of other companies in our industry, the price of our stock and trading volume could decline.</w:t>
      </w:r>
    </w:p>
    <w:p>
      <w:pPr>
        <w:spacing w:after="0" w:line="69"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The trading market for Class A Common Stock will depend in part on the research and reports that securities or industry analysts publish about us or our business. If one or more of the analysts who cover us downgrade the Class A Common Stock or publish inaccurate or unfavorable research about our business, the Class A Common Stock price would likely decline. In addition, if one or more of these analysts ceases coverage of the Class A Common Stock or fails to publish reports about the Class A Common Stock on a regular basis, we could lose visibility in the financial markets, which in turn could cause the Class A Common Stock price or trading volume to decline.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8" w:name="page9"/>
    <w:bookmarkEnd w:id="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08" w:lineRule="exact"/>
        <w:rPr>
          <w:sz w:val="20"/>
          <w:szCs w:val="20"/>
          <w:color w:val="auto"/>
        </w:rPr>
      </w:pPr>
    </w:p>
    <w:p>
      <w:pPr>
        <w:jc w:val="both"/>
        <w:ind w:left="600" w:right="619"/>
        <w:spacing w:after="0" w:line="247" w:lineRule="auto"/>
        <w:rPr>
          <w:sz w:val="20"/>
          <w:szCs w:val="20"/>
          <w:color w:val="auto"/>
        </w:rPr>
      </w:pPr>
      <w:r>
        <w:rPr>
          <w:rFonts w:ascii="Times New Roman" w:cs="Times New Roman" w:eastAsia="Times New Roman" w:hAnsi="Times New Roman"/>
          <w:sz w:val="17"/>
          <w:szCs w:val="17"/>
          <w:color w:val="auto"/>
        </w:rPr>
        <w:t>This prospectus supplement, the accompanying prospectus and the information incorporated by reference herein and therein contain forward-looking statements within the meaning of the Private Securities Litigation Reform Act of 1995. All statements, other than statements of historical facts, included in this prospectus supplement, the accompanying prospectus and the information incorporated by reference herein and therein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management’s current views with respect to future events and are based on their beliefs and assumptions and on information currently available to them.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our Annual Report on Form 10-K, filed on March 2, 2026, and “Item 1A. Risk Factors” of Part II of our quarterly report on Form 10-Q for the fiscal quarter, filed on May 8, 2026, that may cause our actual results, performance or achievements to be materially different from any future results, performance or achievements expressed or implied by these forward-looking statements. Forward-looking statements include, but are not limited to, statements that relate to:</w:t>
      </w:r>
    </w:p>
    <w:p>
      <w:pPr>
        <w:spacing w:after="0" w:line="78" w:lineRule="exact"/>
        <w:rPr>
          <w:sz w:val="20"/>
          <w:szCs w:val="20"/>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and opportunities in the global economic environment;</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and opportunities in the semiconductor industry, including in the end markets and applications for semiconductors, and in device complexity;</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growth or decline in the industry and the market for, and spending on, wafer fabrication equipment;</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levels of, and rates of change in, margins, market share, served available market, capital expenditures, research and development expenditures, international sales, revenue (actual and/or deferred), operating expenses and earnings generally;</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management’s plans and objectives for our current and future operations and business focus;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makeup of our customer base;</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and end user requirements and our ability to satisfy those requirements;</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spending and demand for our products and services, and the reliability of indicators of change in customer spending and demand;</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variability in our customers’ business plans or demand for our products and services;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competition, and our ability to defend our market share and to gain new market share;</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joint development and collaboration relationships with customers, suppliers, or others;</w:t>
      </w:r>
    </w:p>
    <w:p>
      <w:pPr>
        <w:spacing w:after="0" w:line="104"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supply chain and the role of suppliers in our business, including the impacts of supply chain constraints and material costs;</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leadership and competency, and our ability to facilitate innovation;</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research and development programs and its success;</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inflections in the industry and our ability to identify those inflections and to invest in research and development programs to meet them;</w:t>
      </w:r>
    </w:p>
    <w:p>
      <w:pPr>
        <w:spacing w:after="0" w:line="58"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state, federal and international tax laws, our estimated annual tax rate and the factors that affect our tax rates;</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regulatory compliance;</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estimates we make, and the accruals we record, in order to implement our critical accounting policies (including, but not limited to, the adequacy of prior tax payments, future tax benefits or liabilities, and the adequacy of our accruals relating to them);</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9" w:name="page10"/>
    <w:bookmarkEnd w:id="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access to capital markets;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uses of, payments of, and impact of interest rate fluctuations on, our debt;</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intention to repurchase our shares;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and grow our cash position;</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scale our operations to respond to changes in our business;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our patents;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materiality of potential losses arising from legal proceedings;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probability of making payments under our guarantees; and</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financial resources or liquidity to support future business activities (including, but not limited to, operations, investments, debt service requirements, dividends, and capital expenditures).</w:t>
      </w:r>
    </w:p>
    <w:p>
      <w:pPr>
        <w:spacing w:after="0" w:line="58"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6"/>
          <w:szCs w:val="16"/>
          <w:color w:val="auto"/>
        </w:rPr>
        <w:t>The information included under the heading “Item 7. Management’s Discussion and Analysis of Financial Condition and Results of Operations-Overview,” of Part II of our Annual Report on Form 10-K, filed on March 2, 2026, contains statistical data and estimates, including forecasts, that are based on information provided by Gartner, Inc., or Gartner, in “Forecast: Semiconductor Capital Spending, Wafer Fab Equipment and Capacity, Worldwide, 4Q25 Update” (December 2025),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prospectus supplement, the accompanying prospectus and the information incorporated by reference herein and therein),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in this prospectus supplement, the accompanying prospectus and the information incorporated by reference herein and therein.</w:t>
      </w:r>
    </w:p>
    <w:p>
      <w:pPr>
        <w:spacing w:after="0" w:line="69"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Any forward-looking statement made by us in this prospectus supplement, the accompanying prospectus and the information incorporated by reference herein and therein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78" w:lineRule="exact"/>
        <w:rPr>
          <w:sz w:val="20"/>
          <w:szCs w:val="20"/>
          <w:color w:val="auto"/>
        </w:rPr>
      </w:pPr>
    </w:p>
    <w:p>
      <w:pPr>
        <w:jc w:val="both"/>
        <w:ind w:left="600" w:right="619"/>
        <w:spacing w:after="0" w:line="282" w:lineRule="auto"/>
        <w:rPr>
          <w:sz w:val="20"/>
          <w:szCs w:val="20"/>
          <w:color w:val="auto"/>
        </w:rPr>
      </w:pPr>
      <w:r>
        <w:rPr>
          <w:rFonts w:ascii="Times New Roman" w:cs="Times New Roman" w:eastAsia="Times New Roman" w:hAnsi="Times New Roman"/>
          <w:sz w:val="16"/>
          <w:szCs w:val="16"/>
          <w:color w:val="auto"/>
        </w:rPr>
        <w:t>You should read this prospectus supplement, the accompanying prospectus and the information incorporated by reference herein and therein, completely and with the understanding that our actual future results may be materially different from what we expect. We qualify all of our forward-looking statements by these cautionary statements.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0" w:name="page11"/>
    <w:bookmarkEnd w:id="1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We estimate that the net proceeds to us from this offering, after deducting estimated offering expenses payable by us, will be approximately $150 million.</w:t>
      </w:r>
    </w:p>
    <w:p>
      <w:pPr>
        <w:spacing w:after="0" w:line="5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We intend to use the net proceeds from this offering for the purpose of funding our U.S. and global expansion, as well as general corporate expenses.</w:t>
      </w:r>
    </w:p>
    <w:p>
      <w:pPr>
        <w:spacing w:after="0" w:line="5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As of the date of this prospectus supplement, we cannot specify all of the particular uses for the net proceeds to be received upon the completion of this offering. Accordingly, our management and board of directors will have broad discretion in the application and specific allocations of the net proceeds, and investors will be relying on the judgment of our management and board of directors regarding the application of the proceeds of this offering.</w:t>
      </w:r>
    </w:p>
    <w:p>
      <w:pPr>
        <w:spacing w:after="0" w:line="72"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These expected uses represent our current intentions based upon our present plans and market conditions. The amounts we actually expend in these areas, and the timing thereof, may vary significantly from our current intentions and will depend upon a number of factors, including research and product development efforts, cash generated from future operations and actual expenses to operate our business.</w:t>
      </w:r>
    </w:p>
    <w:p>
      <w:pPr>
        <w:spacing w:after="0" w:line="72"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Pending our use of the net proceeds from this offering, we intend to invest the net proceeds in bank deposits, money market funds, and U.S. government securities.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1" w:name="page12"/>
    <w:bookmarkEnd w:id="1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0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intend to retain any future earnings to finance the operation and expansion of our business, and we do not expect to declare or pay any dividends in the foreseeable future. Any determination to pay dividends in the future will be at the discretion of our board of directors and will depend on our financial condition, operating results, capital requirements and general business conditions and other factors that our board of directors may deem relevant.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2" w:name="page13"/>
    <w:bookmarkEnd w:id="1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0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We have entered into the Purchase Agreement, directly with the Investors in connection with this offering and we will only sell shares of Class A Common Stock to the Investors in this offering who have entered into the Purchase Agreement. Pursuant to the Purchase Agreement, the Investors agreed to purchase, severally and not jointly, 2,884,615 shares of our Class A Common Stock at a purchase price of $52.00 per share. We have agreed to indemnify the Investors against certain liabilities under the Securities Act.</w:t>
      </w:r>
    </w:p>
    <w:p>
      <w:pPr>
        <w:spacing w:after="0" w:line="7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The shares of Class A Common Stock were offered directly to the Investors without a placement agent, underwriter, broker or dealer. All of the Class A Common Stock sold in this offering will be sold at the same price in a single closing. It is possible that not all of the shares we are offering pursuant to this prospectus supplement will be sold at the closing, in which case our net proceeds would be reduced.</w:t>
      </w:r>
    </w:p>
    <w:p>
      <w:pPr>
        <w:spacing w:after="0" w:line="72"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We expect to deliver the Class A Common Stock offered pursuant to this prospectus supplement on or about May 15, 2026, subject to the satisfaction of customary closing conditions.</w:t>
      </w:r>
    </w:p>
    <w:p>
      <w:pPr>
        <w:spacing w:after="0" w:line="58" w:lineRule="exact"/>
        <w:rPr>
          <w:sz w:val="20"/>
          <w:szCs w:val="20"/>
          <w:color w:val="auto"/>
        </w:rPr>
      </w:pPr>
    </w:p>
    <w:p>
      <w:pPr>
        <w:jc w:val="both"/>
        <w:ind w:left="600" w:right="619"/>
        <w:spacing w:after="0" w:line="282" w:lineRule="auto"/>
        <w:rPr>
          <w:sz w:val="20"/>
          <w:szCs w:val="20"/>
          <w:color w:val="auto"/>
        </w:rPr>
      </w:pPr>
      <w:r>
        <w:rPr>
          <w:rFonts w:ascii="Times New Roman" w:cs="Times New Roman" w:eastAsia="Times New Roman" w:hAnsi="Times New Roman"/>
          <w:sz w:val="16"/>
          <w:szCs w:val="16"/>
          <w:color w:val="auto"/>
        </w:rPr>
        <w:t>We have agreed to reimburse a fee of $1.25 million (the “Financial Advisor Fees”) to financial advisors (the “Financial Advisors”) who provided services to us in connection with this offering. We estimate the total expenses of this offering, which will be payable by us, excluding the Financial Advisor Fees, will be approximately $150,000.</w:t>
      </w:r>
    </w:p>
    <w:p>
      <w:pPr>
        <w:spacing w:after="0" w:line="51"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We have agreed to a 6-month “lock-up” with respect to the Class A Common Stock and other of our securities. This means that, subject to certain exceptions, for a period of 6 months following the date of this prospectus supplement, we may not offer, sell, pledge or otherwise dispose of these securities without the prior written consent of the Investors’ investment advisor.</w:t>
      </w:r>
    </w:p>
    <w:p>
      <w:pPr>
        <w:spacing w:after="0" w:line="72"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6"/>
          <w:szCs w:val="16"/>
          <w:color w:val="auto"/>
        </w:rPr>
        <w:t>The public offering price of the securities we are offering was negotiated between us and the Investors, in consultation with the financial advisors based on the trading of our Class A Common Stock prior to the offering, among other things. Other factors considered in determining the public offering price of the securities we are offering include the history and prospects of the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1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Transfer Agent and Registrar for our ordinary shares is Computershare Trust Company, N.A.</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Class A Common Stock is traded on The Nasdaq Global Market under the symbol “ACMR”.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The validity of the shares of Class A Common Stock offered hereby will be passed upon for us by K&amp;L Gates, LLP, Irvine, California.</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The consolidated financial statements of ACM Research, Inc. at December 31, 2025, 2024 and 2023 and for each year then ended, appearing in ACM Research, Inc.’s Annual Reports on Form 10-K for the years ended December 31, 2025, 2024 and 2023 and the effectiveness of ACM Research, Inc.’s internal control over financial reporting as of December 31, 2025, 2024 and 2023 have been audited by Ernst &amp; Young Hua Ming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0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at www.sec.gov that contains reports, proxy and information statements and other information about issuers, such as us, who file electronically with the SEC.</w:t>
      </w:r>
    </w:p>
    <w:p>
      <w:pPr>
        <w:spacing w:after="0" w:line="69"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Our website address is www.acmr.com. The information on our website, however, is not, and should not be deemed to be, a part of this prospectus supplement or the accompanying prospectus. We have included our website address as an inactive textual reference only. Through our website, we make available, free of charge, annual, quarterly and current reports, proxy statements, along with amendments thereto, and other information as soon as reasonably practicable after they are electronically filed with, or furnished to, the SEC.</w:t>
      </w:r>
    </w:p>
    <w:p>
      <w:pPr>
        <w:spacing w:after="0" w:line="78" w:lineRule="exact"/>
        <w:rPr>
          <w:sz w:val="20"/>
          <w:szCs w:val="20"/>
          <w:color w:val="auto"/>
        </w:rPr>
      </w:pPr>
    </w:p>
    <w:p>
      <w:pPr>
        <w:jc w:val="both"/>
        <w:ind w:left="600" w:right="619"/>
        <w:spacing w:after="0" w:line="265" w:lineRule="auto"/>
        <w:rPr>
          <w:sz w:val="20"/>
          <w:szCs w:val="20"/>
          <w:color w:val="auto"/>
        </w:rPr>
      </w:pPr>
      <w:r>
        <w:rPr>
          <w:rFonts w:ascii="Times New Roman" w:cs="Times New Roman" w:eastAsia="Times New Roman" w:hAnsi="Times New Roman"/>
          <w:sz w:val="16"/>
          <w:szCs w:val="16"/>
          <w:color w:val="auto"/>
        </w:rPr>
        <w:t>This prospectus supplement and the accompanying prospectus are part of a registration statement on Form S-3 that we filed with the SEC under the Securities Act and do not contain all of the information set forth or incorporated by reference in the registration statement and the exhibits to the registration statement. The full registration statement may be obtained from the SEC or us, as provided below. Forms of the documents establishing the terms of the offered securities are or may be filed as exhibits to the registration statement or documents incorporated by reference in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We have not incorporated by reference into this prospectus supplement or the accompanying prospectus the information on our website, and you should not consider it to be a part of this prospectus supplement or the accompanying prospectus.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5" w:name="page16"/>
    <w:bookmarkEnd w:id="1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08" w:lineRule="exact"/>
        <w:rPr>
          <w:sz w:val="20"/>
          <w:szCs w:val="20"/>
          <w:color w:val="auto"/>
        </w:rPr>
      </w:pPr>
    </w:p>
    <w:p>
      <w:pPr>
        <w:jc w:val="both"/>
        <w:ind w:left="600" w:right="619"/>
        <w:spacing w:after="0" w:line="247" w:lineRule="auto"/>
        <w:rPr>
          <w:sz w:val="20"/>
          <w:szCs w:val="20"/>
          <w:color w:val="auto"/>
        </w:rPr>
      </w:pPr>
      <w:r>
        <w:rPr>
          <w:rFonts w:ascii="Times New Roman" w:cs="Times New Roman" w:eastAsia="Times New Roman" w:hAnsi="Times New Roman"/>
          <w:sz w:val="17"/>
          <w:szCs w:val="17"/>
          <w:color w:val="auto"/>
        </w:rPr>
        <w:t>We have filed a registration statement on Form S-3 with the SEC under the Securities Act. The accompanying prospectus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85" w:lineRule="exact"/>
        <w:rPr>
          <w:sz w:val="20"/>
          <w:szCs w:val="20"/>
          <w:color w:val="auto"/>
        </w:rPr>
      </w:pPr>
    </w:p>
    <w:p>
      <w:pPr>
        <w:ind w:left="1260" w:right="639" w:hanging="322"/>
        <w:spacing w:after="0" w:line="271"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26">
        <w:r>
          <w:rPr>
            <w:rFonts w:ascii="Times New Roman" w:cs="Times New Roman" w:eastAsia="Times New Roman" w:hAnsi="Times New Roman"/>
            <w:sz w:val="17"/>
            <w:szCs w:val="17"/>
            <w:u w:val="single" w:color="auto"/>
            <w:color w:val="0000EE"/>
          </w:rPr>
          <w:t>Form 10-K</w:t>
        </w:r>
      </w:hyperlink>
      <w:r>
        <w:rPr>
          <w:rFonts w:ascii="Times New Roman" w:cs="Times New Roman" w:eastAsia="Times New Roman" w:hAnsi="Times New Roman"/>
          <w:sz w:val="17"/>
          <w:szCs w:val="17"/>
          <w:color w:val="auto"/>
        </w:rPr>
        <w:t>, or our 2025 Annual Report, for the fiscal year ended December 31, 2025 filed on March 2, 2026;</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Quarterly Report on </w:t>
      </w:r>
      <w:hyperlink r:id="rId27">
        <w:r>
          <w:rPr>
            <w:rFonts w:ascii="Times New Roman" w:cs="Times New Roman" w:eastAsia="Times New Roman" w:hAnsi="Times New Roman"/>
            <w:sz w:val="17"/>
            <w:szCs w:val="17"/>
            <w:u w:val="single" w:color="auto"/>
            <w:color w:val="0000EE"/>
          </w:rPr>
          <w:t>Form 10-Q</w:t>
        </w:r>
      </w:hyperlink>
      <w:r>
        <w:rPr>
          <w:rFonts w:ascii="Times New Roman" w:cs="Times New Roman" w:eastAsia="Times New Roman" w:hAnsi="Times New Roman"/>
          <w:sz w:val="17"/>
          <w:szCs w:val="17"/>
          <w:color w:val="auto"/>
        </w:rPr>
        <w:t>, for the fiscal quarter ended March 31, 2026 filed on May 8, 2026;</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Current Report on Form 8-K filled on </w:t>
      </w:r>
      <w:hyperlink r:id="rId28">
        <w:r>
          <w:rPr>
            <w:rFonts w:ascii="Times New Roman" w:cs="Times New Roman" w:eastAsia="Times New Roman" w:hAnsi="Times New Roman"/>
            <w:sz w:val="17"/>
            <w:szCs w:val="17"/>
            <w:u w:val="single" w:color="auto"/>
            <w:color w:val="0000EE"/>
          </w:rPr>
          <w:t>May 12, 2026</w:t>
        </w:r>
      </w:hyperlink>
      <w:r>
        <w:rPr>
          <w:rFonts w:ascii="Times New Roman" w:cs="Times New Roman" w:eastAsia="Times New Roman" w:hAnsi="Times New Roman"/>
          <w:sz w:val="17"/>
          <w:szCs w:val="17"/>
          <w:color w:val="auto"/>
        </w:rPr>
        <w:t>;</w:t>
      </w:r>
    </w:p>
    <w:p>
      <w:pPr>
        <w:spacing w:after="0" w:line="104"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2025 Annual Report from our definitive proxy statement on </w:t>
      </w:r>
      <w:hyperlink r:id="rId29">
        <w:r>
          <w:rPr>
            <w:rFonts w:ascii="Times New Roman" w:cs="Times New Roman" w:eastAsia="Times New Roman" w:hAnsi="Times New Roman"/>
            <w:sz w:val="17"/>
            <w:szCs w:val="17"/>
            <w:u w:val="single" w:color="auto"/>
            <w:color w:val="0000EE"/>
          </w:rPr>
          <w:t>Schedule 14A</w:t>
        </w:r>
      </w:hyperlink>
      <w:r>
        <w:rPr>
          <w:rFonts w:ascii="Times New Roman" w:cs="Times New Roman" w:eastAsia="Times New Roman" w:hAnsi="Times New Roman"/>
          <w:sz w:val="17"/>
          <w:szCs w:val="17"/>
          <w:color w:val="auto"/>
        </w:rPr>
        <w:t>, filed with the SEC on April 27, 2026; and</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Class A Common Stock contained in our Registration Statement on Form 8-A (File No. 001-38273) filed with SEC on </w:t>
      </w:r>
      <w:hyperlink r:id="rId30">
        <w:r>
          <w:rPr>
            <w:rFonts w:ascii="Times New Roman" w:cs="Times New Roman" w:eastAsia="Times New Roman" w:hAnsi="Times New Roman"/>
            <w:sz w:val="17"/>
            <w:szCs w:val="17"/>
            <w:u w:val="single" w:color="auto"/>
            <w:color w:val="0000EE"/>
          </w:rPr>
          <w:t>November 1, 2017</w:t>
        </w:r>
      </w:hyperlink>
      <w:r>
        <w:rPr>
          <w:rFonts w:ascii="Times New Roman" w:cs="Times New Roman" w:eastAsia="Times New Roman" w:hAnsi="Times New Roman"/>
          <w:sz w:val="17"/>
          <w:szCs w:val="17"/>
          <w:color w:val="auto"/>
        </w:rPr>
        <w:t>, including any amendment or report filed for the purpose of updating such description.</w:t>
      </w:r>
    </w:p>
    <w:p>
      <w:pPr>
        <w:spacing w:after="0" w:line="69" w:lineRule="exact"/>
        <w:rPr>
          <w:rFonts w:ascii="Times New Roman" w:cs="Times New Roman" w:eastAsia="Times New Roman" w:hAnsi="Times New Roman"/>
          <w:sz w:val="17"/>
          <w:szCs w:val="17"/>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 supplement.</w:t>
      </w:r>
    </w:p>
    <w:p>
      <w:pPr>
        <w:spacing w:after="0" w:line="69" w:lineRule="exact"/>
        <w:rPr>
          <w:rFonts w:ascii="Times New Roman" w:cs="Times New Roman" w:eastAsia="Times New Roman" w:hAnsi="Times New Roman"/>
          <w:sz w:val="17"/>
          <w:szCs w:val="17"/>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80" w:lineRule="exact"/>
        <w:rPr>
          <w:rFonts w:ascii="Times New Roman" w:cs="Times New Roman" w:eastAsia="Times New Roman" w:hAnsi="Times New Roman"/>
          <w:sz w:val="17"/>
          <w:szCs w:val="17"/>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ACM Research, Inc.</w:t>
      </w:r>
    </w:p>
    <w:p>
      <w:pPr>
        <w:spacing w:after="0" w:line="21"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42307 Osgood Road</w:t>
      </w:r>
    </w:p>
    <w:p>
      <w:pPr>
        <w:spacing w:after="0" w:line="4"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Suite I</w:t>
      </w:r>
    </w:p>
    <w:p>
      <w:pPr>
        <w:spacing w:after="0" w:line="4"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Fremont, California 94539</w:t>
      </w:r>
    </w:p>
    <w:p>
      <w:pPr>
        <w:spacing w:after="0" w:line="4" w:lineRule="exact"/>
        <w:rPr>
          <w:rFonts w:ascii="Times New Roman" w:cs="Times New Roman" w:eastAsia="Times New Roman" w:hAnsi="Times New Roman"/>
          <w:sz w:val="17"/>
          <w:szCs w:val="17"/>
          <w:color w:val="auto"/>
        </w:rPr>
      </w:pPr>
    </w:p>
    <w:p>
      <w:pPr>
        <w:ind w:left="4380" w:hanging="396"/>
        <w:spacing w:after="0"/>
        <w:tabs>
          <w:tab w:leader="none" w:pos="4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445-3700</w:t>
      </w:r>
    </w:p>
    <w:p>
      <w:pPr>
        <w:spacing w:after="0" w:line="4" w:lineRule="exact"/>
        <w:rPr>
          <w:rFonts w:ascii="Times New Roman" w:cs="Times New Roman" w:eastAsia="Times New Roman" w:hAnsi="Times New Roman"/>
          <w:sz w:val="17"/>
          <w:szCs w:val="17"/>
          <w:color w:val="auto"/>
        </w:rPr>
      </w:pPr>
    </w:p>
    <w:p>
      <w:pPr>
        <w:ind w:left="3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Investor Relations</w:t>
      </w:r>
    </w:p>
    <w:p>
      <w:pPr>
        <w:spacing w:after="0" w:line="88" w:lineRule="exact"/>
        <w:rPr>
          <w:rFonts w:ascii="Times New Roman" w:cs="Times New Roman" w:eastAsia="Times New Roman" w:hAnsi="Times New Roman"/>
          <w:sz w:val="17"/>
          <w:szCs w:val="17"/>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Exhibits to the filings will not be sent, unless those exhibits have been specifically incorporated by reference in this prospectus supplement.</w:t>
      </w:r>
    </w:p>
    <w:p>
      <w:pPr>
        <w:spacing w:after="0" w:line="158"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6" w:name="page17"/>
    <w:bookmarkEnd w:id="16"/>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2272665</wp:posOffset>
            </wp:positionH>
            <wp:positionV relativeFrom="paragraph">
              <wp:posOffset>166370</wp:posOffset>
            </wp:positionV>
            <wp:extent cx="1174750" cy="7302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74750" cy="73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3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b w:val="1"/>
          <w:bCs w:val="1"/>
          <w:color w:val="auto"/>
        </w:rPr>
        <w:t>Offered by the Selling Stockholders</w:t>
      </w:r>
    </w:p>
    <w:p>
      <w:pPr>
        <w:spacing w:after="0" w:line="88" w:lineRule="exact"/>
        <w:rPr>
          <w:sz w:val="20"/>
          <w:szCs w:val="20"/>
          <w:color w:val="auto"/>
        </w:rPr>
      </w:pPr>
    </w:p>
    <w:p>
      <w:pPr>
        <w:jc w:val="both"/>
        <w:ind w:left="700" w:right="719"/>
        <w:spacing w:after="0" w:line="254" w:lineRule="auto"/>
        <w:rPr>
          <w:sz w:val="20"/>
          <w:szCs w:val="20"/>
          <w:color w:val="auto"/>
        </w:rPr>
      </w:pPr>
      <w:r>
        <w:rPr>
          <w:rFonts w:ascii="Times New Roman" w:cs="Times New Roman" w:eastAsia="Times New Roman" w:hAnsi="Times New Roman"/>
          <w:sz w:val="17"/>
          <w:szCs w:val="17"/>
          <w:color w:val="auto"/>
        </w:rPr>
        <w:t>We may offer and sell the securities identified above, and the selling stockholders may offer and sell shares of our Class A common stock, in each case, from time to time in one or more offerings. This prospectus provides you with a general description of the securities. We will not receive any proceeds from the sale of our Class A common stock by the selling stockholders.</w:t>
      </w:r>
    </w:p>
    <w:p>
      <w:pPr>
        <w:spacing w:after="0" w:line="72" w:lineRule="exact"/>
        <w:rPr>
          <w:sz w:val="20"/>
          <w:szCs w:val="20"/>
          <w:color w:val="auto"/>
        </w:rPr>
      </w:pPr>
    </w:p>
    <w:p>
      <w:pPr>
        <w:jc w:val="both"/>
        <w:ind w:left="700" w:right="719"/>
        <w:spacing w:after="0" w:line="251" w:lineRule="auto"/>
        <w:rPr>
          <w:sz w:val="20"/>
          <w:szCs w:val="20"/>
          <w:color w:val="auto"/>
        </w:rPr>
      </w:pPr>
      <w:r>
        <w:rPr>
          <w:rFonts w:ascii="Times New Roman" w:cs="Times New Roman" w:eastAsia="Times New Roman" w:hAnsi="Times New Roman"/>
          <w:sz w:val="17"/>
          <w:szCs w:val="17"/>
          <w:color w:val="auto"/>
        </w:rPr>
        <w:t>Each time we or any of the selling stockholders, offer and sell securities, we or any of the selling stockholders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78" w:lineRule="exact"/>
        <w:rPr>
          <w:sz w:val="20"/>
          <w:szCs w:val="20"/>
          <w:color w:val="auto"/>
        </w:rPr>
      </w:pPr>
    </w:p>
    <w:p>
      <w:pPr>
        <w:jc w:val="both"/>
        <w:ind w:left="700" w:right="719"/>
        <w:spacing w:after="0" w:line="248" w:lineRule="auto"/>
        <w:rPr>
          <w:sz w:val="20"/>
          <w:szCs w:val="20"/>
          <w:color w:val="auto"/>
        </w:rPr>
      </w:pPr>
      <w:r>
        <w:rPr>
          <w:rFonts w:ascii="Times New Roman" w:cs="Times New Roman" w:eastAsia="Times New Roman" w:hAnsi="Times New Roman"/>
          <w:sz w:val="17"/>
          <w:szCs w:val="17"/>
          <w:color w:val="auto"/>
        </w:rPr>
        <w:t>We or any of the selling stockholders may offer and sell the securities described in this prospectus and any prospectus supplement to or through one or more underwriters, dealers and agents, or directly to purchasers, or through a combination of these methods. In addition, the selling stockholders may offer and sell shares of our Class A common stock from time to time, together or separately.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For more information, please see “About This Prospectus” and “Plan of Distribution” in this prospectus. No securities may be sold without delivery of this prospectus and the applicable prospectus supplement describing the method and terms of the offering of the securities.</w:t>
      </w:r>
    </w:p>
    <w:p>
      <w:pPr>
        <w:spacing w:after="0" w:line="82" w:lineRule="exact"/>
        <w:rPr>
          <w:sz w:val="20"/>
          <w:szCs w:val="20"/>
          <w:color w:val="auto"/>
        </w:rPr>
      </w:pPr>
    </w:p>
    <w:p>
      <w:pPr>
        <w:jc w:val="both"/>
        <w:ind w:left="700" w:right="719"/>
        <w:spacing w:after="0" w:line="271" w:lineRule="auto"/>
        <w:rPr>
          <w:sz w:val="20"/>
          <w:szCs w:val="20"/>
          <w:color w:val="auto"/>
        </w:rPr>
      </w:pPr>
      <w:r>
        <w:rPr>
          <w:rFonts w:ascii="Times New Roman" w:cs="Times New Roman" w:eastAsia="Times New Roman" w:hAnsi="Times New Roman"/>
          <w:sz w:val="17"/>
          <w:szCs w:val="17"/>
          <w:color w:val="auto"/>
        </w:rPr>
        <w:t>Our Class A common stock is listed on the Nasdaq Global Market, or Nasdaq, under the symbol “ACMR”. On March 15, 2024, the last reported sale price of our Class A common stock on Nasdaq was $27.11 per share.</w:t>
      </w:r>
    </w:p>
    <w:p>
      <w:pPr>
        <w:spacing w:after="0" w:line="54" w:lineRule="exact"/>
        <w:rPr>
          <w:sz w:val="20"/>
          <w:szCs w:val="20"/>
          <w:color w:val="auto"/>
        </w:rPr>
      </w:pPr>
    </w:p>
    <w:p>
      <w:pPr>
        <w:jc w:val="both"/>
        <w:ind w:left="700" w:right="71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Investing in these securities involves significant risks. See “Risk Factors” on page </w:t>
      </w:r>
      <w:r>
        <w:rPr>
          <w:rFonts w:ascii="Times New Roman" w:cs="Times New Roman" w:eastAsia="Times New Roman" w:hAnsi="Times New Roman"/>
          <w:sz w:val="17"/>
          <w:szCs w:val="17"/>
          <w:b w:val="1"/>
          <w:bCs w:val="1"/>
          <w:u w:val="single" w:color="auto"/>
          <w:color w:val="0000EE"/>
        </w:rPr>
        <w:t>2</w:t>
      </w:r>
      <w:r>
        <w:rPr>
          <w:rFonts w:ascii="Times New Roman" w:cs="Times New Roman" w:eastAsia="Times New Roman" w:hAnsi="Times New Roman"/>
          <w:sz w:val="17"/>
          <w:szCs w:val="17"/>
          <w:b w:val="1"/>
          <w:bCs w:val="1"/>
          <w:color w:val="auto"/>
        </w:rPr>
        <w:t xml:space="preserve"> of this prospectus and in any accompanying prospectus supplement, and in the documents incorporated by reference in this prospectus for a discussion of the factors you should carefully consider before deciding to purchase these securities.</w:t>
      </w:r>
    </w:p>
    <w:p>
      <w:pPr>
        <w:spacing w:after="0" w:line="69" w:lineRule="exact"/>
        <w:rPr>
          <w:sz w:val="20"/>
          <w:szCs w:val="20"/>
          <w:color w:val="auto"/>
        </w:rPr>
      </w:pPr>
    </w:p>
    <w:p>
      <w:pPr>
        <w:jc w:val="both"/>
        <w:ind w:left="700" w:right="719"/>
        <w:spacing w:after="0" w:line="260"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date of this prospectus is March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tbl>
      <w:tblPr>
        <w:tblLayout w:type="fixed"/>
        <w:tblInd w:w="60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7"/>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00" w:type="dxa"/>
            <w:vAlign w:val="bottom"/>
            <w:gridSpan w:val="13"/>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0000EE"/>
              </w:rPr>
              <w:t>ABOUT THIS PROSPECTUS</w:t>
            </w:r>
          </w:p>
        </w:tc>
        <w:tc>
          <w:tcPr>
            <w:tcW w:w="220" w:type="dxa"/>
            <w:vAlign w:val="bottom"/>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0000EE"/>
              </w:rPr>
              <w:t>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9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040" w:type="dxa"/>
            <w:vAlign w:val="bottom"/>
            <w:gridSpan w:val="7"/>
          </w:tcPr>
          <w:p>
            <w:pPr>
              <w:spacing w:after="0" w:line="175" w:lineRule="exact"/>
              <w:rPr>
                <w:sz w:val="20"/>
                <w:szCs w:val="20"/>
                <w:color w:val="auto"/>
              </w:rPr>
            </w:pPr>
            <w:r>
              <w:rPr>
                <w:rFonts w:ascii="Times New Roman" w:cs="Times New Roman" w:eastAsia="Times New Roman" w:hAnsi="Times New Roman"/>
                <w:sz w:val="17"/>
                <w:szCs w:val="17"/>
                <w:color w:val="0000EE"/>
              </w:rPr>
              <w:t>ABOUT OUR COMPANY</w:t>
            </w:r>
          </w:p>
        </w:tc>
        <w:tc>
          <w:tcPr>
            <w:tcW w:w="5460" w:type="dxa"/>
            <w:vAlign w:val="bottom"/>
            <w:gridSpan w:val="6"/>
          </w:tcPr>
          <w:p>
            <w:pPr>
              <w:spacing w:after="0"/>
              <w:rPr>
                <w:sz w:val="15"/>
                <w:szCs w:val="15"/>
                <w:color w:val="auto"/>
              </w:rPr>
            </w:pPr>
          </w:p>
        </w:tc>
        <w:tc>
          <w:tcPr>
            <w:tcW w:w="2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7"/>
                <w:szCs w:val="17"/>
                <w:color w:val="0000EE"/>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RISK FACTORS</w:t>
            </w:r>
          </w:p>
        </w:tc>
        <w:tc>
          <w:tcPr>
            <w:tcW w:w="22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9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gridSpan w:val="13"/>
          </w:tcPr>
          <w:p>
            <w:pPr>
              <w:spacing w:after="0" w:line="175" w:lineRule="exact"/>
              <w:rPr>
                <w:sz w:val="20"/>
                <w:szCs w:val="20"/>
                <w:color w:val="auto"/>
              </w:rPr>
            </w:pPr>
            <w:r>
              <w:rPr>
                <w:rFonts w:ascii="Times New Roman" w:cs="Times New Roman" w:eastAsia="Times New Roman" w:hAnsi="Times New Roman"/>
                <w:sz w:val="17"/>
                <w:szCs w:val="17"/>
                <w:color w:val="0000EE"/>
              </w:rPr>
              <w:t>USE OF PROCEEDS</w:t>
            </w:r>
          </w:p>
        </w:tc>
        <w:tc>
          <w:tcPr>
            <w:tcW w:w="2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7"/>
                <w:szCs w:val="17"/>
                <w:color w:val="0000EE"/>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40" w:type="dxa"/>
            <w:vAlign w:val="bottom"/>
            <w:gridSpan w:val="9"/>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6"/>
              </w:rPr>
              <w:t>DESCRIPTION OF CAPITAL STOCK</w:t>
            </w:r>
          </w:p>
        </w:tc>
        <w:tc>
          <w:tcPr>
            <w:tcW w:w="4860" w:type="dxa"/>
            <w:vAlign w:val="bottom"/>
            <w:gridSpan w:val="4"/>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39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gridSpan w:val="13"/>
          </w:tcPr>
          <w:p>
            <w:pPr>
              <w:spacing w:after="0" w:line="175"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2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7"/>
                <w:szCs w:val="17"/>
                <w:color w:val="0000EE"/>
              </w:rPr>
              <w:t>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0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DESCRIPTION OF OTHER SECURITIES</w:t>
            </w:r>
          </w:p>
        </w:tc>
        <w:tc>
          <w:tcPr>
            <w:tcW w:w="22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00" w:type="dxa"/>
            <w:vAlign w:val="bottom"/>
            <w:tcBorders>
              <w:top w:val="single" w:sz="8" w:color="0000EE"/>
            </w:tcBorders>
            <w:gridSpan w:val="11"/>
          </w:tcPr>
          <w:p>
            <w:pPr>
              <w:spacing w:after="0" w:line="175" w:lineRule="exact"/>
              <w:rPr>
                <w:sz w:val="20"/>
                <w:szCs w:val="20"/>
                <w:color w:val="auto"/>
              </w:rPr>
            </w:pPr>
            <w:r>
              <w:rPr>
                <w:rFonts w:ascii="Times New Roman" w:cs="Times New Roman" w:eastAsia="Times New Roman" w:hAnsi="Times New Roman"/>
                <w:sz w:val="17"/>
                <w:szCs w:val="17"/>
                <w:color w:val="0000EE"/>
              </w:rPr>
              <w:t>SELLING STOCKHOLDERS</w:t>
            </w:r>
          </w:p>
        </w:tc>
        <w:tc>
          <w:tcPr>
            <w:tcW w:w="4600" w:type="dxa"/>
            <w:vAlign w:val="bottom"/>
            <w:tcBorders>
              <w:top w:val="single" w:sz="8" w:color="CCEEFF"/>
            </w:tcBorders>
            <w:gridSpan w:val="2"/>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gridSpan w:val="2"/>
          </w:tcPr>
          <w:p>
            <w:pPr>
              <w:jc w:val="right"/>
              <w:spacing w:after="0" w:line="175" w:lineRule="exact"/>
              <w:rPr>
                <w:sz w:val="20"/>
                <w:szCs w:val="20"/>
                <w:color w:val="auto"/>
              </w:rPr>
            </w:pPr>
            <w:r>
              <w:rPr>
                <w:rFonts w:ascii="Times New Roman" w:cs="Times New Roman" w:eastAsia="Times New Roman" w:hAnsi="Times New Roman"/>
                <w:sz w:val="17"/>
                <w:szCs w:val="17"/>
                <w:color w:val="0000EE"/>
                <w:w w:val="82"/>
              </w:rPr>
              <w:t>17</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0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PLAN OF DISTRIBUTION</w:t>
            </w:r>
          </w:p>
        </w:tc>
        <w:tc>
          <w:tcPr>
            <w:tcW w:w="22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18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Borders>
              <w:top w:val="single" w:sz="8" w:color="0000EE"/>
            </w:tcBorders>
            <w:gridSpan w:val="6"/>
          </w:tcPr>
          <w:p>
            <w:pPr>
              <w:spacing w:after="0" w:line="175" w:lineRule="exact"/>
              <w:rPr>
                <w:sz w:val="20"/>
                <w:szCs w:val="20"/>
                <w:color w:val="auto"/>
              </w:rPr>
            </w:pPr>
            <w:r>
              <w:rPr>
                <w:rFonts w:ascii="Times New Roman" w:cs="Times New Roman" w:eastAsia="Times New Roman" w:hAnsi="Times New Roman"/>
                <w:sz w:val="17"/>
                <w:szCs w:val="17"/>
                <w:color w:val="0000EE"/>
              </w:rPr>
              <w:t>LEGAL MATTERS</w:t>
            </w:r>
          </w:p>
        </w:tc>
        <w:tc>
          <w:tcPr>
            <w:tcW w:w="5620" w:type="dxa"/>
            <w:vAlign w:val="bottom"/>
            <w:tcBorders>
              <w:top w:val="single" w:sz="8" w:color="CCEEFF"/>
            </w:tcBorders>
            <w:gridSpan w:val="7"/>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gridSpan w:val="2"/>
          </w:tcPr>
          <w:p>
            <w:pPr>
              <w:jc w:val="right"/>
              <w:spacing w:after="0" w:line="175" w:lineRule="exact"/>
              <w:rPr>
                <w:sz w:val="20"/>
                <w:szCs w:val="20"/>
                <w:color w:val="auto"/>
              </w:rPr>
            </w:pPr>
            <w:r>
              <w:rPr>
                <w:rFonts w:ascii="Times New Roman" w:cs="Times New Roman" w:eastAsia="Times New Roman" w:hAnsi="Times New Roman"/>
                <w:sz w:val="17"/>
                <w:szCs w:val="17"/>
                <w:color w:val="0000EE"/>
                <w:w w:val="82"/>
              </w:rPr>
              <w:t>19</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700" w:type="dxa"/>
            <w:vAlign w:val="bottom"/>
            <w:tcBorders>
              <w:bottom w:val="single" w:sz="8" w:color="0000EE"/>
            </w:tcBorders>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w w:val="92"/>
              </w:rPr>
              <w:t>EXPERTS</w:t>
            </w:r>
          </w:p>
        </w:tc>
        <w:tc>
          <w:tcPr>
            <w:tcW w:w="6800" w:type="dxa"/>
            <w:vAlign w:val="bottom"/>
            <w:tcBorders>
              <w:bottom w:val="single" w:sz="8" w:color="CCEEFF"/>
            </w:tcBorders>
            <w:gridSpan w:val="1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w w:val="82"/>
              </w:rPr>
              <w:t>19</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00" w:type="dxa"/>
            <w:vAlign w:val="bottom"/>
            <w:gridSpan w:val="13"/>
          </w:tcPr>
          <w:p>
            <w:pPr>
              <w:spacing w:after="0" w:line="175"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220" w:type="dxa"/>
            <w:vAlign w:val="bottom"/>
            <w:gridSpan w:val="3"/>
          </w:tcPr>
          <w:p>
            <w:pPr>
              <w:jc w:val="right"/>
              <w:spacing w:after="0" w:line="175" w:lineRule="exact"/>
              <w:rPr>
                <w:sz w:val="20"/>
                <w:szCs w:val="20"/>
                <w:color w:val="auto"/>
              </w:rPr>
            </w:pPr>
            <w:r>
              <w:rPr>
                <w:rFonts w:ascii="Times New Roman" w:cs="Times New Roman" w:eastAsia="Times New Roman" w:hAnsi="Times New Roman"/>
                <w:sz w:val="17"/>
                <w:szCs w:val="17"/>
                <w:color w:val="0000EE"/>
              </w:rPr>
              <w:t>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3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500" w:type="dxa"/>
            <w:vAlign w:val="bottom"/>
            <w:gridSpan w:val="13"/>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0000EE"/>
              </w:rPr>
              <w:t>INCORPORATION BY REFERENCE</w:t>
            </w:r>
          </w:p>
        </w:tc>
        <w:tc>
          <w:tcPr>
            <w:tcW w:w="220" w:type="dxa"/>
            <w:vAlign w:val="bottom"/>
            <w:gridSpan w:val="3"/>
            <w:shd w:val="clear" w:color="auto" w:fill="CCEEFF"/>
          </w:tcPr>
          <w:p>
            <w:pPr>
              <w:jc w:val="right"/>
              <w:spacing w:after="0" w:line="175" w:lineRule="exact"/>
              <w:rPr>
                <w:sz w:val="20"/>
                <w:szCs w:val="20"/>
                <w:color w:val="auto"/>
              </w:rPr>
            </w:pPr>
            <w:r>
              <w:rPr>
                <w:rFonts w:ascii="Times New Roman" w:cs="Times New Roman" w:eastAsia="Times New Roman" w:hAnsi="Times New Roman"/>
                <w:sz w:val="17"/>
                <w:szCs w:val="17"/>
                <w:color w:val="0000EE"/>
              </w:rPr>
              <w:t>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3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00" w:right="619"/>
        <w:spacing w:after="0" w:line="247"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or incorporated by reference into this prospectus, in any accompanying prospectus supplement or any free writing prospectuses prepared by or on behalf of us or to which we have referred you. Neither we, nor the selling stockholders have authorized any person to give any information or to make any representations other than those contained or incorporated by reference in this prospectus, any accompanying prospectus supplement, or any free writing prospectuses prepared by or on behalf of us or to which we have referred you, and, if given or made, you must not rely upon the information or representations as having been authorized. This prospectus, any accompanying prospectus supplement and any free writing prospectuses prepared by or on behalf of us or to which we have referred you, do not constitute an offer to sell or the solicitation of an offer to buy securities, nor do this prospectus or any accompanying supplement to this prospectus constitute an offer to sell or the solicitation of an offer to buy securities in any jurisdiction to any person to whom it is unlawful to make such offer or solicitation. The information contained in this prospectus, any accompanying prospectus supplement, and any free writing prospectuses prepared by or on behalf of us or to which we have referred you, speaks only as of the date set forth on the cover page and may not reflect subsequent changes in our business, financial condition, results of operations and prospects even though this prospectus, any accompanying prospectus supplement, and any free writing prospectuses prepared by or on behalf of us or to which we have referred you, is delivered or securities are sold on a later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08" w:lineRule="exact"/>
        <w:rPr>
          <w:sz w:val="20"/>
          <w:szCs w:val="20"/>
          <w:color w:val="auto"/>
        </w:rPr>
      </w:pPr>
    </w:p>
    <w:p>
      <w:pPr>
        <w:jc w:val="both"/>
        <w:ind w:left="600" w:right="619"/>
        <w:spacing w:after="0" w:line="247"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statement, we and the selling stockholders to be named in a supplement to this prospectus may sell securities from time to time in one or more offerings, as described in this prospectus. Each time that we or the selling stockholders offer and sell securities, we or the selling stockholders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82" w:lineRule="exact"/>
        <w:rPr>
          <w:sz w:val="20"/>
          <w:szCs w:val="20"/>
          <w:color w:val="auto"/>
        </w:rPr>
      </w:pPr>
    </w:p>
    <w:p>
      <w:pPr>
        <w:jc w:val="both"/>
        <w:ind w:left="600" w:right="619"/>
        <w:spacing w:after="0" w:line="246" w:lineRule="auto"/>
        <w:rPr>
          <w:sz w:val="20"/>
          <w:szCs w:val="20"/>
          <w:color w:val="auto"/>
        </w:rPr>
      </w:pPr>
      <w:r>
        <w:rPr>
          <w:rFonts w:ascii="Times New Roman" w:cs="Times New Roman" w:eastAsia="Times New Roman" w:hAnsi="Times New Roman"/>
          <w:sz w:val="17"/>
          <w:szCs w:val="17"/>
          <w:color w:val="auto"/>
        </w:rPr>
        <w:t>We, and the selling stockholders, have not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any applicable prospectus supplement or any free writing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estimates and projections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References in this prospectus to “our company,” “our,” “us,” “we” and similar terms refer to ACM Research, Inc.</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 not, unless the context otherwise requires, subsidiaries of ACM Research, Inc.</w:t>
      </w:r>
    </w:p>
    <w:p>
      <w:pPr>
        <w:spacing w:after="0" w:line="8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Our logo design is one of our trademarks. This prospectus also includes trademarks, tradenames, and service marks that are the property of other organizations. For convenience, our logo appears in this prospectus without the ™ symbol, but those uses are not intended to indicate that we will not assert, to the fullest extent under applicable law, our rights to this trademark.</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OUR COMPANY</w:t>
      </w:r>
    </w:p>
    <w:p>
      <w:pPr>
        <w:spacing w:after="0" w:line="10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and 3D NAND-flash memory chips. We also develop, manufacture and sell a range of advanced packaging tools to wafer assembly and packaging customers.</w:t>
      </w:r>
    </w:p>
    <w:p>
      <w:pPr>
        <w:spacing w:after="0" w:line="7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We incorporated in California in January 1998 and redomesticated in Delaware in November 2016. Our headquarters are located at 42307 Osgood Road, Suite I, Fremont, California 94539, where our telephone number is (510) 445-3700.</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and the applicable prospectus supplement involves risks. Before acquiring any of such securities, you should carefully consider the risk factors incorporated by reference to our most recent Annual Report on Form 10-K and any subsequent Quarterly Reports on Form 10-Q or Current Reports on Form 8-K filed by us, and all other information contained or incorporated by reference into this prospectus, as updated by our filings under the Securities Exchange Act of 1934, as amended, or the Exchange Act, and the risk factors and other information contained in the applicable prospectus supplement and any applicable free writing prospectus. The occurrence of any of these risks might cause you to lose all or part of your investment in the offered securities.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FORWARD-LOOKING STATEMENTS AND STATISTICAL DATA</w:t>
      </w:r>
    </w:p>
    <w:p>
      <w:pPr>
        <w:spacing w:after="0" w:line="108"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6"/>
          <w:szCs w:val="16"/>
          <w:color w:val="auto"/>
        </w:rPr>
        <w:t>This prospectus and the documents incorporated by reference herein contain forward-looking statements within the meaning of the Private Securities Litigation Reform Act of 1995. All statements, other than statements of historical facts, included or incorporated by reference in this prospectus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our most our Annual Report on Form 10-K and any subsequent Quarterly Reports on Form 10-Q or Current Reports on Form 8-K, that may cause our actual results, performance or achievements to be materially different from any future results, performance or achievements expressed or implied by these forward-looking statements.</w:t>
      </w:r>
    </w:p>
    <w:p>
      <w:pPr>
        <w:spacing w:after="0" w:line="75"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The information included under the heading “Item 7. Management’s Discussion and Analysis of Financial Condition and Results of Operations—Overview,” of Part II of our most recent Annual Report on Form 10-K contains statistical data and estimates, including forecasts, that are based on information provided by Gartner, Inc., or Gartner, in “Forecast: Semiconductor Wafer Fab Equipment, Worldwide, 4Q23 Update” (December 2023), or the Gartner Report. The Gartner Report represents research opinions or viewpoints that are published, as part of a syndicated subscription service, by Gartner and are not representations of fact. The Gartner Report speaks as of its original publication date (and not as of the date of this prospectus), and the opinions expressed in the Gartner Report are subject to change without notice. While we are not aware of any misstatements regarding any of the data presented from the Gartner Report, estimates, and in particular forecasts, involve numerous assumptions and are subject to risks and uncertainties, as well as change based on various factors, that could cause results to differ materially from those expressed in the data presented below.</w:t>
      </w:r>
    </w:p>
    <w:p>
      <w:pPr>
        <w:spacing w:after="0" w:line="7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Any forward-looking statement made or incorporated by reference into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7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You should read this prospectus and the documents incorporated by reference herein completely and with the understanding that our actual future results may be materially different from what we expect. We qualify all of our forward-looking statements by these cautionary statements.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0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We intend to use the net proceeds from the sale of securities as set forth in the applicable prospectus supplement. We will not receive any of the proceeds from the sale of Class A common stock being offered by any selling stockholders.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As of February 23, 2024, our authorized capital stock consisted of 150,000,000 shares of Class A common stock, $0.0001 par value per share, 5,307,816 shares of Class B common stock, $0.0001 par value per share, and 10,000,000 shares of preferred stock, $0.0001 par value per share. Class A common stock and Class B common stock are referred to collectively as common stock.</w:t>
      </w:r>
    </w:p>
    <w:p>
      <w:pPr>
        <w:spacing w:after="0" w:line="72"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The following summary describes our capital stock, including material provisions of our charter, our bylaws and Delaware law. Because the following is only a summary, it does not contain all of the information that may be important to you. For a complete description, you should refer to our charter and bylaws, copies of which are incorporated by reference as exhibits to the registration statement of which this prospectus is a part.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Outstanding Shares and Options</w:t>
      </w:r>
    </w:p>
    <w:p>
      <w:pPr>
        <w:spacing w:after="0" w:line="1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February 23, 2024, there were:</w:t>
      </w:r>
    </w:p>
    <w:p>
      <w:pPr>
        <w:spacing w:after="0" w:line="104" w:lineRule="exact"/>
        <w:rPr>
          <w:sz w:val="20"/>
          <w:szCs w:val="20"/>
          <w:color w:val="auto"/>
        </w:rPr>
      </w:pPr>
    </w:p>
    <w:p>
      <w:pPr>
        <w:ind w:left="1260" w:hanging="322"/>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56,073,205 shares of Class A common stock outstanding, held of record by 46 stockholders;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11,114,548 shares of Class A common stock issuable upon exercise of outstanding stock options; and</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5,021,811 shares of Class B common stock outstanding, held of record by 16 stockholders.</w:t>
      </w:r>
    </w:p>
    <w:p>
      <w:pPr>
        <w:spacing w:after="0" w:line="104"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Authorized but unissued shares of Class B common stock are not available for reissuance. 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06"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Except as otherwise required by Delaware law, at every annual or special meeting of stockholders, holders of Class B common stock are entitled to 20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78" w:lineRule="exact"/>
        <w:rPr>
          <w:sz w:val="20"/>
          <w:szCs w:val="20"/>
          <w:color w:val="auto"/>
        </w:rPr>
      </w:pPr>
    </w:p>
    <w:p>
      <w:pPr>
        <w:jc w:val="both"/>
        <w:ind w:left="1260" w:right="619" w:hanging="322"/>
        <w:spacing w:after="0" w:line="258"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69"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were to seek to declare a dividend or distribution that would be disparate as between the two classes.</w:t>
      </w:r>
    </w:p>
    <w:p>
      <w:pPr>
        <w:spacing w:after="0" w:line="116"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Stockholders do not have the ability to cumulate votes for the election of directors. The board of directors is not currently classified. Our charter and bylaws, however,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106"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 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3" w:name="page24"/>
    <w:bookmarkEnd w:id="23"/>
    <w:p>
      <w:pPr>
        <w:jc w:val="center"/>
        <w:ind w:right="6379"/>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Liquidation</w:t>
      </w:r>
    </w:p>
    <w:p>
      <w:pPr>
        <w:spacing w:after="0" w:line="106"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3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106"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the election of the holders of a majority of the then outstanding shares of Class B common stock. Once converted or transferred and converted into Class A common stock, shares of Class B common stock will not be reissued.</w:t>
      </w:r>
    </w:p>
    <w:p>
      <w:pPr>
        <w:spacing w:after="0" w:line="3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i w:val="1"/>
          <w:iCs w:val="1"/>
          <w:color w:val="auto"/>
        </w:rPr>
        <w:t>Other Rights and Preferences</w:t>
      </w:r>
    </w:p>
    <w:p>
      <w:pPr>
        <w:spacing w:after="0" w:line="106"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3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08"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w:t>
      </w:r>
    </w:p>
    <w:p>
      <w:pPr>
        <w:spacing w:after="0" w:line="10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7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Delaware Law</w:t>
      </w:r>
    </w:p>
    <w:p>
      <w:pPr>
        <w:spacing w:after="0" w:line="10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78" w:lineRule="exact"/>
        <w:rPr>
          <w:sz w:val="20"/>
          <w:szCs w:val="20"/>
          <w:color w:val="auto"/>
        </w:rPr>
      </w:pPr>
    </w:p>
    <w:p>
      <w:pPr>
        <w:ind w:left="1260" w:right="619" w:hanging="322"/>
        <w:spacing w:after="0" w:line="271"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is approved by the board of directors prior to the time that the interested stockholder became an interested stockholder;</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4"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72"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69"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3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Charter and Bylaw Provisions</w:t>
      </w:r>
    </w:p>
    <w:p>
      <w:pPr>
        <w:spacing w:after="0" w:line="10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67" w:lineRule="exact"/>
        <w:rPr>
          <w:sz w:val="20"/>
          <w:szCs w:val="20"/>
          <w:color w:val="auto"/>
        </w:rPr>
      </w:pPr>
    </w:p>
    <w:p>
      <w:pPr>
        <w:jc w:val="both"/>
        <w:ind w:left="1260" w:right="619" w:hanging="322"/>
        <w:spacing w:after="0" w:line="251"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Separate Class B Vote for Certain Transactions</w:t>
      </w:r>
      <w:r>
        <w:rPr>
          <w:rFonts w:ascii="Times New Roman" w:cs="Times New Roman" w:eastAsia="Times New Roman" w:hAnsi="Times New Roman"/>
          <w:sz w:val="17"/>
          <w:szCs w:val="17"/>
          <w:color w:val="auto"/>
        </w:rPr>
        <w:t>. Until the first date on which the outstanding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B common 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73" w:lineRule="exact"/>
        <w:rPr>
          <w:rFonts w:ascii="Times New Roman" w:cs="Times New Roman" w:eastAsia="Times New Roman" w:hAnsi="Times New Roman"/>
          <w:sz w:val="17"/>
          <w:szCs w:val="17"/>
          <w:color w:val="auto"/>
        </w:rPr>
      </w:pPr>
    </w:p>
    <w:p>
      <w:pPr>
        <w:jc w:val="both"/>
        <w:ind w:left="1260" w:right="619" w:hanging="322"/>
        <w:spacing w:after="0" w:line="251"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Dual Class Stock</w:t>
      </w:r>
      <w:r>
        <w:rPr>
          <w:rFonts w:ascii="Times New Roman" w:cs="Times New Roman" w:eastAsia="Times New Roman" w:hAnsi="Times New Roman"/>
          <w:sz w:val="17"/>
          <w:szCs w:val="17"/>
          <w:color w:val="auto"/>
        </w:rPr>
        <w:t>. As described above in “—Common Stock—Voting Rights,” our charter provides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dual class 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73" w:lineRule="exact"/>
        <w:rPr>
          <w:rFonts w:ascii="Times New Roman" w:cs="Times New Roman" w:eastAsia="Times New Roman" w:hAnsi="Times New Roman"/>
          <w:sz w:val="17"/>
          <w:szCs w:val="17"/>
          <w:color w:val="auto"/>
        </w:rPr>
      </w:pPr>
    </w:p>
    <w:p>
      <w:pPr>
        <w:jc w:val="both"/>
        <w:ind w:left="1260" w:right="619" w:hanging="322"/>
        <w:spacing w:after="0" w:line="252"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Supermajority Approvals</w:t>
      </w:r>
      <w:r>
        <w:rPr>
          <w:rFonts w:ascii="Times New Roman" w:cs="Times New Roman" w:eastAsia="Times New Roman" w:hAnsi="Times New Roman"/>
          <w:sz w:val="17"/>
          <w:szCs w:val="17"/>
          <w:color w:val="auto"/>
        </w:rPr>
        <w:t>. Our charter and bylaws provide that when the outstanding shares of Class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73" w:lineRule="exact"/>
        <w:rPr>
          <w:rFonts w:ascii="Times New Roman" w:cs="Times New Roman" w:eastAsia="Times New Roman" w:hAnsi="Times New Roman"/>
          <w:sz w:val="17"/>
          <w:szCs w:val="17"/>
          <w:color w:val="auto"/>
        </w:rPr>
      </w:pPr>
    </w:p>
    <w:p>
      <w:pPr>
        <w:jc w:val="both"/>
        <w:ind w:left="1260" w:right="619" w:hanging="322"/>
        <w:spacing w:after="0" w:line="249"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Board of Directors Vacancies</w:t>
      </w:r>
      <w:r>
        <w:rPr>
          <w:rFonts w:ascii="Times New Roman" w:cs="Times New Roman" w:eastAsia="Times New Roman" w:hAnsi="Times New Roman"/>
          <w:sz w:val="17"/>
          <w:szCs w:val="17"/>
          <w:color w:val="auto"/>
        </w:rPr>
        <w:t>. Our charter and bylaws provide that stockholders may fill vacant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directorships. When the 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7" w:lineRule="exact"/>
        <w:rPr>
          <w:sz w:val="20"/>
          <w:szCs w:val="20"/>
          <w:color w:val="auto"/>
        </w:rPr>
      </w:pPr>
    </w:p>
    <w:p>
      <w:pPr>
        <w:jc w:val="both"/>
        <w:ind w:left="1260" w:right="619" w:hanging="322"/>
        <w:spacing w:after="0" w:line="249" w:lineRule="auto"/>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Classified Board</w:t>
      </w:r>
      <w:r>
        <w:rPr>
          <w:rFonts w:ascii="Times New Roman" w:cs="Times New Roman" w:eastAsia="Times New Roman" w:hAnsi="Times New Roman"/>
          <w:sz w:val="17"/>
          <w:szCs w:val="17"/>
          <w:color w:val="auto"/>
        </w:rPr>
        <w:t>. The board of directors is not currently classified. Our charter and bylaws provide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outstanding 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77" w:lineRule="exact"/>
        <w:rPr>
          <w:rFonts w:ascii="Times New Roman" w:cs="Times New Roman" w:eastAsia="Times New Roman" w:hAnsi="Times New Roman"/>
          <w:sz w:val="17"/>
          <w:szCs w:val="17"/>
          <w:color w:val="auto"/>
        </w:rPr>
      </w:pPr>
    </w:p>
    <w:p>
      <w:pPr>
        <w:jc w:val="both"/>
        <w:ind w:left="1260" w:right="619" w:hanging="322"/>
        <w:spacing w:after="0" w:line="248" w:lineRule="auto"/>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Stockholder Action; Special Meeting of Stockholders</w:t>
      </w:r>
      <w:r>
        <w:rPr>
          <w:rFonts w:ascii="Times New Roman" w:cs="Times New Roman" w:eastAsia="Times New Roman" w:hAnsi="Times New Roman"/>
          <w:sz w:val="17"/>
          <w:szCs w:val="17"/>
          <w:color w:val="auto"/>
        </w:rPr>
        <w:t>. Our charter provides that stockholders will be 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take action by 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77" w:lineRule="exact"/>
        <w:rPr>
          <w:rFonts w:ascii="Times New Roman" w:cs="Times New Roman" w:eastAsia="Times New Roman" w:hAnsi="Times New Roman"/>
          <w:sz w:val="17"/>
          <w:szCs w:val="17"/>
          <w:color w:val="auto"/>
        </w:rPr>
      </w:pPr>
    </w:p>
    <w:p>
      <w:pPr>
        <w:jc w:val="both"/>
        <w:ind w:left="1260" w:right="619" w:hanging="322"/>
        <w:spacing w:after="0" w:line="251" w:lineRule="auto"/>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r>
        <w:rPr>
          <w:rFonts w:ascii="Times New Roman" w:cs="Times New Roman" w:eastAsia="Times New Roman" w:hAnsi="Times New Roman"/>
          <w:sz w:val="17"/>
          <w:szCs w:val="17"/>
          <w:color w:val="auto"/>
        </w:rPr>
        <w:t>. Our bylaws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advance notice 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73" w:lineRule="exact"/>
        <w:rPr>
          <w:rFonts w:ascii="Times New Roman" w:cs="Times New Roman" w:eastAsia="Times New Roman" w:hAnsi="Times New Roman"/>
          <w:sz w:val="17"/>
          <w:szCs w:val="17"/>
          <w:color w:val="auto"/>
        </w:rPr>
      </w:pPr>
    </w:p>
    <w:p>
      <w:pPr>
        <w:jc w:val="both"/>
        <w:ind w:left="1260" w:right="619" w:hanging="322"/>
        <w:spacing w:after="0" w:line="252" w:lineRule="auto"/>
        <w:tabs>
          <w:tab w:leader="none" w:pos="12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Issuance of Undesignated Preferred Stock</w:t>
      </w:r>
      <w:r>
        <w:rPr>
          <w:rFonts w:ascii="Times New Roman" w:cs="Times New Roman" w:eastAsia="Times New Roman" w:hAnsi="Times New Roman"/>
          <w:sz w:val="17"/>
          <w:szCs w:val="17"/>
          <w:color w:val="auto"/>
        </w:rPr>
        <w:t>. The board of directors has the authority, without further 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3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Choice of Forum</w:t>
      </w:r>
    </w:p>
    <w:p>
      <w:pPr>
        <w:spacing w:after="0" w:line="10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Computershare Trust Company, N.A.</w:t>
      </w:r>
    </w:p>
    <w:p>
      <w:pPr>
        <w:spacing w:after="0" w:line="3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Nasdaq Global Market</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Class A common stock is listed on the Nasdaq Global Market under the symbol “ACMR.”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0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any applicable prospectus supplement or free writing prospectus. The terms of any debt securities offered under any applicable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80"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7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any applicable prospectus supplements and any related free writing prospectuses related to the debt securities that we may offer under this prospectus, as well as the complete indenture that contains the terms of the debt securities.</w:t>
      </w:r>
    </w:p>
    <w:p>
      <w:pPr>
        <w:spacing w:after="0" w:line="3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0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7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One or more series of debt securities may be variable rate debt securities that may be exchanged for fixed rate debt securities. Material U.S. federal income tax considerations applicable to debt securities issued with OID will be described in more detail in any applicable prospectus supplement.</w:t>
      </w:r>
    </w:p>
    <w:p>
      <w:pPr>
        <w:spacing w:after="0" w:line="80"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We will comply with Section 14(e) under the Exchange Act to the extent applicable, and any other tender offer rules under the Exchange Act, which may then be applicable, in connection with any obligation we may have to purchase debt securities at the option of the holders thereof. Any such obligation applicable to a series of debt securities will be described in any applicable prospectus supplement.</w:t>
      </w:r>
    </w:p>
    <w:p>
      <w:pPr>
        <w:spacing w:after="0" w:line="72"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Any applicable prospectus supplement relating to a series of debt securities being offered will contain the following terms, if applicable:</w:t>
      </w:r>
    </w:p>
    <w:p>
      <w:pPr>
        <w:spacing w:after="0" w:line="58" w:lineRule="exact"/>
        <w:rPr>
          <w:sz w:val="20"/>
          <w:szCs w:val="20"/>
          <w:color w:val="auto"/>
        </w:rPr>
      </w:pPr>
    </w:p>
    <w:p>
      <w:pPr>
        <w:ind w:left="1260" w:hanging="322"/>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debt securities and the ranking;</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and any limit on that amount;</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the debt securities will be issued;</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debt securities mature;</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fixed or variable rate at which the debt securities will bear interest, or the method by which the rate shall be determined;</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place and manner of making principal, interest and any premium payments on the debt securities, and, if applicable, where the debt securities may be surrendered for registration of transfer or exchange;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if any, after which the debt securities may be converted or exchanged into or for our common stock or another company’s securities or property or cash, and the terms of any such conversion or exchange;</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early repayment provisions;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sinking fund or similar provisions;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authorized denominations;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subordination provisions;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guarantees of the securities by our subsidiaries or others;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currency in which we will pay the principal, interest and any premium payments on the debt securities;</w:t>
      </w:r>
    </w:p>
    <w:p>
      <w:pPr>
        <w:spacing w:after="0" w:line="115" w:lineRule="exact"/>
        <w:rPr>
          <w:rFonts w:ascii="Times New Roman" w:cs="Times New Roman" w:eastAsia="Times New Roman" w:hAnsi="Times New Roman"/>
          <w:sz w:val="16"/>
          <w:szCs w:val="16"/>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amount of payments of principal of (and premium, if any) or interest, if any, on the debt securities may be determined with reference to an index, formula or other method and the manner in which the amounts shall be determined;</w:t>
      </w:r>
    </w:p>
    <w:p>
      <w:pPr>
        <w:spacing w:after="0" w:line="69"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we will issue the series of debt securities, if other than denominations of $1,000 and any integral multiple thereof;</w:t>
      </w:r>
    </w:p>
    <w:p>
      <w:pPr>
        <w:spacing w:after="0" w:line="58"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period within which, the manner in which and the terms and conditions upon which the purchaser of the securities can select the payment currency;</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granting special rights to the holders of debt securities upon certain events;</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additions to or changes in the events of default or covenants with respect to the debt securities, and any change in the right of the trustee or the holders, from those described in this prospectus, to declare principal, premium and interest to be due and payable;</w:t>
      </w:r>
    </w:p>
    <w:p>
      <w:pPr>
        <w:spacing w:after="0" w:line="69"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or deletions of the provisions relating to covenant defeasance and legal defeasance;</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satisfaction and discharge of the indenture;</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or changes in the provisions relating to the modification of the indenture both with and without the consent of holders of debt securities issued under the indenture;</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under what circumstances we will pay any additional amounts on the debt securities for any tax, assessment or governmental charge and, if so, whether we will have the option to redeem the debt securities instead of paying those amounts;</w:t>
      </w:r>
    </w:p>
    <w:p>
      <w:pPr>
        <w:spacing w:after="0" w:line="69"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(registered and/or bearer securities), any restrictions applicable to the offer, sale or delivery of bearer securities and the terms, if any, upon which bearer securities may be exchanged for registered securities and vice versa;</w:t>
      </w:r>
    </w:p>
    <w:p>
      <w:pPr>
        <w:spacing w:after="0" w:line="69"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any bearer securities or any global security, if other than the date of original issuance of the first security of the series to be issued;</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to whom and manner in which any interest shall be payable;</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securities will be issued in whole or in part in the form of one or more global securities;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depositary for global securities;</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 temporary security is to be issued with respect to the series and whether any interest payable prior to the issuance of definitive securities of the series will be credited to the account of the persons entitled thereto;</w:t>
      </w:r>
    </w:p>
    <w:p>
      <w:pPr>
        <w:spacing w:after="0" w:line="69"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upon which beneficial interests in a temporary global security may be exchanged in whole or in part for beneficial interests in a definitive global security or for individual definitive securities and the terms upon which exchanges may be made;</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exchange(s), if any, on which the securities will be listed;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ind w:left="1260" w:hanging="3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underwriter(s) will act as market maker(s) for the securities;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(certificated or book-entry);</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and/or terms of certificates, documents or conditions which may be necessary, if any, for the debt securities to be issuable in final form; and</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terms not inconsistent with the provisions of the indenture.</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Conversion or Exchange Rights</w:t>
      </w:r>
    </w:p>
    <w:p>
      <w:pPr>
        <w:spacing w:after="0" w:line="10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We will set forth in any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Consolidation, Merger or Sale</w:t>
      </w:r>
    </w:p>
    <w:p>
      <w:pPr>
        <w:spacing w:after="0" w:line="10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Except as set forth in any applicable prospectus supplement, the indenture will provide that we shall not consolidate with, or sell, assign, transfer, lease or convey all or substantially all of our assets to, or merge into, another business entity, unless:</w:t>
      </w:r>
    </w:p>
    <w:p>
      <w:pPr>
        <w:spacing w:after="0" w:line="69" w:lineRule="exact"/>
        <w:rPr>
          <w:sz w:val="20"/>
          <w:szCs w:val="20"/>
          <w:color w:val="auto"/>
        </w:rPr>
      </w:pPr>
    </w:p>
    <w:p>
      <w:pPr>
        <w:jc w:val="both"/>
        <w:ind w:left="1260" w:right="619" w:hanging="322"/>
        <w:spacing w:after="0" w:line="254"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entity or, in the event that we are not the surviving entity, the entity formed by the transaction (in a consolidation) or the entity which received the transfer of assets is organized under the laws of any state of the United States or the District of Columbia and that the entity assumes all of our obligations under the debt securities and the indenture; and</w:t>
      </w:r>
    </w:p>
    <w:p>
      <w:pPr>
        <w:spacing w:after="0" w:line="72"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event of default, as defined in the indenture, shall have occurred and be continuing.</w:t>
      </w:r>
    </w:p>
    <w:p>
      <w:pPr>
        <w:spacing w:after="0" w:line="58" w:lineRule="exact"/>
        <w:rPr>
          <w:sz w:val="20"/>
          <w:szCs w:val="20"/>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Notwithstanding the foregoing, we may merge with another business entity or acquire by purchase or otherwise all or any part of the property or assets of any other company in a transaction in which we are the surviving entity.</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08" w:lineRule="exact"/>
        <w:rPr>
          <w:sz w:val="20"/>
          <w:szCs w:val="20"/>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Unless otherwise specified in any applicable prospectus supplement, the following are events of default with respect to any series of debt securities issued under the indenture:</w:t>
      </w:r>
    </w:p>
    <w:p>
      <w:pPr>
        <w:spacing w:after="0" w:line="58" w:lineRule="exact"/>
        <w:rPr>
          <w:sz w:val="20"/>
          <w:szCs w:val="20"/>
          <w:color w:val="auto"/>
        </w:rPr>
      </w:pPr>
    </w:p>
    <w:p>
      <w:pPr>
        <w:ind w:left="1260" w:right="639" w:hanging="322"/>
        <w:spacing w:after="0" w:line="271" w:lineRule="auto"/>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any interest on any debt security of that series when due, and the default continues for 30 days;</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make sinking fund payments when due;</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4" w:lineRule="auto"/>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any covenant or warranty contained in the indenture, other than covenants or warranties contained in the indenture solely for the benefit of other series of debt securities, and the default continues for 30 days after notice from the trustee or the holders of at least 25% in principal amount of the then outstanding debt securities of that series;</w:t>
      </w:r>
    </w:p>
    <w:p>
      <w:pPr>
        <w:spacing w:after="0" w:line="72"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insolvency or reorganization; and</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that particular series of debt securities.</w:t>
      </w:r>
    </w:p>
    <w:p>
      <w:pPr>
        <w:spacing w:after="0" w:line="104"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If an event of default occurs and continues, then upon written notice to us, the trustee or the holders of at least 25% in principal amount of the outstanding debt securities of that series may declare the unpaid principal amount of and any accrued and unpaid interest on, all debt securities of that series to be due and payable immediately. However, at any time after a declaration of acceleration with respect to debt securities of any series has been made, the holders of a majority in principal amount of the outstanding debt securities of that series may rescind and annul the acceleration:</w:t>
      </w:r>
    </w:p>
    <w:p>
      <w:pPr>
        <w:spacing w:after="0" w:line="78" w:lineRule="exact"/>
        <w:rPr>
          <w:sz w:val="20"/>
          <w:szCs w:val="20"/>
          <w:color w:val="auto"/>
        </w:rPr>
      </w:pPr>
    </w:p>
    <w:p>
      <w:pPr>
        <w:ind w:left="1260" w:right="619" w:hanging="322"/>
        <w:spacing w:after="0" w:line="271" w:lineRule="auto"/>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all events of default other than the nonpayment of principal of or interest on the debt securities of that series which have become due solely because of the acceleration have been waived or cured; and</w:t>
      </w:r>
    </w:p>
    <w:p>
      <w:pPr>
        <w:spacing w:after="0" w:line="58"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rescission would not conflict with any judgment or decree of a court of competent jurisdiction. For information as to waiver of defaults, see “Modification of Indenture; Waiver” below.</w:t>
      </w:r>
    </w:p>
    <w:p>
      <w:pPr>
        <w:spacing w:after="0" w:line="58" w:lineRule="exact"/>
        <w:rPr>
          <w:sz w:val="20"/>
          <w:szCs w:val="20"/>
          <w:color w:val="auto"/>
        </w:rPr>
      </w:pPr>
    </w:p>
    <w:p>
      <w:pPr>
        <w:ind w:left="600" w:right="619"/>
        <w:spacing w:after="0" w:line="303" w:lineRule="auto"/>
        <w:rPr>
          <w:sz w:val="20"/>
          <w:szCs w:val="20"/>
          <w:color w:val="auto"/>
        </w:rPr>
      </w:pPr>
      <w:r>
        <w:rPr>
          <w:rFonts w:ascii="Times New Roman" w:cs="Times New Roman" w:eastAsia="Times New Roman" w:hAnsi="Times New Roman"/>
          <w:sz w:val="16"/>
          <w:szCs w:val="16"/>
          <w:color w:val="auto"/>
        </w:rPr>
        <w:t>The indenture will provide that, subject to the duty of the trustee during an event of default to act with the required standard of care, the trustee will be under no obligation to exercise any of its rights or powers under the indenture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at the request or direction of any of the holders, unless the holders shall have offered to the trustee reasonable security or indemnity. Subject to certain provisions, including those requiring security or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7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We will be required to furnish to the trustee under the indenture annually a statement as to the performance by us of our obligations under that indenture and as to any default in our performance.</w:t>
      </w: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Modification of Indenture; Waiver</w:t>
      </w:r>
    </w:p>
    <w:p>
      <w:pPr>
        <w:spacing w:after="0" w:line="10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Subject to certain exceptions, the terms of the indenture or the debt securities may be amended or supplemented by us and the trustee with the written consent of the holders of at least a majority in principal amount of the outstanding debt securities of each series affected by the amendment with each series voting as a separate class. Without the consent of any holder of the debt securities, we and the trustee may amend the terms of the indenture or the debt securities to:</w:t>
      </w:r>
    </w:p>
    <w:p>
      <w:pPr>
        <w:spacing w:after="0" w:line="78" w:lineRule="exact"/>
        <w:rPr>
          <w:sz w:val="20"/>
          <w:szCs w:val="20"/>
          <w:color w:val="auto"/>
        </w:rPr>
      </w:pPr>
    </w:p>
    <w:p>
      <w:pPr>
        <w:ind w:left="1260" w:hanging="32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 any ambiguity, defect or inconsistency;</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the assumption of our obligations to holders of the debt securities by a successor corporation;</w:t>
      </w:r>
    </w:p>
    <w:p>
      <w:pPr>
        <w:spacing w:after="0" w:line="115" w:lineRule="exact"/>
        <w:rPr>
          <w:rFonts w:ascii="Times New Roman" w:cs="Times New Roman" w:eastAsia="Times New Roman" w:hAnsi="Times New Roman"/>
          <w:sz w:val="16"/>
          <w:szCs w:val="16"/>
          <w:color w:val="auto"/>
        </w:rPr>
      </w:pPr>
    </w:p>
    <w:p>
      <w:pPr>
        <w:ind w:left="1260" w:hanging="32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uncertificated debt securities in addition to certificated debt securities;</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that does not adversely affect the rights of any holder of the debt securities in any material respect;</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0"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to, change or eliminate any other provisions of the indenture in respect of one or more series of debt securities if the change would not (i) apply to any security of any series created prior to the execution of a supplemental indenture and entitled to the benefit of the provision, and (ii) modify the rights of the holder of any security or would become effective only when there is no outstanding security of any series created prior to the execution of the supplemental indenture and entitled to the benefits of the provisions proposed to be changed;</w:t>
      </w:r>
    </w:p>
    <w:p>
      <w:pPr>
        <w:spacing w:after="0" w:line="7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any additional series of debt securities; or</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any requirement of the SEC in connection with the qualification of the indenture under the Trust Indenture Act.</w:t>
      </w:r>
    </w:p>
    <w:p>
      <w:pPr>
        <w:spacing w:after="0" w:line="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However, holders of each series of debt securities affected by a modification must consent to modifications that:</w:t>
      </w:r>
    </w:p>
    <w:p>
      <w:pPr>
        <w:spacing w:after="0" w:line="104" w:lineRule="exact"/>
        <w:rPr>
          <w:sz w:val="20"/>
          <w:szCs w:val="20"/>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the debt securities;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or change the time for payment of interest;</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fixed maturity date;</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date on which any debt security may be subject to redemption or repurchase, or reduce the redemption or repurchase price;</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debt security payable in currency other than that stated in the debt security;</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any existing default or event of default and the resulting consequences;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modify the right of any holder to receive payment of principal or interest on any debt security;</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of any holder to institute suit for the enforcement of any payment due; or</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the foregoing amendment provisions which require each holder’s consent.</w:t>
      </w:r>
    </w:p>
    <w:p>
      <w:pPr>
        <w:spacing w:after="0" w:line="104"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Any existing default may be waived with the consent of the holders of at least a majority in principal amount of the then outstanding debt securities of the series affected. The consent of the holders of debt securities is not necessary to approve the particular form of any proposed amendment to any indenture. It is sufficient if any consent approves the substance of the proposed amendment.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0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Except as permitted in certain circumstances as discussed under “Consolidation, Merger or Sale,” the indenture will require us to do or cause to be done all things necessary to preserve and keep in full force and effect our existence, rights (declaration and statutory) and franchises; provided, however, that we shall not be required to preserve any right or franchise if we determine that the right or franchise is no longer desirable in the conduct of our business and that the loss of the right or franchise is not disadvantageous in any material respect to the holders of the debt securities.</w:t>
      </w:r>
    </w:p>
    <w:p>
      <w:pPr>
        <w:spacing w:after="0" w:line="7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The indenture will require us to pay or discharge or cause to be paid or discharged, before payment becomes delinquent, all taxes, assessments and governmental charges levied or imposed upon us, except any tax, assessment, charge or claim the amount or applicability of which is being contested in good faith.</w:t>
      </w:r>
    </w:p>
    <w:p>
      <w:pPr>
        <w:spacing w:after="0" w:line="69"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Reference is made to the indenture and any applicable prospectus supplement for information with respect to any additional covenants specific to a particular series of debt securities.</w:t>
      </w:r>
    </w:p>
    <w:p>
      <w:pPr>
        <w:spacing w:after="0" w:line="3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Discharge</w:t>
      </w:r>
    </w:p>
    <w:p>
      <w:pPr>
        <w:spacing w:after="0" w:line="10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Except as otherwise set forth in any applicable prospectus supplement, we may terminate our obligations under the debt securities of any series, and the corresponding obligations under the indenture when:</w:t>
      </w:r>
    </w:p>
    <w:p>
      <w:pPr>
        <w:spacing w:after="0" w:line="58" w:lineRule="exact"/>
        <w:rPr>
          <w:sz w:val="20"/>
          <w:szCs w:val="20"/>
          <w:color w:val="auto"/>
        </w:rPr>
      </w:pPr>
    </w:p>
    <w:p>
      <w:pPr>
        <w:jc w:val="both"/>
        <w:ind w:left="1260" w:right="619" w:hanging="322"/>
        <w:spacing w:after="0" w:line="258"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or deposited with the trustee funds or United States government obligations in an amount sufficient to pay at maturity all outstanding debt securities of the series, including interest other than destroyed, lost or stolen debt securities of the series which have not been replaced or paid;</w:t>
      </w:r>
    </w:p>
    <w:p>
      <w:pPr>
        <w:spacing w:after="0" w:line="69"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debt securities of the series have been delivered (other than destroyed, lost or stolen debt securities of the series which have not been replaced or paid) to the trustee for cancellation;</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debt securities of any series have become due and payable; or</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all other sums payable under the indenture.</w:t>
      </w:r>
    </w:p>
    <w:p>
      <w:pPr>
        <w:spacing w:after="0" w:line="104" w:lineRule="exact"/>
        <w:rPr>
          <w:sz w:val="20"/>
          <w:szCs w:val="20"/>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In addition, we will have the option to terminate substantially all our obligations under the debt securities of any series and the corresponding obligations under the indenture, and we may exercise that option if:</w:t>
      </w:r>
    </w:p>
    <w:p>
      <w:pPr>
        <w:spacing w:after="0" w:line="58" w:lineRule="exact"/>
        <w:rPr>
          <w:sz w:val="20"/>
          <w:szCs w:val="20"/>
          <w:color w:val="auto"/>
        </w:rPr>
      </w:pPr>
    </w:p>
    <w:p>
      <w:pPr>
        <w:jc w:val="both"/>
        <w:ind w:left="1260" w:right="619" w:hanging="322"/>
        <w:spacing w:after="0" w:line="258"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or deposited with the trustee, in trust an amount of cash or United States government obligations sufficient to pay all outstanding principal of and interest on the then outstanding debt securities of the series at maturity or upon their redemption, as the case may be;</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 will not result in a breach of, or constitute a default under, the indenture;</w:t>
      </w:r>
    </w:p>
    <w:p>
      <w:pPr>
        <w:spacing w:after="0" w:line="104" w:lineRule="exact"/>
        <w:rPr>
          <w:rFonts w:ascii="Times New Roman" w:cs="Times New Roman" w:eastAsia="Times New Roman" w:hAnsi="Times New Roman"/>
          <w:sz w:val="17"/>
          <w:szCs w:val="17"/>
          <w:color w:val="auto"/>
        </w:rPr>
      </w:pPr>
    </w:p>
    <w:p>
      <w:pPr>
        <w:jc w:val="both"/>
        <w:ind w:left="1260" w:right="619" w:hanging="322"/>
        <w:spacing w:after="0" w:line="254"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have occurred and continue on the date of deposit and no event of default as a result of a bankruptcy or event which with the giving of notice or the lapse of time would become a bankruptcy event of default shall have occurred and be continuing on the 91st day after that date;</w:t>
      </w:r>
    </w:p>
    <w:p>
      <w:pPr>
        <w:spacing w:after="0" w:line="72" w:lineRule="exact"/>
        <w:rPr>
          <w:rFonts w:ascii="Times New Roman" w:cs="Times New Roman" w:eastAsia="Times New Roman" w:hAnsi="Times New Roman"/>
          <w:sz w:val="17"/>
          <w:szCs w:val="17"/>
          <w:color w:val="auto"/>
        </w:rPr>
      </w:pPr>
    </w:p>
    <w:p>
      <w:pPr>
        <w:jc w:val="both"/>
        <w:ind w:left="1260" w:right="619" w:hanging="322"/>
        <w:spacing w:after="0" w:line="250" w:lineRule="auto"/>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 legal opinion that we have received from, or there has been published by, the United States Internal Revenue Service a ruling, or there has been a change in tax law, in either case to the effect that the holders of the debt securities of the series will not recognize income, gain or loss for Federal income tax purposes as a result of our exercise of our option and shall be subject to Federal income tax on the same amounts and in the same manner and at the same times as would have been the case if we did not exercise our option; or</w:t>
      </w:r>
    </w:p>
    <w:p>
      <w:pPr>
        <w:spacing w:after="0" w:line="7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other conditions are met.</w:t>
      </w:r>
    </w:p>
    <w:p>
      <w:pPr>
        <w:spacing w:after="0" w:line="104"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We will have the option to be released from our obligations with respect to the covenants to deliver reports required to be filed with the SEC and an annual compliance certificate, and to make timely payments of taxes (including covenants described in any applicable prospectus supplement), and any event of default occurring because of a default with respect to the covenants as they related to any series of debt securities, and we may exercise that option if:</w:t>
      </w:r>
    </w:p>
    <w:p>
      <w:pPr>
        <w:spacing w:after="0" w:line="78" w:lineRule="exact"/>
        <w:rPr>
          <w:sz w:val="20"/>
          <w:szCs w:val="20"/>
          <w:color w:val="auto"/>
        </w:rPr>
      </w:pPr>
    </w:p>
    <w:p>
      <w:pPr>
        <w:jc w:val="both"/>
        <w:ind w:left="1260" w:right="619" w:hanging="322"/>
        <w:spacing w:after="0" w:line="258" w:lineRule="auto"/>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deposit or cause to be deposited with the trustee in trust an amount of cash or United States government obligations sufficient to pay and discharge when due the entire unpaid principal of and interest on all outstanding debt securities of any series;</w:t>
      </w:r>
    </w:p>
    <w:p>
      <w:pPr>
        <w:spacing w:after="0" w:line="69"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 will not result in a breach of, or constitute a default under, the indenture;</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1" w:name="page32"/>
    <w:bookmarkEnd w:id="31"/>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both"/>
        <w:ind w:left="1260" w:right="619" w:hanging="322"/>
        <w:spacing w:after="0" w:line="254"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shall have occurred and be continuing on the date of deposit and no event of default as a result of a bankruptcy or event which with the giving of notice or the lapse of time would become a bankruptcy event of default shall have occurred and be continuing on the 91st day after that date;</w:t>
      </w:r>
    </w:p>
    <w:p>
      <w:pPr>
        <w:spacing w:after="0" w:line="72" w:lineRule="exact"/>
        <w:rPr>
          <w:rFonts w:ascii="Times New Roman" w:cs="Times New Roman" w:eastAsia="Times New Roman" w:hAnsi="Times New Roman"/>
          <w:sz w:val="17"/>
          <w:szCs w:val="17"/>
          <w:color w:val="auto"/>
        </w:rPr>
      </w:pPr>
    </w:p>
    <w:p>
      <w:pPr>
        <w:jc w:val="both"/>
        <w:ind w:left="1260" w:right="619" w:hanging="322"/>
        <w:spacing w:after="0" w:line="254" w:lineRule="auto"/>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 legal opinion that the holders of the debt securities of the series will not recognize income, gain or loss for Federal income tax purposes as a result of our exercise of our option and shall be subject to Federal income tax on the same amounts and in the same manner and at the same times as would have been the case if we did not exercise our option; and</w:t>
      </w:r>
    </w:p>
    <w:p>
      <w:pPr>
        <w:spacing w:after="0" w:line="72"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other conditions are met.</w:t>
      </w:r>
    </w:p>
    <w:p>
      <w:pPr>
        <w:spacing w:after="0" w:line="104"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Upon satisfaction of the applicable conditions, our obligations under the indenture with respect to the debt securities of the series, other than with respect to the covenants and events of default referred to above, shall remain in full force and effect.</w:t>
      </w:r>
    </w:p>
    <w:p>
      <w:pPr>
        <w:spacing w:after="0" w:line="69"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Notwithstanding the foregoing, no discharge or defeasance described above shall affect the following obligations to or rights of the holders of any series of debt securities:</w:t>
      </w:r>
    </w:p>
    <w:p>
      <w:pPr>
        <w:spacing w:after="0" w:line="58" w:lineRule="exact"/>
        <w:rPr>
          <w:sz w:val="20"/>
          <w:szCs w:val="20"/>
          <w:color w:val="auto"/>
        </w:rPr>
      </w:pPr>
    </w:p>
    <w:p>
      <w:pPr>
        <w:ind w:left="1260" w:hanging="322"/>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registration of transfer and exchange of debt securities of the series;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substitution of mutilated, defaced, destroyed, lost or stolen debt securities of the series;</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holders of debt securities of the series to receive payments of principal thereof and premium, if any, and interest thereon when due;</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obligations, duties and immunities of the trustee;</w:t>
      </w:r>
    </w:p>
    <w:p>
      <w:pPr>
        <w:spacing w:after="0" w:line="104" w:lineRule="exact"/>
        <w:rPr>
          <w:rFonts w:ascii="Times New Roman" w:cs="Times New Roman" w:eastAsia="Times New Roman" w:hAnsi="Times New Roman"/>
          <w:sz w:val="17"/>
          <w:szCs w:val="17"/>
          <w:color w:val="auto"/>
        </w:rPr>
      </w:pPr>
    </w:p>
    <w:p>
      <w:pPr>
        <w:ind w:left="1260" w:right="619" w:hanging="322"/>
        <w:spacing w:after="0" w:line="271"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of holders of debt securities of the series as beneficiaries with respect to property deposited with the trustee and payable to all or any of them; and</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obligations to maintain an office or agency in respect of the debt securities of the series.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Form, Exchange and Transfer</w:t>
      </w:r>
    </w:p>
    <w:p>
      <w:pPr>
        <w:spacing w:after="0" w:line="10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We expect payment of principal, premium, if any, and any interest on the debt securities to be payable, and the exchange and the transfer of debt securities will be registrable, at the office of the trustee or at any other office or agency we maintain for that purpose. We expect to issue debt securities in denominations of U.S. $1,000 or integral multiples of $1,000. No service charge will be made for any registration of transfer or exchange of the debt securities, but we may require a payment to cover any tax or other governmental charges payable in connection with an exchange or transfer.</w:t>
      </w:r>
    </w:p>
    <w:p>
      <w:pPr>
        <w:spacing w:after="0" w:line="7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A holder of debt securities may transfer or exchange those debt securities in accordance with the indenture. The registrar for the debt securities may require a holder, among other things, to furnish appropriate endorsements and transfer documents, and to pay any taxes and fees required by law or permitted by the indenture. The registrar is not required to transfer or exchange any debt security selected for redemption or any debt security for a period of 15 days before a selection of debt security to be redeemed. The registered holder of a debt security may be treated as the owner of the security for all purposes.</w:t>
      </w:r>
    </w:p>
    <w:p>
      <w:pPr>
        <w:spacing w:after="0" w:line="78"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We will name in any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Replacement Securities</w:t>
      </w:r>
    </w:p>
    <w:p>
      <w:pPr>
        <w:spacing w:after="0" w:line="108" w:lineRule="exact"/>
        <w:rPr>
          <w:sz w:val="20"/>
          <w:szCs w:val="20"/>
          <w:color w:val="auto"/>
        </w:rPr>
      </w:pPr>
    </w:p>
    <w:p>
      <w:pPr>
        <w:jc w:val="both"/>
        <w:ind w:left="600" w:right="619"/>
        <w:spacing w:after="0" w:line="248" w:lineRule="auto"/>
        <w:rPr>
          <w:sz w:val="20"/>
          <w:szCs w:val="20"/>
          <w:color w:val="auto"/>
        </w:rPr>
      </w:pPr>
      <w:r>
        <w:rPr>
          <w:rFonts w:ascii="Times New Roman" w:cs="Times New Roman" w:eastAsia="Times New Roman" w:hAnsi="Times New Roman"/>
          <w:sz w:val="17"/>
          <w:szCs w:val="17"/>
          <w:color w:val="auto"/>
        </w:rPr>
        <w:t>Any mutilated certificate representing a debt security or a certificate representing a debt security with a mutilated coupon will be replaced by us at the expense of the holder upon surrender of the certificate to the trustee. Certificates representing debt securities or coupons that become destroyed, stolen or lost will be replaced by us at the expense of the holder upon delivery to us and the trustee of evidence of any destruction, loss or theft satisfactory to us and the trustee, provided that neither we nor the trustee has been notified that the certificate or coupon has been acquired by a bona fide purchaser. In the case of any coupon which becomes destroyed, stolen or lost, the coupon will be replaced by issuance of a new certificate representing the debt security in exchange for the certificate representing the debt security to which the coupon appertains. In the case of a destroyed, lost or stolen certificate representing the debt security or coupon, an indemnity bond satisfactory to the trustee and us may be required at the expense of the holder of the debt security before a replacement certificate will be issued.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2" w:name="page33"/>
    <w:bookmarkEnd w:id="32"/>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Information Concerning the Trustee</w:t>
      </w:r>
    </w:p>
    <w:p>
      <w:pPr>
        <w:spacing w:after="0" w:line="10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We will identify in any applicable prospectus supplement relating to any series of debt securities the trustee with respect to the series. The indenture and the Trust Indenture Act contain certain limitations on the rights of the trustee, should it become our creditor, to obtain payment of claims in certain cases, or to realize on certain property received in respect of any the claim, as security or otherwise. The trustee and its affiliates may engage in, and will be permitted to continue to engage in, other transactions with us and our affiliates, but if the trustee acquires any conflicting interest, as defined in the Trust Indenture Act, it must eliminate the conflict or resign.</w:t>
      </w:r>
    </w:p>
    <w:p>
      <w:pPr>
        <w:spacing w:after="0" w:line="7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The holders of a majority in principal amount of the then outstanding debt securities of any series will have the right to direct the time, method and place of conducting any proceeding for exercising any remedy available to the trustee. The Trust Indenture Act and the indenture provide that in case an event of default occurs is continuing, the trustee will be required, in the exercise of its rights and powers, to use the degree of care and skill of a prudent man in the conduct of his own affairs. Subject to those provisions, the trustee will be under no obligation to exercise any of its rights or powers under the indenture at the request of any of the holders of the debt securities, unless they have offered to the trustee indemnity satisfactory to it.</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Global Debt Securities</w:t>
      </w:r>
    </w:p>
    <w:p>
      <w:pPr>
        <w:spacing w:after="0" w:line="10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Unless we indicate otherwise in any applicable prospectus supplement, the following provisions will apply to all debt securities.</w:t>
      </w:r>
    </w:p>
    <w:p>
      <w:pPr>
        <w:spacing w:after="0" w:line="58"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The debt securities of a series may be issued in whole or in part in the form of one or more global securities that will be deposited with a depositary that we will identify in any applicable prospectus supplement. Each global security will be deposited with the depositary and will bear a legend regarding any related restrictions or other matters as may be provided for pursuant to the applicable indenture.</w:t>
      </w:r>
    </w:p>
    <w:p>
      <w:pPr>
        <w:spacing w:after="0" w:line="72" w:lineRule="exact"/>
        <w:rPr>
          <w:sz w:val="20"/>
          <w:szCs w:val="20"/>
          <w:color w:val="auto"/>
        </w:rPr>
      </w:pPr>
    </w:p>
    <w:p>
      <w:pPr>
        <w:jc w:val="both"/>
        <w:ind w:left="600" w:right="619"/>
        <w:spacing w:after="0" w:line="303" w:lineRule="auto"/>
        <w:rPr>
          <w:sz w:val="20"/>
          <w:szCs w:val="20"/>
          <w:color w:val="auto"/>
        </w:rPr>
      </w:pPr>
      <w:r>
        <w:rPr>
          <w:rFonts w:ascii="Times New Roman" w:cs="Times New Roman" w:eastAsia="Times New Roman" w:hAnsi="Times New Roman"/>
          <w:sz w:val="16"/>
          <w:szCs w:val="16"/>
          <w:color w:val="auto"/>
        </w:rPr>
        <w:t>Unless any applicable prospectus supplement states otherwise, no global security may be transferred to, or registered or exchanged for, debt securities registered in the name of, any person or entity other than the depositary, unless:</w:t>
      </w:r>
    </w:p>
    <w:p>
      <w:pPr>
        <w:spacing w:after="0" w:line="35" w:lineRule="exact"/>
        <w:rPr>
          <w:sz w:val="20"/>
          <w:szCs w:val="20"/>
          <w:color w:val="auto"/>
        </w:rPr>
      </w:pPr>
    </w:p>
    <w:p>
      <w:pPr>
        <w:ind w:left="1260" w:right="619" w:hanging="322"/>
        <w:spacing w:after="0" w:line="271"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has notified us that it is unwilling or unable or is no longer qualified to continue as depositary;</w:t>
      </w:r>
    </w:p>
    <w:p>
      <w:pPr>
        <w:spacing w:after="0" w:line="58"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order the trustee that the global security shall be so transferable, registrable and exchangeable, and the transfers shall be registrable; or</w:t>
      </w:r>
    </w:p>
    <w:p>
      <w:pPr>
        <w:spacing w:after="0" w:line="58"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circumstances, if any, as may be described in any applicable prospectus supplement.</w:t>
      </w:r>
    </w:p>
    <w:p>
      <w:pPr>
        <w:spacing w:after="0" w:line="104"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All debt securities issued in exchange for a global security or any portion of a global security will be registered in those names as the depositary may direct. The specific terms of the depositary arrangement with respect to any portion of a series of debt securities to be represented by a global security will be described in any applicable prospectus supplement.</w:t>
      </w:r>
    </w:p>
    <w:p>
      <w:pPr>
        <w:spacing w:after="0" w:line="72"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Debt securities which are to be represented by a global security to be deposited with or on behalf of a depositary will be represented by a global security registered in the name of the depositary or its nominee. Upon the issuance of the global security, and the deposit of the global security with the depositary, the depositary will credit, on its book-entry registration and transfer system, the respective principal amounts of the debt securities represented by the global security to the accounts of institutions that have accounts with the depositary or its nominee, or the Participants. The accounts to be credited will be designated by the underwriters or agents of the debt securities or by us, if the debt securities are offered and sold directly by us.</w:t>
      </w:r>
    </w:p>
    <w:p>
      <w:pPr>
        <w:spacing w:after="0" w:line="80"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Ownership of beneficial interests in a global security will be limited to Participants or persons that may hold interests through Participants. Ownership of beneficial interests in a global security will be shown on, and the transfer of that ownership interest will be effected only through, records maintained by the depositary or its nominee for the global security or by Participants or persons that hold through Participants.</w:t>
      </w:r>
    </w:p>
    <w:p>
      <w:pPr>
        <w:spacing w:after="0" w:line="72"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The laws of some jurisdictions require that certain purchasers of securities take physical delivery of the securities in certificated form. Those laws may impair the ability to transfer beneficial interests in global securities.</w:t>
      </w:r>
    </w:p>
    <w:p>
      <w:pPr>
        <w:spacing w:after="0" w:line="58"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6"/>
          <w:szCs w:val="16"/>
          <w:color w:val="auto"/>
        </w:rPr>
        <w:t>So long as the depositary, or its nominee, is the registered owner of a global security, the depositary or the nominee, as the case may be, will be considered the sole owner or holder of the debt securities represented by the global security for all purposes under the indenture. Payment of principal of, and premium and interest, if any, on debt securities will be made to the depositary or its nominee as the registered owner or bearer as the case may be of the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9"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global security representing the debt securities. Each person owning a beneficial interest in a global security must rely on the procedures of the depositary and, if the person is not a Participant, on the procedures of the Participant through which the person owns its interest, to exercise any rights of a holder under the indenture. If we request any action of holders or if an owner of a beneficial interest in a global security desires to give any notice or take any action a holder is entitled to give or take under the indenture, the depositary will authorize the Participants to give the notice or take the action, and Participants would authorize beneficial owners owning through the Participants to give the notice or take the action or would otherwise act upon the instructions of beneficial owners owning through them.</w:t>
      </w:r>
    </w:p>
    <w:p>
      <w:pPr>
        <w:spacing w:after="0" w:line="77" w:lineRule="exact"/>
        <w:rPr>
          <w:sz w:val="20"/>
          <w:szCs w:val="20"/>
          <w:color w:val="auto"/>
        </w:rPr>
      </w:pPr>
    </w:p>
    <w:p>
      <w:pPr>
        <w:jc w:val="both"/>
        <w:ind w:left="600" w:right="619"/>
        <w:spacing w:after="0" w:line="282" w:lineRule="auto"/>
        <w:rPr>
          <w:sz w:val="20"/>
          <w:szCs w:val="20"/>
          <w:color w:val="auto"/>
        </w:rPr>
      </w:pPr>
      <w:r>
        <w:rPr>
          <w:rFonts w:ascii="Times New Roman" w:cs="Times New Roman" w:eastAsia="Times New Roman" w:hAnsi="Times New Roman"/>
          <w:sz w:val="16"/>
          <w:szCs w:val="16"/>
          <w:color w:val="auto"/>
        </w:rPr>
        <w:t>The rights of any holder of a debt security to receive payment of principal and premium of, if any, and interest, on or after the respective due dates expressed or provided for in the debt security, or to institute suit for the enforcement of any payment on or after the applicable date, shall not be impaired or affected without the consent of the holders.</w:t>
      </w:r>
    </w:p>
    <w:p>
      <w:pPr>
        <w:spacing w:after="0" w:line="51"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Neither we, the trustee, any paying agent nor the security registrar for a debt security will have any responsibility or liability for any aspect of the records relating to or payments made on account of beneficial ownership interests of the global security for the debt security or for maintaining, supervising or receiving any records relating to the beneficial ownership interests.</w:t>
      </w:r>
    </w:p>
    <w:p>
      <w:pPr>
        <w:spacing w:after="0" w:line="72"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We expect that the depositary or its nominee, upon receipt of any payment of principal, premium or interest, will credit immediately Participants’ accounts with payments in amounts proportionate to their respective beneficial interests in the principal amount of the global security as shown on the records of the depositary or its nominee. We also expect that payments by Participants to owners of beneficial interests in a global security held through the Participants will be governed by standing instructions and customary practices, as is now the case with securities held for the accounts of customers in bearer form or registered in “street name,” and will be the responsibility of the Participants.</w:t>
      </w:r>
    </w:p>
    <w:p>
      <w:pPr>
        <w:spacing w:after="0" w:line="80"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If the depositary for a global security representing debt securities of a particular series is at any time unwilling or unable to continue as depositary and we do not appoint a successor depositary within 90 days, we will issue debt securities of the series in definitive form in exchange for the global security. In addition, we may at any time and in our sole discretion determine not to have the debt securities of a particular series represented by one or more global securities and, in that event, will issue debt securities of the series in definitive form in exchange for all of the global securities representing debt securities of the series.</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Payment and Paying Agents</w:t>
      </w:r>
    </w:p>
    <w:p>
      <w:pPr>
        <w:spacing w:after="0" w:line="10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Unless we otherwise indicate in any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69"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We will pay principal of and any premium and interest on the debt securities of a particular series at the office of the paying agents designated by us, except that unless we otherwise indicate in any applicable prospectus supplement, we will make interest payments by check that we will mail to the holder or by wire transfer to certain holders. Unless we otherwise indicate in any applicable prospectus supplement, we will designate the corporate trust office of the trustee as our sole paying agent for payments with respect to debt securities of each series. We will name in any applicable prospectus supplement any other paying agents that we initially designate for the debt securities of a particular series. We will maintain a paying agent in each place of payment for the debt securities of a particular series.</w:t>
      </w:r>
    </w:p>
    <w:p>
      <w:pPr>
        <w:spacing w:after="0" w:line="77" w:lineRule="exact"/>
        <w:rPr>
          <w:sz w:val="20"/>
          <w:szCs w:val="20"/>
          <w:color w:val="auto"/>
        </w:rPr>
      </w:pPr>
    </w:p>
    <w:p>
      <w:pPr>
        <w:jc w:val="both"/>
        <w:ind w:left="600" w:right="619"/>
        <w:spacing w:after="0" w:line="254" w:lineRule="auto"/>
        <w:rPr>
          <w:sz w:val="20"/>
          <w:szCs w:val="20"/>
          <w:color w:val="auto"/>
        </w:rPr>
      </w:pPr>
      <w:r>
        <w:rPr>
          <w:rFonts w:ascii="Times New Roman" w:cs="Times New Roman" w:eastAsia="Times New Roman" w:hAnsi="Times New Roman"/>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3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08"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The indenture and the debt securities will be governed by and construed in accordance with the internal laws of the State of New York, except to the extent that the Trust Indenture Act is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4" w:name="page35"/>
    <w:bookmarkEnd w:id="34"/>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OTHER SECURITIES</w:t>
      </w:r>
    </w:p>
    <w:p>
      <w:pPr>
        <w:spacing w:after="0" w:line="108" w:lineRule="exact"/>
        <w:rPr>
          <w:sz w:val="20"/>
          <w:szCs w:val="20"/>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We will set forth in any applicable prospectus supplement a description of any warrants or units issued by us that may be offered and sold pursuant to this prospectus.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108" w:lineRule="exact"/>
        <w:rPr>
          <w:sz w:val="20"/>
          <w:szCs w:val="20"/>
          <w:color w:val="auto"/>
        </w:rPr>
      </w:pPr>
    </w:p>
    <w:p>
      <w:pPr>
        <w:jc w:val="both"/>
        <w:ind w:left="600" w:right="619"/>
        <w:spacing w:after="0" w:line="303" w:lineRule="auto"/>
        <w:rPr>
          <w:sz w:val="20"/>
          <w:szCs w:val="20"/>
          <w:color w:val="auto"/>
        </w:rPr>
      </w:pPr>
      <w:r>
        <w:rPr>
          <w:rFonts w:ascii="Times New Roman" w:cs="Times New Roman" w:eastAsia="Times New Roman" w:hAnsi="Times New Roman"/>
          <w:sz w:val="16"/>
          <w:szCs w:val="16"/>
          <w:color w:val="auto"/>
        </w:rPr>
        <w:t>Information about selling stockholders, where applicable, will be set forth in a prospectus supplement, in a post-effective amendment or in filings we make with the SEC under the Exchange Act that are incorporated by reference.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08" w:lineRule="exact"/>
        <w:rPr>
          <w:sz w:val="20"/>
          <w:szCs w:val="20"/>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We or any of the selling stockholders may sell the securities offered by this prospectus in any one or more of the following ways from time to time pursuant to:</w:t>
      </w:r>
    </w:p>
    <w:p>
      <w:pPr>
        <w:spacing w:after="0" w:line="58" w:lineRule="exact"/>
        <w:rPr>
          <w:sz w:val="20"/>
          <w:szCs w:val="20"/>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underwritten public offerings;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negotiated transactions;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these methods; or</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underwriters or dealers</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 and/or</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one or more purchasers.</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securities may be distributed from time to time in one or more transactions:</w:t>
      </w:r>
    </w:p>
    <w:p>
      <w:pPr>
        <w:spacing w:after="0" w:line="104" w:lineRule="exact"/>
        <w:rPr>
          <w:sz w:val="20"/>
          <w:szCs w:val="20"/>
          <w:color w:val="auto"/>
        </w:rPr>
      </w:pPr>
    </w:p>
    <w:p>
      <w:pPr>
        <w:ind w:left="1260" w:hanging="322"/>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fixed prices, which may be changed;</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04" w:lineRule="exact"/>
        <w:rPr>
          <w:rFonts w:ascii="Times New Roman" w:cs="Times New Roman" w:eastAsia="Times New Roman" w:hAnsi="Times New Roman"/>
          <w:sz w:val="17"/>
          <w:szCs w:val="17"/>
          <w:color w:val="auto"/>
        </w:rPr>
      </w:pPr>
    </w:p>
    <w:p>
      <w:pPr>
        <w:ind w:left="1260" w:hanging="322"/>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104" w:lineRule="exact"/>
        <w:rPr>
          <w:sz w:val="20"/>
          <w:szCs w:val="20"/>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We will identify the specific plan of distribution, including any underwriters, dealers, agents or direct purchasers and their compensation in any applicable prospectus supplement.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08" w:lineRule="exact"/>
        <w:rPr>
          <w:sz w:val="20"/>
          <w:szCs w:val="20"/>
          <w:color w:val="auto"/>
        </w:rPr>
      </w:pPr>
    </w:p>
    <w:p>
      <w:pPr>
        <w:jc w:val="both"/>
        <w:ind w:left="600" w:right="619"/>
        <w:spacing w:after="0" w:line="282" w:lineRule="auto"/>
        <w:rPr>
          <w:sz w:val="20"/>
          <w:szCs w:val="20"/>
          <w:color w:val="auto"/>
        </w:rPr>
      </w:pPr>
      <w:r>
        <w:rPr>
          <w:rFonts w:ascii="Times New Roman" w:cs="Times New Roman" w:eastAsia="Times New Roman" w:hAnsi="Times New Roman"/>
          <w:sz w:val="16"/>
          <w:szCs w:val="16"/>
          <w:color w:val="auto"/>
        </w:rPr>
        <w:t>K&amp;L Gates LLP, Irvine, California, will pass upon certain legal matters relating to the issuance and sale of the securities offered hereby on our behalf. Additional legal matters may be passed upon for us, the selling stockholders or any underwriters, dealers or agents, by counsel that we will name in the applicable prospectus supplement.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0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The consolidated financial statements of ACM Research, Inc. at December 31, 2023, and for the year then ended, appearing in ACM Research, Inc.’s Annual Report on Form 10-K for the year ended December 31, 2023, and the effectiveness of ACM Research, Inc.’s internal control over financial reporting as of December 31, 2023, have been audited by Ernst &amp; Young Hua Ming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80"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The consolidated financial statements of ACM Research, Inc. for the year ended December 31, 2022, appearing in ACM Research, Inc.’s Annual Report on Form 10-K for the year ended December 31, 2023, have been audited by Armanino LLP, ACM Research, Inc.’s prior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78" w:lineRule="exact"/>
        <w:rPr>
          <w:sz w:val="20"/>
          <w:szCs w:val="20"/>
          <w:color w:val="auto"/>
        </w:rPr>
      </w:pPr>
    </w:p>
    <w:p>
      <w:pPr>
        <w:jc w:val="both"/>
        <w:ind w:left="600" w:right="619"/>
        <w:spacing w:after="0" w:line="250" w:lineRule="auto"/>
        <w:rPr>
          <w:sz w:val="20"/>
          <w:szCs w:val="20"/>
          <w:color w:val="auto"/>
        </w:rPr>
      </w:pPr>
      <w:r>
        <w:rPr>
          <w:rFonts w:ascii="Times New Roman" w:cs="Times New Roman" w:eastAsia="Times New Roman" w:hAnsi="Times New Roman"/>
          <w:sz w:val="17"/>
          <w:szCs w:val="17"/>
          <w:color w:val="auto"/>
        </w:rPr>
        <w:t>The consolidated financial statements of ACM Research, Inc. for the year ended December 31, 2021, appearing in ACM Research, Inc.’s Annual Report on Form 10-K for the year ended December 31, 2023, have been audited by BDO China Shu Lun Pan Certified Public Accountants LLP, ACM Research, Inc.’s prior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3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08"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at www.sec.gov that contains reports, proxy and information statements and other information about issuers, such as us, who file electronically with the SEC.</w:t>
      </w:r>
    </w:p>
    <w:p>
      <w:pPr>
        <w:spacing w:after="0" w:line="69" w:lineRule="exact"/>
        <w:rPr>
          <w:sz w:val="20"/>
          <w:szCs w:val="20"/>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Our website address is www.acmrcsh.com. The information on our website, however, is not, and should not be deemed to be, a part of this prospectus or any prospectus supplement. We have included our website address as an inactive textual reference only. Through our website, we make available, free of charge, annual, quarterly and current reports, proxy statements, along with amendments thereto, and other information as soon as reasonably practicable after they are electronically filed with, or furnished to, the SEC.</w:t>
      </w:r>
    </w:p>
    <w:p>
      <w:pPr>
        <w:spacing w:after="0" w:line="7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124460</wp:posOffset>
            </wp:positionV>
            <wp:extent cx="647573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108" w:lineRule="exact"/>
        <w:rPr>
          <w:sz w:val="20"/>
          <w:szCs w:val="20"/>
          <w:color w:val="auto"/>
        </w:rPr>
      </w:pPr>
    </w:p>
    <w:p>
      <w:pPr>
        <w:jc w:val="both"/>
        <w:ind w:left="600" w:right="619"/>
        <w:spacing w:after="0" w:line="249"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80"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6"/>
          <w:szCs w:val="16"/>
          <w:color w:val="auto"/>
        </w:rPr>
        <w:t>We incorporate by reference our documents listed below and any future filings made by us with the SEC under Section 13(a), 13(c), 14 or 15(d) of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62" w:lineRule="exact"/>
        <w:rPr>
          <w:sz w:val="20"/>
          <w:szCs w:val="20"/>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incorporate by reference the documents set forth below that have previously been filed with the SEC:</w:t>
      </w:r>
    </w:p>
    <w:p>
      <w:pPr>
        <w:spacing w:after="0" w:line="58" w:lineRule="exact"/>
        <w:rPr>
          <w:sz w:val="20"/>
          <w:szCs w:val="20"/>
          <w:color w:val="auto"/>
        </w:rPr>
      </w:pPr>
    </w:p>
    <w:p>
      <w:pPr>
        <w:ind w:left="1260" w:right="619" w:hanging="322"/>
        <w:spacing w:after="0" w:line="271"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Annual Report on </w:t>
      </w:r>
      <w:hyperlink r:id="rId55">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2023, filed with the SEC on February 28, 2024;</w:t>
      </w:r>
    </w:p>
    <w:p>
      <w:pPr>
        <w:spacing w:after="0" w:line="58" w:lineRule="exact"/>
        <w:rPr>
          <w:rFonts w:ascii="Times New Roman" w:cs="Times New Roman" w:eastAsia="Times New Roman" w:hAnsi="Times New Roman"/>
          <w:sz w:val="17"/>
          <w:szCs w:val="17"/>
          <w:color w:val="auto"/>
        </w:rPr>
      </w:pPr>
    </w:p>
    <w:p>
      <w:pPr>
        <w:jc w:val="both"/>
        <w:ind w:left="1260" w:right="619" w:hanging="322"/>
        <w:spacing w:after="0" w:line="258"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for the year ended </w:t>
      </w:r>
      <w:hyperlink r:id="rId56">
        <w:r>
          <w:rPr>
            <w:rFonts w:ascii="Times New Roman" w:cs="Times New Roman" w:eastAsia="Times New Roman" w:hAnsi="Times New Roman"/>
            <w:sz w:val="17"/>
            <w:szCs w:val="17"/>
            <w:u w:val="single" w:color="auto"/>
            <w:color w:val="0000EE"/>
          </w:rPr>
          <w:t>December 31, 2022,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from our Definitive Proxy Statement on Schedule 14A, filed with the SEC on May 1, 2023, as amended on May 23, 2023;</w:t>
      </w:r>
    </w:p>
    <w:p>
      <w:pPr>
        <w:spacing w:after="0" w:line="69" w:lineRule="exact"/>
        <w:rPr>
          <w:rFonts w:ascii="Times New Roman" w:cs="Times New Roman" w:eastAsia="Times New Roman" w:hAnsi="Times New Roman"/>
          <w:sz w:val="17"/>
          <w:szCs w:val="17"/>
          <w:color w:val="auto"/>
        </w:rPr>
      </w:pPr>
    </w:p>
    <w:p>
      <w:pPr>
        <w:ind w:left="1260" w:right="639" w:hanging="322"/>
        <w:spacing w:after="0" w:line="271" w:lineRule="auto"/>
        <w:tabs>
          <w:tab w:leader="none" w:pos="1260" w:val="left"/>
        </w:tabs>
        <w:numPr>
          <w:ilvl w:val="0"/>
          <w:numId w:val="2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57">
        <w:r>
          <w:rPr>
            <w:rFonts w:ascii="Times New Roman" w:cs="Times New Roman" w:eastAsia="Times New Roman" w:hAnsi="Times New Roman"/>
            <w:sz w:val="17"/>
            <w:szCs w:val="17"/>
            <w:u w:val="single" w:color="auto"/>
            <w:color w:val="0000EE"/>
          </w:rPr>
          <w:t xml:space="preserve">January 5, 2024, </w:t>
        </w:r>
      </w:hyperlink>
      <w:hyperlink r:id="rId58">
        <w:r>
          <w:rPr>
            <w:rFonts w:ascii="Times New Roman" w:cs="Times New Roman" w:eastAsia="Times New Roman" w:hAnsi="Times New Roman"/>
            <w:sz w:val="17"/>
            <w:szCs w:val="17"/>
            <w:u w:val="single" w:color="auto"/>
            <w:color w:val="auto"/>
          </w:rPr>
          <w:t xml:space="preserve">January </w:t>
        </w:r>
        <w:r>
          <w:rPr>
            <w:rFonts w:ascii="Times New Roman" w:cs="Times New Roman" w:eastAsia="Times New Roman" w:hAnsi="Times New Roman"/>
            <w:sz w:val="17"/>
            <w:szCs w:val="17"/>
            <w:u w:val="single" w:color="auto"/>
            <w:color w:val="0000EE"/>
          </w:rPr>
          <w:t>25, 2024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and </w:t>
      </w:r>
      <w:hyperlink r:id="rId59">
        <w:r>
          <w:rPr>
            <w:rFonts w:ascii="Times New Roman" w:cs="Times New Roman" w:eastAsia="Times New Roman" w:hAnsi="Times New Roman"/>
            <w:sz w:val="17"/>
            <w:szCs w:val="17"/>
            <w:u w:val="single" w:color="auto"/>
            <w:color w:val="0000EE"/>
          </w:rPr>
          <w:t>February 2, 2024;</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p>
    <w:p>
      <w:pPr>
        <w:spacing w:after="0" w:line="58" w:lineRule="exact"/>
        <w:rPr>
          <w:rFonts w:ascii="Times New Roman" w:cs="Times New Roman" w:eastAsia="Times New Roman" w:hAnsi="Times New Roman"/>
          <w:sz w:val="17"/>
          <w:szCs w:val="17"/>
          <w:color w:val="0000EE"/>
        </w:rPr>
      </w:pPr>
    </w:p>
    <w:p>
      <w:pPr>
        <w:jc w:val="both"/>
        <w:ind w:left="1260" w:right="639" w:hanging="322"/>
        <w:spacing w:after="0" w:line="258" w:lineRule="auto"/>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Class A common stock contained in our Registration Statement on Form 8-A (File No. 001-38273) filed with SEC on </w:t>
      </w:r>
      <w:hyperlink r:id="rId30">
        <w:r>
          <w:rPr>
            <w:rFonts w:ascii="Times New Roman" w:cs="Times New Roman" w:eastAsia="Times New Roman" w:hAnsi="Times New Roman"/>
            <w:sz w:val="17"/>
            <w:szCs w:val="17"/>
            <w:u w:val="single" w:color="auto"/>
            <w:color w:val="0000EE"/>
          </w:rPr>
          <w:t>November 1, 2017,</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including any amendment or report filed for the purpose of updating such description.</w:t>
      </w:r>
    </w:p>
    <w:p>
      <w:pPr>
        <w:spacing w:after="0" w:line="69" w:lineRule="exact"/>
        <w:rPr>
          <w:rFonts w:ascii="Times New Roman" w:cs="Times New Roman" w:eastAsia="Times New Roman" w:hAnsi="Times New Roman"/>
          <w:sz w:val="17"/>
          <w:szCs w:val="17"/>
          <w:color w:val="auto"/>
        </w:rPr>
      </w:pPr>
    </w:p>
    <w:p>
      <w:pPr>
        <w:jc w:val="both"/>
        <w:ind w:left="600" w:right="619"/>
        <w:spacing w:after="0" w:line="251" w:lineRule="auto"/>
        <w:rPr>
          <w:sz w:val="20"/>
          <w:szCs w:val="20"/>
          <w:color w:val="auto"/>
        </w:rPr>
      </w:pPr>
      <w:r>
        <w:rPr>
          <w:rFonts w:ascii="Times New Roman" w:cs="Times New Roman" w:eastAsia="Times New Roman" w:hAnsi="Times New Roman"/>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8" w:lineRule="exact"/>
        <w:rPr>
          <w:rFonts w:ascii="Times New Roman" w:cs="Times New Roman" w:eastAsia="Times New Roman" w:hAnsi="Times New Roman"/>
          <w:sz w:val="17"/>
          <w:szCs w:val="17"/>
          <w:color w:val="auto"/>
        </w:rPr>
      </w:pPr>
    </w:p>
    <w:p>
      <w:pPr>
        <w:jc w:val="both"/>
        <w:ind w:left="600" w:right="619"/>
        <w:spacing w:after="0" w:line="271"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ACM Research, Inc.</w:t>
      </w:r>
    </w:p>
    <w:p>
      <w:pPr>
        <w:spacing w:after="0" w:line="21"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42307 Osgood Road, Suite I</w:t>
      </w:r>
    </w:p>
    <w:p>
      <w:pPr>
        <w:spacing w:after="0" w:line="4" w:lineRule="exact"/>
        <w:rPr>
          <w:rFonts w:ascii="Times New Roman" w:cs="Times New Roman" w:eastAsia="Times New Roman" w:hAnsi="Times New Roman"/>
          <w:sz w:val="17"/>
          <w:szCs w:val="17"/>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Fremont, California</w:t>
      </w:r>
    </w:p>
    <w:p>
      <w:pPr>
        <w:spacing w:after="0" w:line="4" w:lineRule="exact"/>
        <w:rPr>
          <w:rFonts w:ascii="Times New Roman" w:cs="Times New Roman" w:eastAsia="Times New Roman" w:hAnsi="Times New Roman"/>
          <w:sz w:val="17"/>
          <w:szCs w:val="17"/>
          <w:color w:val="auto"/>
        </w:rPr>
      </w:pPr>
    </w:p>
    <w:p>
      <w:pPr>
        <w:ind w:left="4360" w:hanging="397"/>
        <w:spacing w:after="0"/>
        <w:tabs>
          <w:tab w:leader="none" w:pos="43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445-3700</w:t>
      </w:r>
    </w:p>
    <w:p>
      <w:pPr>
        <w:spacing w:after="0" w:line="4" w:lineRule="exact"/>
        <w:rPr>
          <w:rFonts w:ascii="Times New Roman" w:cs="Times New Roman" w:eastAsia="Times New Roman" w:hAnsi="Times New Roman"/>
          <w:sz w:val="17"/>
          <w:szCs w:val="17"/>
          <w:color w:val="auto"/>
        </w:rPr>
      </w:pPr>
    </w:p>
    <w:p>
      <w:pPr>
        <w:ind w:left="3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Investor Relations</w:t>
      </w:r>
    </w:p>
    <w:p>
      <w:pPr>
        <w:spacing w:after="0" w:line="88" w:lineRule="exact"/>
        <w:rPr>
          <w:rFonts w:ascii="Times New Roman" w:cs="Times New Roman" w:eastAsia="Times New Roman" w:hAnsi="Times New Roman"/>
          <w:sz w:val="17"/>
          <w:szCs w:val="17"/>
          <w:color w:val="auto"/>
        </w:rPr>
      </w:pPr>
    </w:p>
    <w:p>
      <w:pPr>
        <w:ind w:left="600" w:right="619"/>
        <w:spacing w:after="0" w:line="271" w:lineRule="auto"/>
        <w:rPr>
          <w:sz w:val="20"/>
          <w:szCs w:val="20"/>
          <w:color w:val="auto"/>
        </w:rPr>
      </w:pPr>
      <w:r>
        <w:rPr>
          <w:rFonts w:ascii="Times New Roman" w:cs="Times New Roman" w:eastAsia="Times New Roman" w:hAnsi="Times New Roman"/>
          <w:sz w:val="17"/>
          <w:szCs w:val="17"/>
          <w:color w:val="auto"/>
        </w:rPr>
        <w:t>Exhibits to the filings will not be sent, unless those exhibits have been specifically incorporated by reference in this prospectus or any accompanying prospectus supplement.</w:t>
      </w:r>
    </w:p>
    <w:p>
      <w:pPr>
        <w:spacing w:after="0" w:line="158" w:lineRule="exact"/>
        <w:rPr>
          <w:rFonts w:ascii="Times New Roman" w:cs="Times New Roman" w:eastAsia="Times New Roman" w:hAnsi="Times New Roman"/>
          <w:sz w:val="17"/>
          <w:szCs w:val="17"/>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-377190</wp:posOffset>
            </wp:positionH>
            <wp:positionV relativeFrom="paragraph">
              <wp:posOffset>116205</wp:posOffset>
            </wp:positionV>
            <wp:extent cx="647573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47573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39" w:name="page40"/>
    <w:bookmarkEnd w:id="39"/>
    <w:p>
      <w:pPr>
        <w:ind w:left="70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93980</wp:posOffset>
            </wp:positionV>
            <wp:extent cx="482536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4825365" cy="1587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157480</wp:posOffset>
            </wp:positionV>
            <wp:extent cx="482536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4825365" cy="7620"/>
                    </a:xfrm>
                    <a:prstGeom prst="rect">
                      <a:avLst/>
                    </a:prstGeom>
                    <a:noFill/>
                  </pic:spPr>
                </pic:pic>
              </a:graphicData>
            </a:graphic>
          </wp:anchor>
        </w:drawing>
        <w:drawing>
          <wp:anchor simplePos="0" relativeHeight="251657728" behindDoc="1" locked="0" layoutInCell="0" allowOverlap="1">
            <wp:simplePos x="0" y="0"/>
            <wp:positionH relativeFrom="column">
              <wp:posOffset>2272665</wp:posOffset>
            </wp:positionH>
            <wp:positionV relativeFrom="paragraph">
              <wp:posOffset>1760220</wp:posOffset>
            </wp:positionV>
            <wp:extent cx="1174750" cy="7302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74750" cy="73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2,884,615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356235</wp:posOffset>
            </wp:positionV>
            <wp:extent cx="101600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0160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348615</wp:posOffset>
            </wp:positionV>
            <wp:extent cx="10160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0160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142240</wp:posOffset>
            </wp:positionV>
            <wp:extent cx="48253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4825365" cy="762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198120</wp:posOffset>
            </wp:positionV>
            <wp:extent cx="482536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4825365"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0" w:name="page41"/>
    <w:bookmarkEnd w:id="40"/>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2480"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42480" cy="31750"/>
                    </a:xfrm>
                    <a:prstGeom prst="rect">
                      <a:avLst/>
                    </a:prstGeom>
                    <a:noFill/>
                  </pic:spPr>
                </pic:pic>
              </a:graphicData>
            </a:graphic>
          </wp:anchor>
        </w:drawing>
        <w:t>Exhibit 107</w:t>
      </w:r>
    </w:p>
    <w:p>
      <w:pPr>
        <w:spacing w:after="0" w:line="1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(Form Type)</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ACM Research,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860" w:type="dxa"/>
            <w:vAlign w:val="bottom"/>
            <w:tcBorders>
              <w:top w:val="single" w:sz="8" w:color="auto"/>
              <w:left w:val="single" w:sz="8" w:color="auto"/>
              <w:right w:val="single" w:sz="8" w:color="auto"/>
            </w:tcBorders>
          </w:tcPr>
          <w:p>
            <w:pPr>
              <w:spacing w:after="0"/>
              <w:rPr>
                <w:sz w:val="18"/>
                <w:szCs w:val="18"/>
                <w:color w:val="auto"/>
              </w:rPr>
            </w:pPr>
          </w:p>
        </w:tc>
        <w:tc>
          <w:tcPr>
            <w:tcW w:w="14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1060" w:type="dxa"/>
            <w:vAlign w:val="bottom"/>
            <w:tcBorders>
              <w:top w:val="single" w:sz="8" w:color="auto"/>
              <w:right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20" w:type="dxa"/>
            <w:vAlign w:val="bottom"/>
            <w:tcBorders>
              <w:top w:val="single" w:sz="8" w:color="auto"/>
              <w:right w:val="single" w:sz="8" w:color="auto"/>
            </w:tcBorders>
          </w:tcPr>
          <w:p>
            <w:pPr>
              <w:spacing w:after="0"/>
              <w:rPr>
                <w:sz w:val="18"/>
                <w:szCs w:val="18"/>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Filing Fee</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Previously</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Paid In</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Connection</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Proposed</w:t>
            </w: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Unsold</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Maximum</w:t>
            </w: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6"/>
              </w:rPr>
              <w:t>Offering</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Initial</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to be</w:t>
            </w:r>
          </w:p>
        </w:tc>
      </w:tr>
      <w:tr>
        <w:trPr>
          <w:trHeight w:val="200"/>
        </w:trPr>
        <w:tc>
          <w:tcPr>
            <w:tcW w:w="860" w:type="dxa"/>
            <w:vAlign w:val="bottom"/>
            <w:tcBorders>
              <w:left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Security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40" w:type="dxa"/>
            <w:vAlign w:val="bottom"/>
            <w:tcBorders>
              <w:right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Price Per</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Aggregate</w:t>
            </w: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Registration</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Effective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Carried</w:t>
            </w:r>
          </w:p>
        </w:tc>
      </w:tr>
      <w:tr>
        <w:trPr>
          <w:trHeight w:val="245"/>
        </w:trPr>
        <w:tc>
          <w:tcPr>
            <w:tcW w:w="860" w:type="dxa"/>
            <w:vAlign w:val="bottom"/>
            <w:tcBorders>
              <w:left w:val="single" w:sz="8" w:color="auto"/>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Class Title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Rule</w:t>
            </w: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Registered</w:t>
            </w:r>
          </w:p>
        </w:tc>
        <w:tc>
          <w:tcPr>
            <w:tcW w:w="780" w:type="dxa"/>
            <w:vAlign w:val="bottom"/>
            <w:tcBorders>
              <w:bottom w:val="single" w:sz="8" w:color="auto"/>
              <w:right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Offering Price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Fee Rate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Forward</w:t>
            </w:r>
          </w:p>
        </w:tc>
      </w:tr>
      <w:tr>
        <w:trPr>
          <w:trHeight w:val="192"/>
        </w:trPr>
        <w:tc>
          <w:tcPr>
            <w:tcW w:w="86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ind w:left="520"/>
              <w:spacing w:after="0" w:line="193" w:lineRule="exact"/>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10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r>
      <w:tr>
        <w:trPr>
          <w:trHeight w:val="201"/>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Class A</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stock, par</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value</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$0.0001</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per share</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00"/>
        </w:trPr>
        <w:tc>
          <w:tcPr>
            <w:tcW w:w="8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140" w:type="dxa"/>
            <w:vAlign w:val="bottom"/>
            <w:tcBorders>
              <w:right w:val="single" w:sz="8" w:color="auto"/>
            </w:tcBorders>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11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r>
      <w:tr>
        <w:trPr>
          <w:trHeight w:val="235"/>
        </w:trPr>
        <w:tc>
          <w:tcPr>
            <w:tcW w:w="8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1</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Rule 457(r)</w:t>
            </w:r>
          </w:p>
        </w:tc>
        <w:tc>
          <w:tcPr>
            <w:tcW w:w="840" w:type="dxa"/>
            <w:vAlign w:val="bottom"/>
            <w:tcBorders>
              <w:bottom w:val="single" w:sz="8" w:color="auto"/>
              <w:right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2,884,615</w:t>
            </w:r>
          </w:p>
        </w:tc>
        <w:tc>
          <w:tcPr>
            <w:tcW w:w="780" w:type="dxa"/>
            <w:vAlign w:val="bottom"/>
            <w:tcBorders>
              <w:bottom w:val="single" w:sz="8" w:color="auto"/>
              <w:right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$52.00</w:t>
            </w: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$149,999,980.00</w:t>
            </w: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0.00013810</w:t>
            </w: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$20,715.00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07"/>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1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00"/>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8"/>
              </w:rPr>
              <w:t>Previously</w:t>
            </w:r>
          </w:p>
        </w:tc>
        <w:tc>
          <w:tcPr>
            <w:tcW w:w="14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16"/>
        </w:trPr>
        <w:tc>
          <w:tcPr>
            <w:tcW w:w="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140" w:type="dxa"/>
            <w:vAlign w:val="bottom"/>
            <w:tcBorders>
              <w:right w:val="single" w:sz="8" w:color="auto"/>
            </w:tcBorders>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right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36"/>
        </w:trPr>
        <w:tc>
          <w:tcPr>
            <w:tcW w:w="86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140" w:type="dxa"/>
            <w:vAlign w:val="bottom"/>
            <w:tcBorders>
              <w:bottom w:val="single" w:sz="8" w:color="auto"/>
              <w:right w:val="single" w:sz="8" w:color="CCEEFF"/>
            </w:tcBorders>
            <w:shd w:val="clear" w:color="auto" w:fill="CCEEFF"/>
          </w:tcPr>
          <w:p>
            <w:pPr>
              <w:spacing w:after="0"/>
              <w:rPr>
                <w:sz w:val="20"/>
                <w:szCs w:val="20"/>
                <w:color w:val="auto"/>
              </w:rPr>
            </w:pPr>
          </w:p>
        </w:tc>
        <w:tc>
          <w:tcPr>
            <w:tcW w:w="640" w:type="dxa"/>
            <w:vAlign w:val="bottom"/>
            <w:tcBorders>
              <w:bottom w:val="single" w:sz="8" w:color="auto"/>
              <w:right w:val="single" w:sz="8" w:color="CCEEFF"/>
            </w:tcBorders>
            <w:shd w:val="clear" w:color="auto" w:fill="CCEEFF"/>
          </w:tcPr>
          <w:p>
            <w:pPr>
              <w:spacing w:after="0"/>
              <w:rPr>
                <w:sz w:val="20"/>
                <w:szCs w:val="20"/>
                <w:color w:val="auto"/>
              </w:rPr>
            </w:pPr>
          </w:p>
        </w:tc>
        <w:tc>
          <w:tcPr>
            <w:tcW w:w="2520" w:type="dxa"/>
            <w:vAlign w:val="bottom"/>
            <w:tcBorders>
              <w:bottom w:val="single" w:sz="8" w:color="auto"/>
              <w:right w:val="single" w:sz="8" w:color="auto"/>
            </w:tcBorders>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780" w:type="dxa"/>
            <w:vAlign w:val="bottom"/>
            <w:tcBorders>
              <w:bottom w:val="single" w:sz="8" w:color="auto"/>
              <w:right w:val="single" w:sz="8" w:color="auto"/>
            </w:tcBorders>
            <w:shd w:val="clear" w:color="auto" w:fill="CCEEFF"/>
          </w:tcPr>
          <w:p>
            <w:pPr>
              <w:spacing w:after="0"/>
              <w:rPr>
                <w:sz w:val="20"/>
                <w:szCs w:val="20"/>
                <w:color w:val="auto"/>
              </w:rPr>
            </w:pPr>
          </w:p>
        </w:tc>
        <w:tc>
          <w:tcPr>
            <w:tcW w:w="11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$149,999,980.00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0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$20,715.00</w:t>
            </w: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20" w:type="dxa"/>
            <w:vAlign w:val="bottom"/>
            <w:tcBorders>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r>
      <w:tr>
        <w:trPr>
          <w:trHeight w:val="224"/>
        </w:trPr>
        <w:tc>
          <w:tcPr>
            <w:tcW w:w="860" w:type="dxa"/>
            <w:vAlign w:val="bottom"/>
            <w:tcBorders>
              <w:left w:val="single" w:sz="8" w:color="auto"/>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520" w:type="dxa"/>
            <w:vAlign w:val="bottom"/>
            <w:tcBorders>
              <w:right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78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r>
      <w:tr>
        <w:trPr>
          <w:trHeight w:val="25"/>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47"/>
        </w:trPr>
        <w:tc>
          <w:tcPr>
            <w:tcW w:w="86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40" w:type="dxa"/>
            <w:vAlign w:val="bottom"/>
            <w:tcBorders>
              <w:bottom w:val="single" w:sz="8" w:color="CCEEFF"/>
              <w:right w:val="single" w:sz="8" w:color="CCEEFF"/>
            </w:tcBorders>
            <w:shd w:val="clear" w:color="auto" w:fill="CCEEFF"/>
          </w:tcPr>
          <w:p>
            <w:pPr>
              <w:spacing w:after="0"/>
              <w:rPr>
                <w:sz w:val="21"/>
                <w:szCs w:val="21"/>
                <w:color w:val="auto"/>
              </w:rPr>
            </w:pPr>
          </w:p>
        </w:tc>
        <w:tc>
          <w:tcPr>
            <w:tcW w:w="800" w:type="dxa"/>
            <w:vAlign w:val="bottom"/>
            <w:tcBorders>
              <w:bottom w:val="single" w:sz="8" w:color="CCEEFF"/>
              <w:right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10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r>
      <w:tr>
        <w:trPr>
          <w:trHeight w:val="236"/>
        </w:trPr>
        <w:tc>
          <w:tcPr>
            <w:tcW w:w="86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right w:val="single" w:sz="8" w:color="auto"/>
            </w:tcBorders>
            <w:gridSpan w:val="2"/>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780" w:type="dxa"/>
            <w:vAlign w:val="bottom"/>
            <w:tcBorders>
              <w:top w:val="single" w:sz="8" w:color="auto"/>
              <w:bottom w:val="single" w:sz="8" w:color="auto"/>
              <w:right w:val="single" w:sz="8" w:color="auto"/>
            </w:tcBorders>
          </w:tcPr>
          <w:p>
            <w:pPr>
              <w:spacing w:after="0"/>
              <w:rPr>
                <w:sz w:val="20"/>
                <w:szCs w:val="20"/>
                <w:color w:val="auto"/>
              </w:rPr>
            </w:pPr>
          </w:p>
        </w:tc>
        <w:tc>
          <w:tcPr>
            <w:tcW w:w="1160" w:type="dxa"/>
            <w:vAlign w:val="bottom"/>
            <w:tcBorders>
              <w:top w:val="single" w:sz="8" w:color="auto"/>
              <w:bottom w:val="single" w:sz="8" w:color="auto"/>
              <w:right w:val="single" w:sz="8" w:color="auto"/>
            </w:tcBorders>
          </w:tcPr>
          <w:p>
            <w:pPr>
              <w:spacing w:after="0"/>
              <w:rPr>
                <w:sz w:val="20"/>
                <w:szCs w:val="20"/>
                <w:color w:val="auto"/>
              </w:rPr>
            </w:pPr>
          </w:p>
        </w:tc>
        <w:tc>
          <w:tcPr>
            <w:tcW w:w="840" w:type="dxa"/>
            <w:vAlign w:val="bottom"/>
            <w:tcBorders>
              <w:top w:val="single" w:sz="8" w:color="auto"/>
              <w:bottom w:val="single" w:sz="8" w:color="auto"/>
              <w:right w:val="single" w:sz="8" w:color="auto"/>
            </w:tcBorders>
          </w:tcPr>
          <w:p>
            <w:pPr>
              <w:spacing w:after="0"/>
              <w:rPr>
                <w:sz w:val="20"/>
                <w:szCs w:val="20"/>
                <w:color w:val="auto"/>
              </w:rPr>
            </w:pPr>
          </w:p>
        </w:tc>
        <w:tc>
          <w:tcPr>
            <w:tcW w:w="1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$20,715.00</w:t>
            </w:r>
          </w:p>
        </w:tc>
        <w:tc>
          <w:tcPr>
            <w:tcW w:w="840" w:type="dxa"/>
            <w:vAlign w:val="bottom"/>
            <w:tcBorders>
              <w:top w:val="single" w:sz="8" w:color="auto"/>
              <w:bottom w:val="single" w:sz="8" w:color="auto"/>
              <w:right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spacing w:after="0"/>
              <w:rPr>
                <w:sz w:val="20"/>
                <w:szCs w:val="20"/>
                <w:color w:val="auto"/>
              </w:rPr>
            </w:pPr>
          </w:p>
        </w:tc>
        <w:tc>
          <w:tcPr>
            <w:tcW w:w="820" w:type="dxa"/>
            <w:vAlign w:val="bottom"/>
            <w:tcBorders>
              <w:top w:val="single" w:sz="8" w:color="auto"/>
              <w:bottom w:val="single" w:sz="8" w:color="auto"/>
              <w:right w:val="single" w:sz="8" w:color="auto"/>
            </w:tcBorders>
          </w:tcPr>
          <w:p>
            <w:pPr>
              <w:spacing w:after="0"/>
              <w:rPr>
                <w:sz w:val="20"/>
                <w:szCs w:val="20"/>
                <w:color w:val="auto"/>
              </w:rPr>
            </w:pPr>
          </w:p>
        </w:tc>
        <w:tc>
          <w:tcPr>
            <w:tcW w:w="880" w:type="dxa"/>
            <w:vAlign w:val="bottom"/>
            <w:tcBorders>
              <w:top w:val="single" w:sz="8" w:color="auto"/>
              <w:bottom w:val="single" w:sz="8" w:color="auto"/>
              <w:right w:val="single" w:sz="8" w:color="auto"/>
            </w:tcBorders>
          </w:tcPr>
          <w:p>
            <w:pPr>
              <w:spacing w:after="0"/>
              <w:rPr>
                <w:sz w:val="20"/>
                <w:szCs w:val="20"/>
                <w:color w:val="auto"/>
              </w:rPr>
            </w:pPr>
          </w:p>
        </w:tc>
      </w:tr>
    </w:tbl>
    <w:p>
      <w:pPr>
        <w:spacing w:after="0" w:line="9" w:lineRule="exact"/>
        <w:rPr>
          <w:sz w:val="20"/>
          <w:szCs w:val="20"/>
          <w:color w:val="auto"/>
        </w:rPr>
      </w:pPr>
    </w:p>
    <w:p>
      <w:pPr>
        <w:ind w:left="200" w:right="420" w:hanging="185"/>
        <w:spacing w:after="0" w:line="258" w:lineRule="auto"/>
        <w:tabs>
          <w:tab w:leader="none" w:pos="2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fee is calculated in accordance with Rule 457(r) under the Securities Act of 1933, as amended (the “Securities Act”). This “Calculation of Filing Fee Table” shall be deemed to update the “Calculation of Filing Fee Table” in the registrant’s Registration Statement on Form S-3 (File No. 333-278041), in accordance with Rules 456(b) and 457(r)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14248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42480" cy="15875"/>
                    </a:xfrm>
                    <a:prstGeom prst="rect">
                      <a:avLst/>
                    </a:prstGeom>
                    <a:noFill/>
                  </pic:spPr>
                </pic:pic>
              </a:graphicData>
            </a:graphic>
          </wp:anchor>
        </w:drawing>
      </w:r>
    </w:p>
    <w:sectPr>
      <w:pgSz w:w="11900" w:h="16838" w:orient="portrait"/>
      <w:cols w:equalWidth="0" w:num="1">
        <w:col w:w="11340"/>
      </w:cols>
      <w:pgMar w:left="320" w:top="2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510"/>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510"/>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510"/>
    </w:lvl>
  </w:abstractNum>
  <w:abstractNum w:abstractNumId="30">
    <w:nsid w:val="7C3DBD3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jpe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26" Type="http://schemas.openxmlformats.org/officeDocument/2006/relationships/hyperlink" Target="https://www.sec.gov/ix?doc=/Archives/edgar/data/1680062/000162828026013231/acmr-20251231.htm" TargetMode="External"/><Relationship Id="rId27" Type="http://schemas.openxmlformats.org/officeDocument/2006/relationships/hyperlink" Target="https://www.sec.gov/ix?doc=/Archives/edgar/data/1680062/000162828026032842/acmr-20260331.htm" TargetMode="External"/><Relationship Id="rId28" Type="http://schemas.openxmlformats.org/officeDocument/2006/relationships/hyperlink" Target="https://www.sec.gov/ix?doc=/Archives/edgar/data/1680062/000114036126020717/ef20073127_8k.htm" TargetMode="External"/><Relationship Id="rId29" Type="http://schemas.openxmlformats.org/officeDocument/2006/relationships/hyperlink" Target="https://www.sec.gov/Archives/edgar/data/1680062/000162828026027358/acmr-2026proxystatements.htm" TargetMode="External"/><Relationship Id="rId30" Type="http://schemas.openxmlformats.org/officeDocument/2006/relationships/hyperlink" Target="https://www.sec.gov/Archives/edgar/data/1680062/000119312517328539/d485207d8a12b.htm" TargetMode="External"/><Relationship Id="rId55" Type="http://schemas.openxmlformats.org/officeDocument/2006/relationships/hyperlink" Target="https://www.sec.gov/ix?doc=/Archives/edgar/data/1680062/000168006224000008/acmr-20231231.htm" TargetMode="External"/><Relationship Id="rId56" Type="http://schemas.openxmlformats.org/officeDocument/2006/relationships/hyperlink" Target="https://www.sec.gov/ix?doc=/Archives/edgar/data/1680062/000114036123022028/edge20006928x2_def14a.htm" TargetMode="External"/><Relationship Id="rId57" Type="http://schemas.openxmlformats.org/officeDocument/2006/relationships/hyperlink" Target="https://www.sec.gov/ix?doc=/Archives/edgar/data/1680062/000114036124001052/ef20018215_8k.htm" TargetMode="External"/><Relationship Id="rId58" Type="http://schemas.openxmlformats.org/officeDocument/2006/relationships/hyperlink" Target="https://www.sec.gov/ix?doc=/Archives/edgar/data/1680062/000114036124003765/ef20019682_8k.htm" TargetMode="External"/><Relationship Id="rId59" Type="http://schemas.openxmlformats.org/officeDocument/2006/relationships/hyperlink" Target="https://www.sec.gov/ix?doc=/Archives/edgar/data/1680062/000114036124005323/ef20020525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2026-05-12T16:32:30Z</dcterms:created>
  <dcterms:modified xsi:type="dcterms:W3CDTF">2026-05-12T16:32:30Z</dcterms:modified>
</cp:coreProperties>
</file>