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4, 2019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ectPr>
          <w:pgSz w:w="11900" w:h="16838" w:orient="portrait"/>
          <w:cols w:equalWidth="0" w:num="1">
            <w:col w:w="11420"/>
          </w:cols>
          <w:pgMar w:left="240" w:top="535" w:right="239" w:bottom="1440" w:gutter="0" w:footer="0" w:header="0"/>
        </w:sectPr>
      </w:pPr>
    </w:p>
    <w:p>
      <w:pPr>
        <w:spacing w:after="0" w:line="21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50" w:lineRule="exact"/>
        <w:rPr>
          <w:sz w:val="24"/>
          <w:szCs w:val="24"/>
          <w:color w:val="auto"/>
        </w:rPr>
      </w:pPr>
    </w:p>
    <w:p>
      <w:pPr>
        <w:sectPr>
          <w:pgSz w:w="11900" w:h="16838" w:orient="portrait"/>
          <w:cols w:equalWidth="0" w:num="3">
            <w:col w:w="4600" w:space="720"/>
            <w:col w:w="3060" w:space="720"/>
            <w:col w:w="2320"/>
          </w:cols>
          <w:pgMar w:left="240" w:top="535" w:right="239" w:bottom="1440" w:gutter="0" w:footer="0" w:header="0"/>
          <w:type w:val="continuous"/>
        </w:sectPr>
      </w:pPr>
    </w:p>
    <w:p>
      <w:pPr>
        <w:ind w:left="24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3120"/>
          </w:cols>
          <w:pgMar w:left="240" w:top="535" w:right="239" w:bottom="1440" w:gutter="0" w:footer="0" w:header="0"/>
          <w:type w:val="continuous"/>
        </w:sectPr>
      </w:pPr>
    </w:p>
    <w:p>
      <w:pPr>
        <w:spacing w:after="0" w:line="5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520" w:space="720"/>
            <w:col w:w="3180"/>
          </w:cols>
          <w:pgMar w:left="240" w:top="53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(510) 445-3700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(Former Name or Former Address, If Changed Since Last Report)</w:t>
      </w:r>
    </w:p>
    <w:p>
      <w:pPr>
        <w:spacing w:after="0" w:line="215" w:lineRule="exact"/>
        <w:rPr>
          <w:sz w:val="24"/>
          <w:szCs w:val="24"/>
          <w:color w:val="auto"/>
        </w:rPr>
      </w:pPr>
    </w:p>
    <w:p>
      <w:pPr>
        <w:ind w:right="20"/>
        <w:spacing w:after="0" w:line="238"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00" w:type="dxa"/>
            <w:vAlign w:val="bottom"/>
            <w:gridSpan w:val="2"/>
          </w:tcPr>
          <w:p>
            <w:pPr>
              <w:ind w:left="1960"/>
              <w:spacing w:after="0"/>
              <w:rPr>
                <w:sz w:val="20"/>
                <w:szCs w:val="20"/>
                <w:color w:val="auto"/>
              </w:rPr>
            </w:pPr>
            <w:r>
              <w:rPr>
                <w:rFonts w:ascii="Arial" w:cs="Arial" w:eastAsia="Arial" w:hAnsi="Arial"/>
                <w:sz w:val="18"/>
                <w:szCs w:val="18"/>
                <w:b w:val="1"/>
                <w:bCs w:val="1"/>
                <w:color w:val="auto"/>
              </w:rPr>
              <w:t>Title of each class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 symbol</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24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20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7"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w:t>
      </w:r>
    </w:p>
    <w:p>
      <w:pPr>
        <w:spacing w:after="0" w:line="48" w:lineRule="exact"/>
        <w:rPr>
          <w:sz w:val="24"/>
          <w:szCs w:val="24"/>
          <w:color w:val="auto"/>
        </w:rPr>
      </w:pPr>
    </w:p>
    <w:p>
      <w:pPr>
        <w:spacing w:after="0" w:line="253" w:lineRule="exact"/>
        <w:tabs>
          <w:tab w:leader="none" w:pos="5240" w:val="left"/>
        </w:tabs>
        <w:rPr>
          <w:sz w:val="20"/>
          <w:szCs w:val="20"/>
          <w:color w:val="auto"/>
        </w:rPr>
      </w:pPr>
      <w:r>
        <w:rPr>
          <w:rFonts w:ascii="Arial" w:cs="Arial" w:eastAsia="Arial" w:hAnsi="Arial"/>
          <w:sz w:val="22"/>
          <w:szCs w:val="22"/>
          <w:color w:val="auto"/>
        </w:rPr>
        <w:t>or Rule 12b-2 of the Securities Exchange Act of 1934:</w:t>
      </w:r>
      <w:r>
        <w:rPr>
          <w:sz w:val="20"/>
          <w:szCs w:val="20"/>
          <w:color w:val="auto"/>
        </w:rPr>
        <w:tab/>
      </w: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23" w:lineRule="exact"/>
        <w:rPr>
          <w:sz w:val="24"/>
          <w:szCs w:val="24"/>
          <w:color w:val="auto"/>
        </w:rPr>
      </w:pPr>
    </w:p>
    <w:p>
      <w:pPr>
        <w:jc w:val="both"/>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ind w:left="980" w:right="2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On November 4, 2019, the board of directors appointed Mark McKechnie to serve as our Chief Financial Officer and Treasurer.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Lisa Feng will now serve as the Chief Financial Officer for our principal operating subsidiary, ACM Research (Shanghai), Inc.</w:t>
      </w:r>
    </w:p>
    <w:p>
      <w:pPr>
        <w:spacing w:after="0" w:line="250"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color w:val="auto"/>
        </w:rPr>
        <w:t>Mr. McKechnie has served as our Vice President of Finance since July 2018. From November 2014 to January 2018, he was Vice President of Investor Relations and Strategic Initiatives of Silver Spring Networks, Inc., a provider of “internet of things” connectivity platforms and solutions to utilities and cities. From July 2012 to November 2014, Mr. McKechnie served as Managing Director of Technology Equity Research of Evercore Partners, an independent investment banking advisory firm. Mr. McKechnie holds a bachelor’s degree from Purdue University and a master of business administration degree from The Kellogg School of Management at Northwestern University.</w:t>
      </w:r>
    </w:p>
    <w:p>
      <w:pPr>
        <w:spacing w:after="0" w:line="215" w:lineRule="exact"/>
        <w:rPr>
          <w:sz w:val="20"/>
          <w:szCs w:val="20"/>
          <w:color w:val="auto"/>
        </w:rPr>
      </w:pPr>
    </w:p>
    <w:p>
      <w:pPr>
        <w:jc w:val="both"/>
        <w:ind w:right="100" w:firstLine="324"/>
        <w:spacing w:after="0" w:line="287" w:lineRule="auto"/>
        <w:rPr>
          <w:sz w:val="20"/>
          <w:szCs w:val="20"/>
          <w:color w:val="auto"/>
        </w:rPr>
      </w:pPr>
      <w:r>
        <w:rPr>
          <w:rFonts w:ascii="Arial" w:cs="Arial" w:eastAsia="Arial" w:hAnsi="Arial"/>
          <w:sz w:val="19"/>
          <w:szCs w:val="19"/>
          <w:color w:val="auto"/>
        </w:rPr>
        <w:t>Lisa Feng has served as our Chief Accounting Officer, Interim Chief Financial Officer and Treasurer since January 2018, and previously served as our Financial Controller from October 2017 to January 2018. From August 2008 to September 2017, she was Corporate Controller of Amlogic, Inc., a fabless semiconductor manufacturing company. Ms. Feng holds a bachelor’s degree from Southern Connecticut State University and a master’s degree from Golden Gate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2019-11-28T10:39:09Z</dcterms:created>
  <dcterms:modified xsi:type="dcterms:W3CDTF">2019-11-28T10:39:09Z</dcterms:modified>
</cp:coreProperties>
</file>