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1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5328285</wp:posOffset>
            </wp:positionH>
            <wp:positionV relativeFrom="paragraph">
              <wp:posOffset>-609600</wp:posOffset>
            </wp:positionV>
            <wp:extent cx="8255" cy="6102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4017645</wp:posOffset>
            </wp:positionH>
            <wp:positionV relativeFrom="paragraph">
              <wp:posOffset>-617855</wp:posOffset>
            </wp:positionV>
            <wp:extent cx="8255" cy="6184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4042410</wp:posOffset>
            </wp:positionH>
            <wp:positionV relativeFrom="paragraph">
              <wp:posOffset>-593090</wp:posOffset>
            </wp:positionV>
            <wp:extent cx="1270000" cy="5689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568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-1597025</wp:posOffset>
            </wp:positionH>
            <wp:positionV relativeFrom="paragraph">
              <wp:posOffset>36830</wp:posOffset>
            </wp:positionV>
            <wp:extent cx="6967220" cy="17564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756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Cheav Sotheara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740"/>
        <w:spacing w:after="0" w:line="31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ACM RESEARCH, INC. 42307 OSGOOD ROAD, SUITE I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ACM Research,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ACMR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4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09/10/2020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00" w:firstLine="3"/>
        <w:spacing w:after="0" w:line="260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ind w:left="197"/>
        <w:spacing w:after="0"/>
        <w:tabs>
          <w:tab w:leader="none" w:pos="497" w:val="left"/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0000FF"/>
          <w:vertAlign w:val="subscript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5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See remarks</w:t>
      </w:r>
    </w:p>
    <w:p>
      <w:pPr>
        <w:spacing w:after="0" w:line="42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3" w:space="720"/>
            <w:col w:w="3337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jc w:val="center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FREMONT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94539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jc w:val="center"/>
              <w:ind w:left="59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09/10/2020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6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0.75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48,334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09/10/2020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(2)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60.75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43,334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09/14/2020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6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(3)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4,941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0.75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48,275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09/14/2020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(2)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4,941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66.7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43,334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7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2"/>
          </w:tcPr>
          <w:p>
            <w:pPr>
              <w:jc w:val="center"/>
              <w:ind w:left="3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0.75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3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09/10/2020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5,000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05/01/2021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4,941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4,941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0.75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3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09/14/2020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4,941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05/01/2021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-4154170</wp:posOffset>
            </wp:positionV>
            <wp:extent cx="7033260" cy="41967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4196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September 10, 2020, the reporting person exercised a previously issued stock option to purchase 5,000 shares of Class A Common Stock of the Issuer.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sales reported on this Form 4 were effected pursuant to a Rule 10b5-1 trading plan adopted by the reporting person.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September 14, 2020, the reporting person exercised a previously issued stock option to purchase 4,941 shares of Class A Common Stock of the Issuer.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is fully vested and exercisable.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Senior Vice President, Manufacturing of ACM Research (Shanghai), Inc., a subsidiary of the Issuer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Mark L. Johnson,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-1270</wp:posOffset>
            </wp:positionV>
            <wp:extent cx="13277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Sotheara Cheav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11576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76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09/14/2020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-1270</wp:posOffset>
            </wp:positionV>
            <wp:extent cx="4883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700" w:space="100"/>
            <w:col w:w="2280"/>
          </w:cols>
          <w:pgMar w:left="460" w:top="21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21279" TargetMode="External"/><Relationship Id="rId14" Type="http://schemas.openxmlformats.org/officeDocument/2006/relationships/hyperlink" Target="http://www.sec.gov/cgi-bin/browse-edgar?action=getcompany&amp;CIK=00016800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2020-09-14T19:32:05Z</dcterms:created>
  <dcterms:modified xsi:type="dcterms:W3CDTF">2020-09-14T19:32:05Z</dcterms:modified>
</cp:coreProperties>
</file>