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25"/>
          <w:szCs w:val="25"/>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3429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277495</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t>UNITED STATES SECURITIES AND EXCHANGE COMMISSION</w:t>
      </w:r>
    </w:p>
    <w:p>
      <w:pPr>
        <w:spacing w:after="0" w:line="29"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Washington, D.C. 20549</w:t>
      </w:r>
    </w:p>
    <w:p>
      <w:pPr>
        <w:spacing w:after="0" w:line="168"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FORM 8-K</w:t>
      </w:r>
    </w:p>
    <w:p>
      <w:pPr>
        <w:spacing w:after="0" w:line="235"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CURRENT REPORT</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Pursuant to Section 13 or 15(d) of the Securities Exchange Act of 1934</w:t>
      </w:r>
    </w:p>
    <w:p>
      <w:pPr>
        <w:spacing w:after="0" w:line="211"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Date of Report (Date of earliest event reported): December 15, 2020</w:t>
      </w:r>
    </w:p>
    <w:p>
      <w:pPr>
        <w:spacing w:after="0" w:line="196" w:lineRule="exact"/>
        <w:rPr>
          <w:sz w:val="24"/>
          <w:szCs w:val="24"/>
          <w:color w:val="auto"/>
        </w:rPr>
      </w:pPr>
    </w:p>
    <w:p>
      <w:pPr>
        <w:jc w:val="center"/>
        <w:ind w:right="-19"/>
        <w:spacing w:after="0"/>
        <w:rPr>
          <w:sz w:val="20"/>
          <w:szCs w:val="20"/>
          <w:color w:val="auto"/>
        </w:rPr>
      </w:pPr>
      <w:r>
        <w:rPr>
          <w:rFonts w:ascii="Arial" w:cs="Arial" w:eastAsia="Arial" w:hAnsi="Arial"/>
          <w:sz w:val="43"/>
          <w:szCs w:val="43"/>
          <w:b w:val="1"/>
          <w:bCs w:val="1"/>
          <w:color w:val="auto"/>
        </w:rPr>
        <w:t>ACM Research, Inc.</w:t>
      </w:r>
    </w:p>
    <w:p>
      <w:pPr>
        <w:spacing w:after="0" w:line="50" w:lineRule="exact"/>
        <w:rPr>
          <w:sz w:val="24"/>
          <w:szCs w:val="24"/>
          <w:color w:val="auto"/>
        </w:rPr>
      </w:pPr>
    </w:p>
    <w:p>
      <w:pPr>
        <w:jc w:val="center"/>
        <w:ind w:right="-19"/>
        <w:spacing w:after="0"/>
        <w:rPr>
          <w:sz w:val="20"/>
          <w:szCs w:val="20"/>
          <w:color w:val="auto"/>
        </w:rPr>
      </w:pPr>
      <w:r>
        <w:rPr>
          <w:rFonts w:ascii="Arial" w:cs="Arial" w:eastAsia="Arial" w:hAnsi="Arial"/>
          <w:sz w:val="18"/>
          <w:szCs w:val="18"/>
          <w:i w:val="1"/>
          <w:iCs w:val="1"/>
          <w:color w:val="auto"/>
        </w:rPr>
        <w:t>(Exact Name of Registrant as Specified in its Charter)</w:t>
      </w:r>
    </w:p>
    <w:p>
      <w:pPr>
        <w:sectPr>
          <w:pgSz w:w="11900" w:h="16838" w:orient="portrait"/>
          <w:cols w:equalWidth="0" w:num="1">
            <w:col w:w="11240"/>
          </w:cols>
          <w:pgMar w:left="320" w:top="535" w:right="339" w:bottom="1440" w:gutter="0" w:footer="0" w:header="0"/>
        </w:sectPr>
      </w:pPr>
    </w:p>
    <w:p>
      <w:pPr>
        <w:spacing w:after="0" w:line="205" w:lineRule="exact"/>
        <w:rPr>
          <w:sz w:val="24"/>
          <w:szCs w:val="24"/>
          <w:color w:val="auto"/>
        </w:rPr>
      </w:pPr>
    </w:p>
    <w:p>
      <w:pPr>
        <w:jc w:val="center"/>
        <w:ind w:right="180"/>
        <w:spacing w:after="0"/>
        <w:rPr>
          <w:sz w:val="20"/>
          <w:szCs w:val="20"/>
          <w:color w:val="auto"/>
        </w:rPr>
      </w:pPr>
      <w:r>
        <w:rPr>
          <w:rFonts w:ascii="Arial" w:cs="Arial" w:eastAsia="Arial" w:hAnsi="Arial"/>
          <w:sz w:val="18"/>
          <w:szCs w:val="18"/>
          <w:b w:val="1"/>
          <w:bCs w:val="1"/>
          <w:color w:val="auto"/>
        </w:rPr>
        <w:t>Delaware</w:t>
      </w:r>
    </w:p>
    <w:p>
      <w:pPr>
        <w:spacing w:after="0" w:line="27" w:lineRule="exact"/>
        <w:rPr>
          <w:sz w:val="24"/>
          <w:szCs w:val="24"/>
          <w:color w:val="auto"/>
        </w:rPr>
      </w:pPr>
    </w:p>
    <w:p>
      <w:pPr>
        <w:jc w:val="center"/>
        <w:ind w:right="180"/>
        <w:spacing w:after="0"/>
        <w:rPr>
          <w:sz w:val="20"/>
          <w:szCs w:val="20"/>
          <w:color w:val="auto"/>
        </w:rPr>
      </w:pPr>
      <w:r>
        <w:rPr>
          <w:rFonts w:ascii="Arial" w:cs="Arial" w:eastAsia="Arial" w:hAnsi="Arial"/>
          <w:sz w:val="16"/>
          <w:szCs w:val="16"/>
          <w:i w:val="1"/>
          <w:iCs w:val="1"/>
          <w:color w:val="auto"/>
        </w:rPr>
        <w:t>(State or Other Jurisdiction of Incorporation)</w:t>
      </w:r>
    </w:p>
    <w:p>
      <w:pPr>
        <w:spacing w:after="0" w:line="20" w:lineRule="exact"/>
        <w:rPr>
          <w:sz w:val="24"/>
          <w:szCs w:val="24"/>
          <w:color w:val="auto"/>
        </w:rPr>
      </w:pPr>
      <w:r>
        <w:rPr>
          <w:sz w:val="24"/>
          <w:szCs w:val="24"/>
          <w:color w:val="auto"/>
        </w:rPr>
        <w:br w:type="column"/>
      </w:r>
    </w:p>
    <w:p>
      <w:pPr>
        <w:spacing w:after="0" w:line="185" w:lineRule="exact"/>
        <w:rPr>
          <w:sz w:val="24"/>
          <w:szCs w:val="24"/>
          <w:color w:val="auto"/>
        </w:rPr>
      </w:pPr>
    </w:p>
    <w:p>
      <w:pPr>
        <w:jc w:val="center"/>
        <w:ind w:right="840"/>
        <w:spacing w:after="0"/>
        <w:rPr>
          <w:sz w:val="20"/>
          <w:szCs w:val="20"/>
          <w:color w:val="auto"/>
        </w:rPr>
      </w:pPr>
      <w:r>
        <w:rPr>
          <w:rFonts w:ascii="Arial" w:cs="Arial" w:eastAsia="Arial" w:hAnsi="Arial"/>
          <w:sz w:val="18"/>
          <w:szCs w:val="18"/>
          <w:b w:val="1"/>
          <w:bCs w:val="1"/>
          <w:color w:val="auto"/>
        </w:rPr>
        <w:t>001-38273</w:t>
      </w:r>
    </w:p>
    <w:p>
      <w:pPr>
        <w:spacing w:after="0" w:line="27" w:lineRule="exact"/>
        <w:rPr>
          <w:sz w:val="24"/>
          <w:szCs w:val="24"/>
          <w:color w:val="auto"/>
        </w:rPr>
      </w:pPr>
    </w:p>
    <w:p>
      <w:pPr>
        <w:jc w:val="center"/>
        <w:ind w:right="840"/>
        <w:spacing w:after="0"/>
        <w:rPr>
          <w:sz w:val="20"/>
          <w:szCs w:val="20"/>
          <w:color w:val="auto"/>
        </w:rPr>
      </w:pPr>
      <w:r>
        <w:rPr>
          <w:rFonts w:ascii="Arial" w:cs="Arial" w:eastAsia="Arial" w:hAnsi="Arial"/>
          <w:sz w:val="16"/>
          <w:szCs w:val="16"/>
          <w:i w:val="1"/>
          <w:iCs w:val="1"/>
          <w:color w:val="auto"/>
        </w:rPr>
        <w:t>(Commission File Number)</w:t>
      </w:r>
    </w:p>
    <w:p>
      <w:pPr>
        <w:spacing w:after="0" w:line="20" w:lineRule="exact"/>
        <w:rPr>
          <w:sz w:val="24"/>
          <w:szCs w:val="24"/>
          <w:color w:val="auto"/>
        </w:rPr>
      </w:pPr>
      <w:r>
        <w:rPr>
          <w:sz w:val="24"/>
          <w:szCs w:val="24"/>
          <w:color w:val="auto"/>
        </w:rPr>
        <w:br w:type="column"/>
      </w:r>
    </w:p>
    <w:p>
      <w:pPr>
        <w:spacing w:after="0" w:line="185" w:lineRule="exact"/>
        <w:rPr>
          <w:sz w:val="24"/>
          <w:szCs w:val="24"/>
          <w:color w:val="auto"/>
        </w:rPr>
      </w:pPr>
    </w:p>
    <w:p>
      <w:pPr>
        <w:jc w:val="center"/>
        <w:ind w:right="640"/>
        <w:spacing w:after="0"/>
        <w:rPr>
          <w:sz w:val="20"/>
          <w:szCs w:val="20"/>
          <w:color w:val="auto"/>
        </w:rPr>
      </w:pPr>
      <w:r>
        <w:rPr>
          <w:rFonts w:ascii="Arial" w:cs="Arial" w:eastAsia="Arial" w:hAnsi="Arial"/>
          <w:sz w:val="18"/>
          <w:szCs w:val="18"/>
          <w:b w:val="1"/>
          <w:bCs w:val="1"/>
          <w:color w:val="auto"/>
        </w:rPr>
        <w:t>94-3290283</w:t>
      </w:r>
    </w:p>
    <w:p>
      <w:pPr>
        <w:spacing w:after="0" w:line="27" w:lineRule="exact"/>
        <w:rPr>
          <w:sz w:val="24"/>
          <w:szCs w:val="24"/>
          <w:color w:val="auto"/>
        </w:rPr>
      </w:pPr>
    </w:p>
    <w:p>
      <w:pPr>
        <w:jc w:val="center"/>
        <w:ind w:right="640"/>
        <w:spacing w:after="0"/>
        <w:rPr>
          <w:sz w:val="20"/>
          <w:szCs w:val="20"/>
          <w:color w:val="auto"/>
        </w:rPr>
      </w:pPr>
      <w:r>
        <w:rPr>
          <w:rFonts w:ascii="Arial" w:cs="Arial" w:eastAsia="Arial" w:hAnsi="Arial"/>
          <w:sz w:val="16"/>
          <w:szCs w:val="16"/>
          <w:i w:val="1"/>
          <w:iCs w:val="1"/>
          <w:color w:val="auto"/>
        </w:rPr>
        <w:t>(IRS Employer Identification No.)</w:t>
      </w:r>
    </w:p>
    <w:p>
      <w:pPr>
        <w:spacing w:after="0" w:line="200" w:lineRule="exact"/>
        <w:rPr>
          <w:sz w:val="24"/>
          <w:szCs w:val="24"/>
          <w:color w:val="auto"/>
        </w:rPr>
      </w:pPr>
    </w:p>
    <w:p>
      <w:pPr>
        <w:sectPr>
          <w:pgSz w:w="11900" w:h="16838" w:orient="portrait"/>
          <w:cols w:equalWidth="0" w:num="3">
            <w:col w:w="3920" w:space="720"/>
            <w:col w:w="2820" w:space="720"/>
            <w:col w:w="3060"/>
          </w:cols>
          <w:pgMar w:left="320" w:top="535" w:right="339" w:bottom="1440" w:gutter="0" w:footer="0" w:header="0"/>
          <w:type w:val="continuous"/>
        </w:sectPr>
      </w:pPr>
    </w:p>
    <w:p>
      <w:pPr>
        <w:spacing w:after="0" w:line="30" w:lineRule="exact"/>
        <w:rPr>
          <w:sz w:val="24"/>
          <w:szCs w:val="24"/>
          <w:color w:val="auto"/>
        </w:rPr>
      </w:pPr>
    </w:p>
    <w:p>
      <w:pPr>
        <w:jc w:val="center"/>
        <w:ind w:right="1840"/>
        <w:spacing w:after="0"/>
        <w:rPr>
          <w:sz w:val="20"/>
          <w:szCs w:val="20"/>
          <w:color w:val="auto"/>
        </w:rPr>
      </w:pPr>
      <w:r>
        <w:rPr>
          <w:rFonts w:ascii="Arial" w:cs="Arial" w:eastAsia="Arial" w:hAnsi="Arial"/>
          <w:sz w:val="18"/>
          <w:szCs w:val="18"/>
          <w:b w:val="1"/>
          <w:bCs w:val="1"/>
          <w:color w:val="auto"/>
        </w:rPr>
        <w:t>42307 Osgood Road, Suite I</w:t>
      </w:r>
    </w:p>
    <w:p>
      <w:pPr>
        <w:spacing w:after="0" w:line="27" w:lineRule="exact"/>
        <w:rPr>
          <w:sz w:val="24"/>
          <w:szCs w:val="24"/>
          <w:color w:val="auto"/>
        </w:rPr>
      </w:pPr>
    </w:p>
    <w:p>
      <w:pPr>
        <w:jc w:val="center"/>
        <w:ind w:right="1840"/>
        <w:spacing w:after="0"/>
        <w:rPr>
          <w:sz w:val="20"/>
          <w:szCs w:val="20"/>
          <w:color w:val="auto"/>
        </w:rPr>
      </w:pPr>
      <w:r>
        <w:rPr>
          <w:rFonts w:ascii="Arial" w:cs="Arial" w:eastAsia="Arial" w:hAnsi="Arial"/>
          <w:sz w:val="18"/>
          <w:szCs w:val="18"/>
          <w:b w:val="1"/>
          <w:bCs w:val="1"/>
          <w:color w:val="auto"/>
        </w:rPr>
        <w:t>Fremont, California</w:t>
      </w:r>
    </w:p>
    <w:p>
      <w:pPr>
        <w:spacing w:after="0" w:line="9" w:lineRule="exact"/>
        <w:rPr>
          <w:sz w:val="24"/>
          <w:szCs w:val="24"/>
          <w:color w:val="auto"/>
        </w:rPr>
      </w:pPr>
    </w:p>
    <w:p>
      <w:pPr>
        <w:jc w:val="center"/>
        <w:ind w:right="1840"/>
        <w:spacing w:after="0"/>
        <w:rPr>
          <w:sz w:val="20"/>
          <w:szCs w:val="20"/>
          <w:color w:val="auto"/>
        </w:rPr>
      </w:pPr>
      <w:r>
        <w:rPr>
          <w:rFonts w:ascii="Arial" w:cs="Arial" w:eastAsia="Arial" w:hAnsi="Arial"/>
          <w:sz w:val="16"/>
          <w:szCs w:val="16"/>
          <w:i w:val="1"/>
          <w:iCs w:val="1"/>
          <w:color w:val="auto"/>
        </w:rPr>
        <w:t>(Address of Principal Executive Offices)</w:t>
      </w:r>
    </w:p>
    <w:p>
      <w:pPr>
        <w:spacing w:after="0" w:line="20" w:lineRule="exact"/>
        <w:rPr>
          <w:sz w:val="24"/>
          <w:szCs w:val="24"/>
          <w:color w:val="auto"/>
        </w:rPr>
      </w:pPr>
      <w:r>
        <w:rPr>
          <w:sz w:val="24"/>
          <w:szCs w:val="24"/>
          <w:color w:val="auto"/>
        </w:rPr>
        <w:br w:type="column"/>
      </w:r>
    </w:p>
    <w:p>
      <w:pPr>
        <w:spacing w:after="0" w:line="226" w:lineRule="exact"/>
        <w:rPr>
          <w:sz w:val="24"/>
          <w:szCs w:val="24"/>
          <w:color w:val="auto"/>
        </w:rPr>
      </w:pPr>
    </w:p>
    <w:p>
      <w:pPr>
        <w:jc w:val="center"/>
        <w:ind w:right="2360"/>
        <w:spacing w:after="0"/>
        <w:rPr>
          <w:sz w:val="20"/>
          <w:szCs w:val="20"/>
          <w:color w:val="auto"/>
        </w:rPr>
      </w:pPr>
      <w:r>
        <w:rPr>
          <w:rFonts w:ascii="Arial" w:cs="Arial" w:eastAsia="Arial" w:hAnsi="Arial"/>
          <w:sz w:val="18"/>
          <w:szCs w:val="18"/>
          <w:b w:val="1"/>
          <w:bCs w:val="1"/>
          <w:color w:val="auto"/>
        </w:rPr>
        <w:t>94539</w:t>
      </w:r>
    </w:p>
    <w:p>
      <w:pPr>
        <w:spacing w:after="0" w:line="27" w:lineRule="exact"/>
        <w:rPr>
          <w:sz w:val="24"/>
          <w:szCs w:val="24"/>
          <w:color w:val="auto"/>
        </w:rPr>
      </w:pPr>
    </w:p>
    <w:p>
      <w:pPr>
        <w:jc w:val="center"/>
        <w:ind w:right="2360"/>
        <w:spacing w:after="0"/>
        <w:rPr>
          <w:sz w:val="20"/>
          <w:szCs w:val="20"/>
          <w:color w:val="auto"/>
        </w:rPr>
      </w:pPr>
      <w:r>
        <w:rPr>
          <w:rFonts w:ascii="Arial" w:cs="Arial" w:eastAsia="Arial" w:hAnsi="Arial"/>
          <w:sz w:val="16"/>
          <w:szCs w:val="16"/>
          <w:i w:val="1"/>
          <w:iCs w:val="1"/>
          <w:color w:val="auto"/>
        </w:rPr>
        <w:t>(Zip Code)</w:t>
      </w:r>
    </w:p>
    <w:p>
      <w:pPr>
        <w:spacing w:after="0" w:line="200" w:lineRule="exact"/>
        <w:rPr>
          <w:sz w:val="24"/>
          <w:szCs w:val="24"/>
          <w:color w:val="auto"/>
        </w:rPr>
      </w:pPr>
    </w:p>
    <w:p>
      <w:pPr>
        <w:sectPr>
          <w:pgSz w:w="11900" w:h="16838" w:orient="portrait"/>
          <w:cols w:equalWidth="0" w:num="2">
            <w:col w:w="7380" w:space="720"/>
            <w:col w:w="3140"/>
          </w:cols>
          <w:pgMar w:left="320" w:top="535" w:right="339" w:bottom="1440" w:gutter="0" w:footer="0" w:header="0"/>
          <w:type w:val="continuous"/>
        </w:sectPr>
      </w:pPr>
    </w:p>
    <w:p>
      <w:pPr>
        <w:spacing w:after="0" w:line="30"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 xml:space="preserve">Registrant’s telephone number, including area code: </w:t>
      </w:r>
      <w:r>
        <w:rPr>
          <w:rFonts w:ascii="Arial" w:cs="Arial" w:eastAsia="Arial" w:hAnsi="Arial"/>
          <w:sz w:val="18"/>
          <w:szCs w:val="18"/>
          <w:b w:val="1"/>
          <w:bCs w:val="1"/>
          <w:color w:val="auto"/>
        </w:rPr>
        <w:t>(510) 445-3700</w:t>
      </w:r>
    </w:p>
    <w:p>
      <w:pPr>
        <w:spacing w:after="0" w:line="229" w:lineRule="exact"/>
        <w:rPr>
          <w:sz w:val="24"/>
          <w:szCs w:val="24"/>
          <w:color w:val="auto"/>
        </w:rPr>
      </w:pPr>
    </w:p>
    <w:p>
      <w:pPr>
        <w:spacing w:after="0" w:line="255"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2" w:lineRule="exact"/>
        <w:rPr>
          <w:sz w:val="24"/>
          <w:szCs w:val="24"/>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15"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9"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9"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09" w:lineRule="exact"/>
        <w:rPr>
          <w:sz w:val="24"/>
          <w:szCs w:val="24"/>
          <w:color w:val="auto"/>
        </w:rPr>
      </w:pPr>
    </w:p>
    <w:tbl>
      <w:tblPr>
        <w:tblLayout w:type="fixed"/>
        <w:tblInd w:w="0" w:type="dxa"/>
        <w:tblCellMar>
          <w:top w:w="0" w:type="dxa"/>
          <w:left w:w="0" w:type="dxa"/>
          <w:bottom w:w="0" w:type="dxa"/>
          <w:right w:w="0" w:type="dxa"/>
        </w:tblCellMar>
      </w:tblPr>
      <w:tr>
        <w:trPr>
          <w:trHeight w:val="230"/>
        </w:trPr>
        <w:tc>
          <w:tcPr>
            <w:tcW w:w="5640" w:type="dxa"/>
            <w:vAlign w:val="bottom"/>
            <w:gridSpan w:val="2"/>
          </w:tcPr>
          <w:p>
            <w:pPr>
              <w:spacing w:after="0"/>
              <w:rPr>
                <w:sz w:val="20"/>
                <w:szCs w:val="20"/>
                <w:color w:val="auto"/>
              </w:rPr>
            </w:pPr>
            <w:r>
              <w:rPr>
                <w:rFonts w:ascii="Arial" w:cs="Arial" w:eastAsia="Arial" w:hAnsi="Arial"/>
                <w:sz w:val="18"/>
                <w:szCs w:val="18"/>
                <w:color w:val="auto"/>
              </w:rPr>
              <w:t>Securities registered pursuant to Section 12(b) of the Act:</w:t>
            </w:r>
          </w:p>
        </w:tc>
        <w:tc>
          <w:tcPr>
            <w:tcW w:w="15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960" w:type="dxa"/>
            <w:vAlign w:val="bottom"/>
          </w:tcPr>
          <w:p>
            <w:pPr>
              <w:spacing w:after="0"/>
              <w:rPr>
                <w:sz w:val="20"/>
                <w:szCs w:val="20"/>
                <w:color w:val="auto"/>
              </w:rPr>
            </w:pPr>
          </w:p>
        </w:tc>
      </w:tr>
      <w:tr>
        <w:trPr>
          <w:trHeight w:val="452"/>
        </w:trPr>
        <w:tc>
          <w:tcPr>
            <w:tcW w:w="5640" w:type="dxa"/>
            <w:vAlign w:val="bottom"/>
            <w:gridSpan w:val="2"/>
          </w:tcPr>
          <w:p>
            <w:pPr>
              <w:ind w:left="2100"/>
              <w:spacing w:after="0"/>
              <w:rPr>
                <w:sz w:val="20"/>
                <w:szCs w:val="20"/>
                <w:color w:val="auto"/>
              </w:rPr>
            </w:pPr>
            <w:r>
              <w:rPr>
                <w:rFonts w:ascii="Arial" w:cs="Arial" w:eastAsia="Arial" w:hAnsi="Arial"/>
                <w:sz w:val="18"/>
                <w:szCs w:val="18"/>
                <w:b w:val="1"/>
                <w:bCs w:val="1"/>
                <w:color w:val="auto"/>
              </w:rPr>
              <w:t>Title of each class</w:t>
            </w:r>
          </w:p>
        </w:tc>
        <w:tc>
          <w:tcPr>
            <w:tcW w:w="164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89"/>
              </w:rPr>
              <w:t>Trading symbol</w:t>
            </w:r>
          </w:p>
        </w:tc>
        <w:tc>
          <w:tcPr>
            <w:tcW w:w="3960" w:type="dxa"/>
            <w:vAlign w:val="bottom"/>
          </w:tcPr>
          <w:p>
            <w:pPr>
              <w:jc w:val="center"/>
              <w:spacing w:after="0"/>
              <w:rPr>
                <w:sz w:val="20"/>
                <w:szCs w:val="20"/>
                <w:color w:val="auto"/>
              </w:rPr>
            </w:pPr>
            <w:r>
              <w:rPr>
                <w:rFonts w:ascii="Arial" w:cs="Arial" w:eastAsia="Arial" w:hAnsi="Arial"/>
                <w:sz w:val="18"/>
                <w:szCs w:val="18"/>
                <w:b w:val="1"/>
                <w:bCs w:val="1"/>
                <w:color w:val="auto"/>
                <w:w w:val="87"/>
              </w:rPr>
              <w:t>Name of each exchange on which registered</w:t>
            </w:r>
          </w:p>
        </w:tc>
      </w:tr>
      <w:tr>
        <w:trPr>
          <w:trHeight w:val="230"/>
        </w:trPr>
        <w:tc>
          <w:tcPr>
            <w:tcW w:w="552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Class A Common Stock, par value $0.0001 per share</w:t>
            </w:r>
          </w:p>
        </w:tc>
        <w:tc>
          <w:tcPr>
            <w:tcW w:w="120" w:type="dxa"/>
            <w:vAlign w:val="bottom"/>
          </w:tcPr>
          <w:p>
            <w:pPr>
              <w:spacing w:after="0"/>
              <w:rPr>
                <w:sz w:val="20"/>
                <w:szCs w:val="20"/>
                <w:color w:val="auto"/>
              </w:rPr>
            </w:pPr>
          </w:p>
        </w:tc>
        <w:tc>
          <w:tcPr>
            <w:tcW w:w="152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8"/>
              </w:rPr>
              <w:t>ACMR</w:t>
            </w:r>
          </w:p>
        </w:tc>
        <w:tc>
          <w:tcPr>
            <w:tcW w:w="120" w:type="dxa"/>
            <w:vAlign w:val="bottom"/>
          </w:tcPr>
          <w:p>
            <w:pPr>
              <w:spacing w:after="0"/>
              <w:rPr>
                <w:sz w:val="20"/>
                <w:szCs w:val="20"/>
                <w:color w:val="auto"/>
              </w:rPr>
            </w:pPr>
          </w:p>
        </w:tc>
        <w:tc>
          <w:tcPr>
            <w:tcW w:w="396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1"/>
              </w:rPr>
              <w:t>Nasdaq Global Market</w:t>
            </w:r>
          </w:p>
        </w:tc>
      </w:tr>
    </w:tbl>
    <w:p>
      <w:pPr>
        <w:spacing w:after="0" w:line="187" w:lineRule="exact"/>
        <w:rPr>
          <w:sz w:val="24"/>
          <w:szCs w:val="24"/>
          <w:color w:val="auto"/>
        </w:rPr>
      </w:pPr>
    </w:p>
    <w:p>
      <w:pPr>
        <w:ind w:right="280"/>
        <w:spacing w:after="0" w:line="233" w:lineRule="exact"/>
        <w:rPr>
          <w:sz w:val="20"/>
          <w:szCs w:val="20"/>
          <w:color w:val="auto"/>
        </w:rPr>
      </w:pPr>
      <w:r>
        <w:rPr>
          <w:rFonts w:ascii="Arial" w:cs="Arial" w:eastAsia="Arial" w:hAnsi="Arial"/>
          <w:sz w:val="18"/>
          <w:szCs w:val="18"/>
          <w:color w:val="auto"/>
        </w:rPr>
        <w:t xml:space="preserve">Indicate by check mark whether the registrant is an emerging growth company as defined in Rule 405 of the Securities Act of 1933 or Rule 12b-2 of the Securities Exchange Act of 1934: Emerging growth company </w:t>
      </w:r>
      <w:r>
        <w:rPr>
          <w:rFonts w:ascii="MS PGothic" w:cs="MS PGothic" w:eastAsia="MS PGothic" w:hAnsi="MS PGothic"/>
          <w:sz w:val="18"/>
          <w:szCs w:val="18"/>
          <w:color w:val="auto"/>
        </w:rPr>
        <w:t>☑</w:t>
      </w:r>
    </w:p>
    <w:p>
      <w:pPr>
        <w:spacing w:after="0" w:line="182" w:lineRule="exact"/>
        <w:rPr>
          <w:sz w:val="24"/>
          <w:szCs w:val="24"/>
          <w:color w:val="auto"/>
        </w:rPr>
      </w:pPr>
    </w:p>
    <w:p>
      <w:pPr>
        <w:ind w:right="160"/>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184785</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279400</wp:posOffset>
            </wp:positionV>
            <wp:extent cx="7132320" cy="342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342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424815</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35" w:right="339" w:bottom="1440" w:gutter="0" w:footer="0" w:header="0"/>
          <w:type w:val="continuous"/>
        </w:sectPr>
      </w:pPr>
    </w:p>
    <w:bookmarkStart w:id="1" w:name="page2"/>
    <w:bookmarkEnd w:id="1"/>
    <w:p>
      <w:pPr>
        <w:spacing w:after="0"/>
        <w:rPr>
          <w:sz w:val="20"/>
          <w:szCs w:val="20"/>
          <w:color w:val="auto"/>
        </w:rPr>
      </w:pPr>
      <w:r>
        <w:rPr>
          <w:rFonts w:ascii="Arial" w:cs="Arial" w:eastAsia="Arial" w:hAnsi="Arial"/>
          <w:sz w:val="17"/>
          <w:szCs w:val="17"/>
          <w:i w:val="1"/>
          <w:iCs w:val="1"/>
          <w:color w:val="auto"/>
        </w:rPr>
        <w:t>NOTE:</w:t>
      </w:r>
    </w:p>
    <w:p>
      <w:pPr>
        <w:spacing w:after="0" w:line="20" w:lineRule="exact"/>
        <w:rPr>
          <w:sz w:val="20"/>
          <w:szCs w:val="20"/>
          <w:color w:val="auto"/>
        </w:rPr>
      </w:pPr>
      <w:r>
        <w:rPr>
          <w:sz w:val="20"/>
          <w:szCs w:val="20"/>
          <w:color w:val="auto"/>
        </w:rPr>
        <w:br w:type="column"/>
      </w:r>
    </w:p>
    <w:p>
      <w:pPr>
        <w:jc w:val="both"/>
        <w:spacing w:after="0" w:line="263" w:lineRule="auto"/>
        <w:rPr>
          <w:sz w:val="20"/>
          <w:szCs w:val="20"/>
          <w:color w:val="auto"/>
        </w:rPr>
      </w:pPr>
      <w:r>
        <w:rPr>
          <w:rFonts w:ascii="Arial" w:cs="Arial" w:eastAsia="Arial" w:hAnsi="Arial"/>
          <w:sz w:val="18"/>
          <w:szCs w:val="18"/>
          <w:i w:val="1"/>
          <w:iCs w:val="1"/>
          <w:color w:val="auto"/>
        </w:rPr>
        <w:t>ACM Research, Inc., or ACM Research, conducts its business operations principally through its subsidiary ACM Research (Shanghai), Inc., or ACM Shanghai. Unless the context requires otherwise, references in this report to “our,” “us,” “we” and similar terms refer to ACM Research and its subsidiaries, including ACM Shanghai, collectively.</w:t>
      </w:r>
    </w:p>
    <w:p>
      <w:pPr>
        <w:spacing w:after="0" w:line="180" w:lineRule="exact"/>
        <w:rPr>
          <w:sz w:val="20"/>
          <w:szCs w:val="20"/>
          <w:color w:val="auto"/>
        </w:rPr>
      </w:pPr>
    </w:p>
    <w:p>
      <w:pPr>
        <w:sectPr>
          <w:pgSz w:w="11900" w:h="16838" w:orient="portrait"/>
          <w:cols w:equalWidth="0" w:num="2">
            <w:col w:w="520" w:space="300"/>
            <w:col w:w="10420"/>
          </w:cols>
          <w:pgMar w:left="320" w:top="125" w:right="339" w:bottom="1440" w:gutter="0" w:footer="0" w:header="0"/>
        </w:sectPr>
      </w:pPr>
    </w:p>
    <w:p>
      <w:pPr>
        <w:spacing w:after="0"/>
        <w:tabs>
          <w:tab w:leader="none" w:pos="960" w:val="left"/>
        </w:tabs>
        <w:rPr>
          <w:sz w:val="20"/>
          <w:szCs w:val="20"/>
          <w:color w:val="auto"/>
        </w:rPr>
      </w:pPr>
      <w:r>
        <w:rPr>
          <w:rFonts w:ascii="Arial" w:cs="Arial" w:eastAsia="Arial" w:hAnsi="Arial"/>
          <w:sz w:val="18"/>
          <w:szCs w:val="18"/>
          <w:b w:val="1"/>
          <w:bCs w:val="1"/>
          <w:color w:val="auto"/>
        </w:rPr>
        <w:t>Item 8.01.</w:t>
      </w:r>
      <w:r>
        <w:rPr>
          <w:sz w:val="20"/>
          <w:szCs w:val="20"/>
          <w:color w:val="auto"/>
        </w:rPr>
        <w:tab/>
      </w:r>
      <w:r>
        <w:rPr>
          <w:rFonts w:ascii="Arial" w:cs="Arial" w:eastAsia="Arial" w:hAnsi="Arial"/>
          <w:sz w:val="16"/>
          <w:szCs w:val="16"/>
          <w:b w:val="1"/>
          <w:bCs w:val="1"/>
          <w:color w:val="auto"/>
        </w:rPr>
        <w:t>Other Information.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STAR Listing and STAR IPO</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In June 2019 we announced our intention to complete:</w:t>
      </w:r>
    </w:p>
    <w:p>
      <w:pPr>
        <w:spacing w:after="0" w:line="23" w:lineRule="exact"/>
        <w:rPr>
          <w:sz w:val="20"/>
          <w:szCs w:val="20"/>
          <w:color w:val="auto"/>
        </w:rPr>
      </w:pPr>
    </w:p>
    <w:p>
      <w:pPr>
        <w:ind w:left="660" w:right="420" w:hanging="328"/>
        <w:spacing w:after="0" w:line="250" w:lineRule="auto"/>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a listing of shares of ACM Shanghai, which we refer to as the STAR Listing, on the Shanghai Stock Exchange’s Sci-Tech innovAtion boaRd, known as the STAR Market; and</w:t>
      </w:r>
    </w:p>
    <w:p>
      <w:pPr>
        <w:ind w:left="660" w:hanging="328"/>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a concurrent initial public offering, which we refer to as the STAR IPO, of ACM Shanghai shares in the People’s Republic of China.</w:t>
      </w:r>
    </w:p>
    <w:p>
      <w:pPr>
        <w:spacing w:after="0" w:line="211"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On December 15, 2020, we announced that the Shanghai Securities and Exchange Commission, or SSEC, had completed its review of the verification report that had been submitted in connection with the STAR Listing and STAR IPO, at the request of the SSEC, by the lead underwriter of the STAR IPO. The verification report verifies certain information and conclusions that resulted from our inspection of allegations regarding our business and operations that were contained in a report issued by J Capital Research USA Ltd. on October 8, 2020. In light of the SSEC having made the original Chinese-language verification report publicly available on its website, we are furnishing an English translation of the verification report as Exhibit 99.01 to this report.</w:t>
      </w:r>
    </w:p>
    <w:p>
      <w:pPr>
        <w:spacing w:after="0" w:line="161" w:lineRule="exact"/>
        <w:rPr>
          <w:sz w:val="20"/>
          <w:szCs w:val="20"/>
          <w:color w:val="auto"/>
        </w:rPr>
      </w:pPr>
    </w:p>
    <w:p>
      <w:pPr>
        <w:ind w:right="60"/>
        <w:spacing w:after="0" w:line="273" w:lineRule="auto"/>
        <w:rPr>
          <w:sz w:val="20"/>
          <w:szCs w:val="20"/>
          <w:color w:val="auto"/>
        </w:rPr>
      </w:pPr>
      <w:r>
        <w:rPr>
          <w:rFonts w:ascii="Arial" w:cs="Arial" w:eastAsia="Arial" w:hAnsi="Arial"/>
          <w:sz w:val="17"/>
          <w:szCs w:val="17"/>
          <w:color w:val="auto"/>
        </w:rPr>
        <w:t>Based on the timing of the regulatory review process of the STAR Listing and STAR IPO to date, we currently are targeting completion of the STAR IPO in the first quarter of 2021, pending a timely review and registration by the China Securities Regulatory Commission and subject to market conditions. ACM Shanghai may not be able to complete, either on the schedule we are targeting or otherwise, the STAR Listing and STAR IPO for a number of reasons, many of which are outside ACM Shanghai’s control and any of which could be exacerbated even further by the continuing COVID-19 pandemic in China and globally. Among other factors, ACM Shanghai must obtain approval of its registration by the China Securities Regulatory Commission which may be denied, or significantly delayed, for reasons outside of, or unknown to, ACM Shanghai.</w:t>
      </w:r>
    </w:p>
    <w:p>
      <w:pPr>
        <w:spacing w:after="0" w:line="178" w:lineRule="exact"/>
        <w:rPr>
          <w:sz w:val="20"/>
          <w:szCs w:val="20"/>
          <w:color w:val="auto"/>
        </w:rPr>
      </w:pPr>
    </w:p>
    <w:p>
      <w:pPr>
        <w:jc w:val="both"/>
        <w:spacing w:after="0" w:line="301" w:lineRule="auto"/>
        <w:rPr>
          <w:sz w:val="20"/>
          <w:szCs w:val="20"/>
          <w:color w:val="auto"/>
        </w:rPr>
      </w:pPr>
      <w:r>
        <w:rPr>
          <w:rFonts w:ascii="Arial" w:cs="Arial" w:eastAsia="Arial" w:hAnsi="Arial"/>
          <w:sz w:val="16"/>
          <w:szCs w:val="16"/>
          <w:i w:val="1"/>
          <w:iCs w:val="1"/>
          <w:color w:val="auto"/>
        </w:rPr>
        <w:t>The ACM Shanghai shares being offered in the STAR IPO have not been and will not be registered under the Securities Act of 1933, or the Securities Act, or any state securities laws and may not be offered or sold in the United States absent registration under the Securities Act or an applicable exemption from the registration requirements of the Securities Act and applicable state securities laws. This report is neither an offer to sell nor a solicitation of an offer to buy, nor shall there be any offer, solicitation or sale of these shares in any jurisdiction in which such offer, solicitation or sale would be unlawful.</w:t>
      </w:r>
    </w:p>
    <w:p>
      <w:pPr>
        <w:spacing w:after="0" w:line="157" w:lineRule="exact"/>
        <w:rPr>
          <w:sz w:val="20"/>
          <w:szCs w:val="20"/>
          <w:color w:val="auto"/>
        </w:rPr>
      </w:pPr>
    </w:p>
    <w:p>
      <w:pPr>
        <w:ind w:right="120"/>
        <w:spacing w:after="0" w:line="311" w:lineRule="auto"/>
        <w:rPr>
          <w:sz w:val="20"/>
          <w:szCs w:val="20"/>
          <w:color w:val="auto"/>
        </w:rPr>
      </w:pPr>
      <w:r>
        <w:rPr>
          <w:rFonts w:ascii="Arial" w:cs="Arial" w:eastAsia="Arial" w:hAnsi="Arial"/>
          <w:sz w:val="16"/>
          <w:szCs w:val="16"/>
          <w:color w:val="auto"/>
        </w:rPr>
        <w:t>The information contained herein, including the exhibit furnished hereto, is intended to be furnished and shall not be deemed “filed” for purposes of Section 18 of the Securities Exchange Act of 1934 or otherwise subject to the liabilities of that section, nor shall it be deemed incorporated by reference in any filing under the Securities Act or the Securities Exchange Act of 1934, except as expressly set forth by specific reference in such filing.</w:t>
      </w:r>
    </w:p>
    <w:p>
      <w:pPr>
        <w:spacing w:after="0" w:line="145"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9.01</w:t>
      </w:r>
      <w:r>
        <w:rPr>
          <w:sz w:val="20"/>
          <w:szCs w:val="20"/>
          <w:color w:val="auto"/>
        </w:rPr>
        <w:tab/>
      </w:r>
      <w:r>
        <w:rPr>
          <w:rFonts w:ascii="Arial" w:cs="Arial" w:eastAsia="Arial" w:hAnsi="Arial"/>
          <w:sz w:val="16"/>
          <w:szCs w:val="16"/>
          <w:b w:val="1"/>
          <w:bCs w:val="1"/>
          <w:color w:val="auto"/>
        </w:rPr>
        <w:t>Financial Statements and Exhibits.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 Exhibits.</w:t>
      </w:r>
    </w:p>
    <w:p>
      <w:pPr>
        <w:spacing w:after="0" w:line="225" w:lineRule="exact"/>
        <w:rPr>
          <w:sz w:val="20"/>
          <w:szCs w:val="20"/>
          <w:color w:val="auto"/>
        </w:rPr>
      </w:pPr>
    </w:p>
    <w:p>
      <w:pPr>
        <w:ind w:left="140"/>
        <w:spacing w:after="0"/>
        <w:tabs>
          <w:tab w:leader="none" w:pos="5700" w:val="left"/>
        </w:tabs>
        <w:rPr>
          <w:sz w:val="20"/>
          <w:szCs w:val="20"/>
          <w:color w:val="auto"/>
        </w:rPr>
      </w:pPr>
      <w:r>
        <w:rPr>
          <w:rFonts w:ascii="Arial" w:cs="Arial" w:eastAsia="Arial" w:hAnsi="Arial"/>
          <w:sz w:val="18"/>
          <w:szCs w:val="18"/>
          <w:b w:val="1"/>
          <w:bCs w:val="1"/>
          <w:color w:val="auto"/>
        </w:rPr>
        <w:t>Exhibit</w:t>
      </w:r>
      <w:r>
        <w:rPr>
          <w:sz w:val="20"/>
          <w:szCs w:val="20"/>
          <w:color w:val="auto"/>
        </w:rPr>
        <w:tab/>
      </w:r>
      <w:r>
        <w:rPr>
          <w:rFonts w:ascii="Arial" w:cs="Arial" w:eastAsia="Arial" w:hAnsi="Arial"/>
          <w:sz w:val="18"/>
          <w:szCs w:val="18"/>
          <w:b w:val="1"/>
          <w:bCs w:val="1"/>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36" w:lineRule="exact"/>
        <w:rPr>
          <w:sz w:val="20"/>
          <w:szCs w:val="20"/>
          <w:color w:val="auto"/>
        </w:rPr>
      </w:pPr>
    </w:p>
    <w:p>
      <w:pPr>
        <w:ind w:left="180"/>
        <w:spacing w:after="0"/>
        <w:tabs>
          <w:tab w:leader="none" w:pos="1060" w:val="left"/>
        </w:tabs>
        <w:rPr>
          <w:rFonts w:ascii="Arial" w:cs="Arial" w:eastAsia="Arial" w:hAnsi="Arial"/>
          <w:sz w:val="18"/>
          <w:szCs w:val="18"/>
          <w:color w:val="0000EE"/>
        </w:rPr>
      </w:pPr>
      <w:hyperlink w:anchor="page4">
        <w:r>
          <w:rPr>
            <w:rFonts w:ascii="Arial" w:cs="Arial" w:eastAsia="Arial" w:hAnsi="Arial"/>
            <w:sz w:val="18"/>
            <w:szCs w:val="18"/>
            <w:u w:val="single" w:color="auto"/>
            <w:color w:val="0000EE"/>
          </w:rPr>
          <w:t>99.01*</w:t>
        </w:r>
      </w:hyperlink>
      <w:r>
        <w:rPr>
          <w:rFonts w:ascii="Arial" w:cs="Arial" w:eastAsia="Arial" w:hAnsi="Arial"/>
          <w:sz w:val="18"/>
          <w:szCs w:val="18"/>
          <w:color w:val="0000EE"/>
        </w:rPr>
        <w:tab/>
      </w:r>
      <w:r>
        <w:rPr>
          <w:rFonts w:ascii="Arial" w:cs="Arial" w:eastAsia="Arial" w:hAnsi="Arial"/>
          <w:sz w:val="16"/>
          <w:szCs w:val="16"/>
          <w:color w:val="0000EE"/>
        </w:rPr>
        <w:t>Verification Report in Response to Media Challenges Concerning the Initial Public Offering and Listing of Shares on the STAR Market.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 Unofficial English translation of original document prepared in Mandarin Chinese.</w:t>
      </w:r>
    </w:p>
    <w:p>
      <w:pPr>
        <w:spacing w:after="0" w:line="39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2" w:name="page3"/>
    <w:bookmarkEnd w:id="2"/>
    <w:p>
      <w:pPr>
        <w:jc w:val="center"/>
        <w:ind w:right="-19"/>
        <w:spacing w:after="0"/>
        <w:rPr>
          <w:sz w:val="20"/>
          <w:szCs w:val="20"/>
          <w:color w:val="auto"/>
        </w:rPr>
      </w:pPr>
      <w:r>
        <w:rPr>
          <w:rFonts w:ascii="Arial" w:cs="Arial" w:eastAsia="Arial" w:hAnsi="Arial"/>
          <w:sz w:val="18"/>
          <w:szCs w:val="18"/>
          <w:b w:val="1"/>
          <w:bCs w:val="1"/>
          <w:color w:val="auto"/>
        </w:rPr>
        <w:t>SIGNATURE</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70"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ACM RESEARCH, INC.</w:t>
      </w:r>
    </w:p>
    <w:p>
      <w:pPr>
        <w:spacing w:after="0" w:line="225"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By: /s/ M</w:t>
      </w:r>
      <w:r>
        <w:rPr>
          <w:rFonts w:ascii="Arial" w:cs="Arial" w:eastAsia="Arial" w:hAnsi="Arial"/>
          <w:sz w:val="12"/>
          <w:szCs w:val="12"/>
          <w:color w:val="auto"/>
        </w:rPr>
        <w:t>ARK</w:t>
      </w:r>
      <w:r>
        <w:rPr>
          <w:rFonts w:ascii="Arial" w:cs="Arial" w:eastAsia="Arial" w:hAnsi="Arial"/>
          <w:sz w:val="18"/>
          <w:szCs w:val="18"/>
          <w:color w:val="auto"/>
        </w:rPr>
        <w:t xml:space="preserve"> M</w:t>
      </w:r>
      <w:r>
        <w:rPr>
          <w:rFonts w:ascii="Arial" w:cs="Arial" w:eastAsia="Arial" w:hAnsi="Arial"/>
          <w:sz w:val="12"/>
          <w:szCs w:val="12"/>
          <w:color w:val="auto"/>
        </w:rPr>
        <w:t>C</w:t>
      </w:r>
      <w:r>
        <w:rPr>
          <w:rFonts w:ascii="Arial" w:cs="Arial" w:eastAsia="Arial" w:hAnsi="Arial"/>
          <w:sz w:val="18"/>
          <w:szCs w:val="18"/>
          <w:color w:val="auto"/>
        </w:rPr>
        <w:t>K</w:t>
      </w:r>
      <w:r>
        <w:rPr>
          <w:rFonts w:ascii="Arial" w:cs="Arial" w:eastAsia="Arial" w:hAnsi="Arial"/>
          <w:sz w:val="12"/>
          <w:szCs w:val="12"/>
          <w:color w:val="auto"/>
        </w:rPr>
        <w:t>ECHNIE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3785235</wp:posOffset>
            </wp:positionH>
            <wp:positionV relativeFrom="paragraph">
              <wp:posOffset>23495</wp:posOffset>
            </wp:positionV>
            <wp:extent cx="335153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351530" cy="17145"/>
                    </a:xfrm>
                    <a:prstGeom prst="rect">
                      <a:avLst/>
                    </a:prstGeom>
                    <a:noFill/>
                  </pic:spPr>
                </pic:pic>
              </a:graphicData>
            </a:graphic>
          </wp:anchor>
        </w:drawing>
      </w:r>
    </w:p>
    <w:p>
      <w:pPr>
        <w:spacing w:after="0" w:line="30"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Mark McKechnie</w:t>
      </w:r>
    </w:p>
    <w:p>
      <w:pPr>
        <w:spacing w:after="0" w:line="23"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Chief Financial Officer and Treasurer</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Dated: December 15, 2020</w:t>
      </w:r>
    </w:p>
    <w:p>
      <w:pPr>
        <w:spacing w:after="0" w:line="200" w:lineRule="exact"/>
        <w:rPr>
          <w:sz w:val="20"/>
          <w:szCs w:val="20"/>
          <w:color w:val="auto"/>
        </w:rPr>
      </w:pPr>
    </w:p>
    <w:p>
      <w:pPr>
        <w:spacing w:after="0" w:line="237"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64135</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 w:name="page4"/>
    <w:bookmarkEnd w:id="3"/>
    <w:p>
      <w:pPr>
        <w:jc w:val="right"/>
        <w:spacing w:after="0"/>
        <w:rPr>
          <w:sz w:val="20"/>
          <w:szCs w:val="20"/>
          <w:color w:val="auto"/>
        </w:rPr>
      </w:pPr>
      <w:r>
        <w:rPr>
          <w:rFonts w:ascii="Arial" w:cs="Arial" w:eastAsia="Arial" w:hAnsi="Arial"/>
          <w:sz w:val="22"/>
          <w:szCs w:val="22"/>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342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34290"/>
                    </a:xfrm>
                    <a:prstGeom prst="rect">
                      <a:avLst/>
                    </a:prstGeom>
                    <a:noFill/>
                  </pic:spPr>
                </pic:pic>
              </a:graphicData>
            </a:graphic>
          </wp:anchor>
        </w:drawing>
        <w:t>Exhibit 99.01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2208530</wp:posOffset>
            </wp:positionH>
            <wp:positionV relativeFrom="paragraph">
              <wp:posOffset>165100</wp:posOffset>
            </wp:positionV>
            <wp:extent cx="1311275" cy="78867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311275" cy="7886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left="3280"/>
        <w:spacing w:after="0"/>
        <w:rPr>
          <w:sz w:val="20"/>
          <w:szCs w:val="20"/>
          <w:color w:val="auto"/>
        </w:rPr>
      </w:pPr>
      <w:r>
        <w:rPr>
          <w:rFonts w:ascii="Arial" w:cs="Arial" w:eastAsia="Arial" w:hAnsi="Arial"/>
          <w:sz w:val="18"/>
          <w:szCs w:val="18"/>
          <w:b w:val="1"/>
          <w:bCs w:val="1"/>
          <w:color w:val="auto"/>
        </w:rPr>
        <w:t>ACM Research (Shanghai), Inc.</w:t>
      </w:r>
    </w:p>
    <w:p>
      <w:pPr>
        <w:spacing w:after="0" w:line="200" w:lineRule="exact"/>
        <w:rPr>
          <w:sz w:val="20"/>
          <w:szCs w:val="20"/>
          <w:color w:val="auto"/>
        </w:rPr>
      </w:pPr>
    </w:p>
    <w:p>
      <w:pPr>
        <w:spacing w:after="0" w:line="299" w:lineRule="exact"/>
        <w:rPr>
          <w:sz w:val="20"/>
          <w:szCs w:val="20"/>
          <w:color w:val="auto"/>
        </w:rPr>
      </w:pPr>
    </w:p>
    <w:p>
      <w:pPr>
        <w:jc w:val="center"/>
        <w:ind w:right="1120"/>
        <w:spacing w:after="0"/>
        <w:rPr>
          <w:sz w:val="20"/>
          <w:szCs w:val="20"/>
          <w:color w:val="auto"/>
        </w:rPr>
      </w:pPr>
      <w:r>
        <w:rPr>
          <w:rFonts w:ascii="Arial" w:cs="Arial" w:eastAsia="Arial" w:hAnsi="Arial"/>
          <w:sz w:val="18"/>
          <w:szCs w:val="18"/>
          <w:color w:val="auto"/>
        </w:rPr>
        <w:t>(Building 4, No.1690 Cailun Road, China (Shanghai) Pilot Free Trade Zone)</w:t>
      </w:r>
    </w:p>
    <w:p>
      <w:pPr>
        <w:spacing w:after="0" w:line="248" w:lineRule="exact"/>
        <w:rPr>
          <w:sz w:val="20"/>
          <w:szCs w:val="20"/>
          <w:color w:val="auto"/>
        </w:rPr>
      </w:pPr>
    </w:p>
    <w:p>
      <w:pPr>
        <w:jc w:val="center"/>
        <w:ind w:right="1120"/>
        <w:spacing w:after="0"/>
        <w:rPr>
          <w:sz w:val="20"/>
          <w:szCs w:val="20"/>
          <w:color w:val="auto"/>
        </w:rPr>
      </w:pPr>
      <w:r>
        <w:rPr>
          <w:rFonts w:ascii="Arial" w:cs="Arial" w:eastAsia="Arial" w:hAnsi="Arial"/>
          <w:sz w:val="18"/>
          <w:szCs w:val="18"/>
          <w:b w:val="1"/>
          <w:bCs w:val="1"/>
          <w:color w:val="auto"/>
        </w:rPr>
        <w:t>Verification Report</w:t>
      </w:r>
    </w:p>
    <w:p>
      <w:pPr>
        <w:spacing w:after="0" w:line="27" w:lineRule="exact"/>
        <w:rPr>
          <w:sz w:val="20"/>
          <w:szCs w:val="20"/>
          <w:color w:val="auto"/>
        </w:rPr>
      </w:pPr>
    </w:p>
    <w:p>
      <w:pPr>
        <w:jc w:val="center"/>
        <w:ind w:right="1120"/>
        <w:spacing w:after="0"/>
        <w:rPr>
          <w:sz w:val="20"/>
          <w:szCs w:val="20"/>
          <w:color w:val="auto"/>
        </w:rPr>
      </w:pPr>
      <w:r>
        <w:rPr>
          <w:rFonts w:ascii="Arial" w:cs="Arial" w:eastAsia="Arial" w:hAnsi="Arial"/>
          <w:sz w:val="16"/>
          <w:szCs w:val="16"/>
          <w:b w:val="1"/>
          <w:bCs w:val="1"/>
          <w:color w:val="auto"/>
        </w:rPr>
        <w:t>in Response to Media Challenges Concerning the Initial Public Offering and Listing of Shares on the STAR Market</w:t>
      </w:r>
    </w:p>
    <w:p>
      <w:pPr>
        <w:spacing w:after="0" w:line="257" w:lineRule="exact"/>
        <w:rPr>
          <w:sz w:val="20"/>
          <w:szCs w:val="20"/>
          <w:color w:val="auto"/>
        </w:rPr>
      </w:pPr>
    </w:p>
    <w:p>
      <w:pPr>
        <w:ind w:left="3580"/>
        <w:spacing w:after="0"/>
        <w:rPr>
          <w:sz w:val="20"/>
          <w:szCs w:val="20"/>
          <w:color w:val="auto"/>
        </w:rPr>
      </w:pPr>
      <w:r>
        <w:rPr>
          <w:rFonts w:ascii="Arial" w:cs="Arial" w:eastAsia="Arial" w:hAnsi="Arial"/>
          <w:sz w:val="18"/>
          <w:szCs w:val="18"/>
          <w:b w:val="1"/>
          <w:bCs w:val="1"/>
          <w:color w:val="auto"/>
        </w:rPr>
        <w:t>Sponsor (Lead Underwriter)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1085215</wp:posOffset>
            </wp:positionH>
            <wp:positionV relativeFrom="paragraph">
              <wp:posOffset>17145</wp:posOffset>
            </wp:positionV>
            <wp:extent cx="3549015" cy="60833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549015" cy="6083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ind w:left="3140"/>
        <w:spacing w:after="0"/>
        <w:rPr>
          <w:sz w:val="20"/>
          <w:szCs w:val="20"/>
          <w:color w:val="auto"/>
        </w:rPr>
      </w:pPr>
      <w:r>
        <w:rPr>
          <w:rFonts w:ascii="Arial" w:cs="Arial" w:eastAsia="Arial" w:hAnsi="Arial"/>
          <w:sz w:val="18"/>
          <w:szCs w:val="18"/>
          <w:color w:val="auto"/>
        </w:rPr>
        <w:t>(No.689 Guangdong Road, Shanghai)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263525</wp:posOffset>
            </wp:positionV>
            <wp:extent cx="71323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20"/>
          </w:cols>
          <w:pgMar w:left="1440" w:top="274" w:right="339" w:bottom="1440" w:gutter="0" w:footer="0" w:header="0"/>
        </w:sectPr>
      </w:pPr>
    </w:p>
    <w:bookmarkStart w:id="4" w:name="page5"/>
    <w:bookmarkEnd w:id="4"/>
    <w:p>
      <w:pPr>
        <w:spacing w:after="0"/>
        <w:rPr>
          <w:sz w:val="20"/>
          <w:szCs w:val="20"/>
          <w:color w:val="auto"/>
        </w:rPr>
      </w:pPr>
      <w:r>
        <w:rPr>
          <w:rFonts w:ascii="Arial" w:cs="Arial" w:eastAsia="Arial" w:hAnsi="Arial"/>
          <w:sz w:val="18"/>
          <w:szCs w:val="18"/>
          <w:b w:val="1"/>
          <w:bCs w:val="1"/>
          <w:color w:val="auto"/>
        </w:rPr>
        <w:t>Shanghai Stock Exchange:</w:t>
      </w:r>
    </w:p>
    <w:p>
      <w:pPr>
        <w:spacing w:after="0" w:line="229"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Having noted the short-sell report released on October 8, 2020 by J Capital Research USA LLC (“JCAP”) against ACM Research, Inc. (“ACMR”) as the controlling shareholder of ACM Research (Shanghai), Inc. (“ACMSH,” the “Company” or the “Issuer”), the Issuer has conducted self-inspection on the relevant challenges one by one, which has been verified by Haitong Securities Co., Ltd. (the “Sponsor”) accordingly. The Verification Report is hereby issued as follows for your kind review.</w:t>
      </w:r>
    </w:p>
    <w:p>
      <w:pPr>
        <w:spacing w:after="0" w:line="187" w:lineRule="exact"/>
        <w:rPr>
          <w:sz w:val="20"/>
          <w:szCs w:val="20"/>
          <w:color w:val="auto"/>
        </w:rPr>
      </w:pPr>
    </w:p>
    <w:p>
      <w:pPr>
        <w:ind w:left="360"/>
        <w:spacing w:after="0"/>
        <w:rPr>
          <w:sz w:val="20"/>
          <w:szCs w:val="20"/>
          <w:color w:val="auto"/>
        </w:rPr>
      </w:pPr>
      <w:r>
        <w:rPr>
          <w:rFonts w:ascii="Arial" w:cs="Arial" w:eastAsia="Arial" w:hAnsi="Arial"/>
          <w:sz w:val="16"/>
          <w:szCs w:val="16"/>
          <w:color w:val="auto"/>
        </w:rPr>
        <w:t>Unless otherwise stated, the abbreviations or terms used herein have the same meanings as those in the Prospectus of ACM Research (Shanghai), Inc.</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for an Initial Public Offering and Listing of Shares on the STAR Market (2020 Semi-annual Report Update Version).</w:t>
      </w: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8-4-1-1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 w:name="page6"/>
    <w:bookmarkEnd w:id="5"/>
    <w:tbl>
      <w:tblPr>
        <w:tblLayout w:type="fixed"/>
        <w:tblInd w:w="0" w:type="dxa"/>
        <w:tblCellMar>
          <w:top w:w="0" w:type="dxa"/>
          <w:left w:w="0" w:type="dxa"/>
          <w:bottom w:w="0" w:type="dxa"/>
          <w:right w:w="0" w:type="dxa"/>
        </w:tblCellMar>
      </w:tblPr>
      <w:tr>
        <w:trPr>
          <w:trHeight w:val="234"/>
        </w:trPr>
        <w:tc>
          <w:tcPr>
            <w:tcW w:w="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700" w:type="dxa"/>
            <w:vAlign w:val="bottom"/>
          </w:tcPr>
          <w:p>
            <w:pPr>
              <w:ind w:left="4520"/>
              <w:spacing w:after="0"/>
              <w:rPr>
                <w:sz w:val="20"/>
                <w:szCs w:val="20"/>
                <w:color w:val="auto"/>
              </w:rPr>
            </w:pPr>
            <w:r>
              <w:rPr>
                <w:rFonts w:ascii="Arial" w:cs="Arial" w:eastAsia="Arial" w:hAnsi="Arial"/>
                <w:sz w:val="18"/>
                <w:szCs w:val="18"/>
                <w:b w:val="1"/>
                <w:bCs w:val="1"/>
                <w:color w:val="auto"/>
              </w:rPr>
              <w:t>Table of Contents</w:t>
            </w:r>
          </w:p>
        </w:tc>
        <w:tc>
          <w:tcPr>
            <w:tcW w:w="2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9120" w:type="dxa"/>
            <w:vAlign w:val="bottom"/>
            <w:gridSpan w:val="3"/>
          </w:tcPr>
          <w:p>
            <w:pPr>
              <w:spacing w:after="0"/>
              <w:rPr>
                <w:sz w:val="18"/>
                <w:szCs w:val="18"/>
                <w:color w:val="auto"/>
              </w:rPr>
            </w:pPr>
          </w:p>
        </w:tc>
        <w:tc>
          <w:tcPr>
            <w:tcW w:w="212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120" w:type="dxa"/>
            <w:vAlign w:val="bottom"/>
            <w:gridSpan w:val="3"/>
            <w:shd w:val="clear" w:color="auto" w:fill="CCEEFF"/>
          </w:tcPr>
          <w:p>
            <w:pPr>
              <w:spacing w:after="0"/>
              <w:rPr>
                <w:sz w:val="20"/>
                <w:szCs w:val="20"/>
                <w:color w:val="auto"/>
              </w:rPr>
            </w:pPr>
            <w:r>
              <w:rPr>
                <w:rFonts w:ascii="Arial" w:cs="Arial" w:eastAsia="Arial" w:hAnsi="Arial"/>
                <w:sz w:val="18"/>
                <w:szCs w:val="18"/>
                <w:b w:val="1"/>
                <w:bCs w:val="1"/>
                <w:color w:val="auto"/>
              </w:rPr>
              <w:t>Preface - Background Analysis</w:t>
            </w:r>
          </w:p>
        </w:tc>
        <w:tc>
          <w:tcPr>
            <w:tcW w:w="21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120" w:type="dxa"/>
            <w:vAlign w:val="bottom"/>
            <w:gridSpan w:val="3"/>
          </w:tcPr>
          <w:p>
            <w:pPr>
              <w:spacing w:after="0"/>
              <w:rPr>
                <w:sz w:val="18"/>
                <w:szCs w:val="18"/>
                <w:color w:val="auto"/>
              </w:rPr>
            </w:pPr>
          </w:p>
        </w:tc>
        <w:tc>
          <w:tcPr>
            <w:tcW w:w="212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120" w:type="dxa"/>
            <w:vAlign w:val="bottom"/>
            <w:gridSpan w:val="3"/>
            <w:shd w:val="clear" w:color="auto" w:fill="CCEEFF"/>
          </w:tcPr>
          <w:p>
            <w:pPr>
              <w:spacing w:after="0"/>
              <w:rPr>
                <w:sz w:val="20"/>
                <w:szCs w:val="20"/>
                <w:color w:val="auto"/>
              </w:rPr>
            </w:pPr>
            <w:r>
              <w:rPr>
                <w:rFonts w:ascii="Arial" w:cs="Arial" w:eastAsia="Arial" w:hAnsi="Arial"/>
                <w:sz w:val="18"/>
                <w:szCs w:val="18"/>
                <w:b w:val="1"/>
                <w:bCs w:val="1"/>
                <w:color w:val="auto"/>
              </w:rPr>
              <w:t>Part A - Core Challenges in the Short-sell Report and the Responses thereto</w:t>
            </w:r>
          </w:p>
        </w:tc>
        <w:tc>
          <w:tcPr>
            <w:tcW w:w="21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14</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0" w:type="dxa"/>
            <w:vAlign w:val="bottom"/>
          </w:tcPr>
          <w:p>
            <w:pPr>
              <w:ind w:left="180"/>
              <w:spacing w:after="0"/>
              <w:rPr>
                <w:sz w:val="20"/>
                <w:szCs w:val="20"/>
                <w:color w:val="auto"/>
              </w:rPr>
            </w:pPr>
            <w:r>
              <w:rPr>
                <w:rFonts w:ascii="Arial" w:cs="Arial" w:eastAsia="Arial" w:hAnsi="Arial"/>
                <w:sz w:val="18"/>
                <w:szCs w:val="18"/>
                <w:color w:val="auto"/>
                <w:w w:val="79"/>
              </w:rPr>
              <w:t>1.</w:t>
            </w:r>
          </w:p>
        </w:tc>
        <w:tc>
          <w:tcPr>
            <w:tcW w:w="8800" w:type="dxa"/>
            <w:vAlign w:val="bottom"/>
            <w:gridSpan w:val="2"/>
          </w:tcPr>
          <w:p>
            <w:pPr>
              <w:ind w:left="40"/>
              <w:spacing w:after="0"/>
              <w:rPr>
                <w:sz w:val="20"/>
                <w:szCs w:val="20"/>
                <w:color w:val="auto"/>
              </w:rPr>
            </w:pPr>
            <w:r>
              <w:rPr>
                <w:rFonts w:ascii="Arial" w:cs="Arial" w:eastAsia="Arial" w:hAnsi="Arial"/>
                <w:sz w:val="18"/>
                <w:szCs w:val="18"/>
                <w:color w:val="auto"/>
              </w:rPr>
              <w:t>Core Challenge 1: About Equipment Price</w:t>
            </w:r>
          </w:p>
        </w:tc>
        <w:tc>
          <w:tcPr>
            <w:tcW w:w="2120" w:type="dxa"/>
            <w:vAlign w:val="bottom"/>
          </w:tcPr>
          <w:p>
            <w:pPr>
              <w:jc w:val="right"/>
              <w:spacing w:after="0"/>
              <w:rPr>
                <w:sz w:val="20"/>
                <w:szCs w:val="20"/>
                <w:color w:val="auto"/>
              </w:rPr>
            </w:pPr>
            <w:r>
              <w:rPr>
                <w:rFonts w:ascii="Arial" w:cs="Arial" w:eastAsia="Arial" w:hAnsi="Arial"/>
                <w:sz w:val="18"/>
                <w:szCs w:val="18"/>
                <w:color w:val="auto"/>
              </w:rPr>
              <w:t>14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0" w:type="dxa"/>
            <w:vAlign w:val="bottom"/>
            <w:shd w:val="clear" w:color="auto" w:fill="CCEEFF"/>
          </w:tcPr>
          <w:p>
            <w:pPr>
              <w:ind w:left="180"/>
              <w:spacing w:after="0"/>
              <w:rPr>
                <w:sz w:val="20"/>
                <w:szCs w:val="20"/>
                <w:color w:val="auto"/>
              </w:rPr>
            </w:pPr>
            <w:r>
              <w:rPr>
                <w:rFonts w:ascii="Arial" w:cs="Arial" w:eastAsia="Arial" w:hAnsi="Arial"/>
                <w:sz w:val="18"/>
                <w:szCs w:val="18"/>
                <w:color w:val="auto"/>
                <w:w w:val="79"/>
              </w:rPr>
              <w:t>2.</w:t>
            </w:r>
          </w:p>
        </w:tc>
        <w:tc>
          <w:tcPr>
            <w:tcW w:w="880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Core Challenge 2: About Gross Profit Margin</w:t>
            </w:r>
          </w:p>
        </w:tc>
        <w:tc>
          <w:tcPr>
            <w:tcW w:w="2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0" w:type="dxa"/>
            <w:vAlign w:val="bottom"/>
          </w:tcPr>
          <w:p>
            <w:pPr>
              <w:ind w:left="180"/>
              <w:spacing w:after="0"/>
              <w:rPr>
                <w:sz w:val="20"/>
                <w:szCs w:val="20"/>
                <w:color w:val="auto"/>
              </w:rPr>
            </w:pPr>
            <w:r>
              <w:rPr>
                <w:rFonts w:ascii="Arial" w:cs="Arial" w:eastAsia="Arial" w:hAnsi="Arial"/>
                <w:sz w:val="18"/>
                <w:szCs w:val="18"/>
                <w:color w:val="auto"/>
                <w:w w:val="79"/>
              </w:rPr>
              <w:t>3.</w:t>
            </w:r>
          </w:p>
        </w:tc>
        <w:tc>
          <w:tcPr>
            <w:tcW w:w="8800" w:type="dxa"/>
            <w:vAlign w:val="bottom"/>
            <w:gridSpan w:val="2"/>
          </w:tcPr>
          <w:p>
            <w:pPr>
              <w:ind w:left="40"/>
              <w:spacing w:after="0"/>
              <w:rPr>
                <w:sz w:val="20"/>
                <w:szCs w:val="20"/>
                <w:color w:val="auto"/>
              </w:rPr>
            </w:pPr>
            <w:r>
              <w:rPr>
                <w:rFonts w:ascii="Arial" w:cs="Arial" w:eastAsia="Arial" w:hAnsi="Arial"/>
                <w:sz w:val="18"/>
                <w:szCs w:val="18"/>
                <w:color w:val="auto"/>
              </w:rPr>
              <w:t>Core Challenge 3: About Agent</w:t>
            </w:r>
          </w:p>
        </w:tc>
        <w:tc>
          <w:tcPr>
            <w:tcW w:w="2120" w:type="dxa"/>
            <w:vAlign w:val="bottom"/>
          </w:tcPr>
          <w:p>
            <w:pPr>
              <w:jc w:val="right"/>
              <w:spacing w:after="0"/>
              <w:rPr>
                <w:sz w:val="20"/>
                <w:szCs w:val="20"/>
                <w:color w:val="auto"/>
              </w:rPr>
            </w:pPr>
            <w:r>
              <w:rPr>
                <w:rFonts w:ascii="Arial" w:cs="Arial" w:eastAsia="Arial" w:hAnsi="Arial"/>
                <w:sz w:val="18"/>
                <w:szCs w:val="18"/>
                <w:color w:val="auto"/>
              </w:rPr>
              <w:t>21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0" w:type="dxa"/>
            <w:vAlign w:val="bottom"/>
            <w:shd w:val="clear" w:color="auto" w:fill="CCEEFF"/>
          </w:tcPr>
          <w:p>
            <w:pPr>
              <w:ind w:left="180"/>
              <w:spacing w:after="0"/>
              <w:rPr>
                <w:sz w:val="20"/>
                <w:szCs w:val="20"/>
                <w:color w:val="auto"/>
              </w:rPr>
            </w:pPr>
            <w:r>
              <w:rPr>
                <w:rFonts w:ascii="Arial" w:cs="Arial" w:eastAsia="Arial" w:hAnsi="Arial"/>
                <w:sz w:val="18"/>
                <w:szCs w:val="18"/>
                <w:color w:val="auto"/>
                <w:w w:val="79"/>
              </w:rPr>
              <w:t>4.</w:t>
            </w:r>
          </w:p>
        </w:tc>
        <w:tc>
          <w:tcPr>
            <w:tcW w:w="880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Core Challenge 4: About LIDA</w:t>
            </w:r>
          </w:p>
        </w:tc>
        <w:tc>
          <w:tcPr>
            <w:tcW w:w="2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0" w:type="dxa"/>
            <w:vAlign w:val="bottom"/>
          </w:tcPr>
          <w:p>
            <w:pPr>
              <w:ind w:left="180"/>
              <w:spacing w:after="0"/>
              <w:rPr>
                <w:sz w:val="20"/>
                <w:szCs w:val="20"/>
                <w:color w:val="auto"/>
              </w:rPr>
            </w:pPr>
            <w:r>
              <w:rPr>
                <w:rFonts w:ascii="Arial" w:cs="Arial" w:eastAsia="Arial" w:hAnsi="Arial"/>
                <w:sz w:val="18"/>
                <w:szCs w:val="18"/>
                <w:color w:val="auto"/>
                <w:w w:val="79"/>
              </w:rPr>
              <w:t>5.</w:t>
            </w:r>
          </w:p>
        </w:tc>
        <w:tc>
          <w:tcPr>
            <w:tcW w:w="8800" w:type="dxa"/>
            <w:vAlign w:val="bottom"/>
            <w:gridSpan w:val="2"/>
          </w:tcPr>
          <w:p>
            <w:pPr>
              <w:ind w:left="40"/>
              <w:spacing w:after="0"/>
              <w:rPr>
                <w:sz w:val="20"/>
                <w:szCs w:val="20"/>
                <w:color w:val="auto"/>
              </w:rPr>
            </w:pPr>
            <w:r>
              <w:rPr>
                <w:rFonts w:ascii="Arial" w:cs="Arial" w:eastAsia="Arial" w:hAnsi="Arial"/>
                <w:sz w:val="18"/>
                <w:szCs w:val="18"/>
                <w:color w:val="auto"/>
              </w:rPr>
              <w:t>Core Challenge 5: About NINEBELL</w:t>
            </w:r>
          </w:p>
        </w:tc>
        <w:tc>
          <w:tcPr>
            <w:tcW w:w="2120" w:type="dxa"/>
            <w:vAlign w:val="bottom"/>
          </w:tcPr>
          <w:p>
            <w:pPr>
              <w:jc w:val="right"/>
              <w:spacing w:after="0"/>
              <w:rPr>
                <w:sz w:val="20"/>
                <w:szCs w:val="20"/>
                <w:color w:val="auto"/>
              </w:rPr>
            </w:pPr>
            <w:r>
              <w:rPr>
                <w:rFonts w:ascii="Arial" w:cs="Arial" w:eastAsia="Arial" w:hAnsi="Arial"/>
                <w:sz w:val="18"/>
                <w:szCs w:val="18"/>
                <w:color w:val="auto"/>
              </w:rPr>
              <w:t>38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120" w:type="dxa"/>
            <w:vAlign w:val="bottom"/>
            <w:gridSpan w:val="3"/>
            <w:shd w:val="clear" w:color="auto" w:fill="CCEEFF"/>
          </w:tcPr>
          <w:p>
            <w:pPr>
              <w:spacing w:after="0"/>
              <w:rPr>
                <w:sz w:val="18"/>
                <w:szCs w:val="18"/>
                <w:color w:val="auto"/>
              </w:rPr>
            </w:pPr>
          </w:p>
        </w:tc>
        <w:tc>
          <w:tcPr>
            <w:tcW w:w="2120" w:type="dxa"/>
            <w:vAlign w:val="bottom"/>
            <w:shd w:val="clear" w:color="auto" w:fill="CCEEFF"/>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120" w:type="dxa"/>
            <w:vAlign w:val="bottom"/>
            <w:gridSpan w:val="3"/>
          </w:tcPr>
          <w:p>
            <w:pPr>
              <w:spacing w:after="0"/>
              <w:rPr>
                <w:sz w:val="20"/>
                <w:szCs w:val="20"/>
                <w:color w:val="auto"/>
              </w:rPr>
            </w:pPr>
            <w:r>
              <w:rPr>
                <w:rFonts w:ascii="Arial" w:cs="Arial" w:eastAsia="Arial" w:hAnsi="Arial"/>
                <w:sz w:val="18"/>
                <w:szCs w:val="18"/>
                <w:b w:val="1"/>
                <w:bCs w:val="1"/>
                <w:color w:val="auto"/>
              </w:rPr>
              <w:t>Part B - Other Challenges in the Short-sell Report and the Responses thereto</w:t>
            </w:r>
          </w:p>
        </w:tc>
        <w:tc>
          <w:tcPr>
            <w:tcW w:w="2120" w:type="dxa"/>
            <w:vAlign w:val="bottom"/>
          </w:tcPr>
          <w:p>
            <w:pPr>
              <w:jc w:val="right"/>
              <w:spacing w:after="0"/>
              <w:rPr>
                <w:sz w:val="20"/>
                <w:szCs w:val="20"/>
                <w:color w:val="auto"/>
              </w:rPr>
            </w:pPr>
            <w:r>
              <w:rPr>
                <w:rFonts w:ascii="Arial" w:cs="Arial" w:eastAsia="Arial" w:hAnsi="Arial"/>
                <w:sz w:val="18"/>
                <w:szCs w:val="18"/>
                <w:b w:val="1"/>
                <w:bCs w:val="1"/>
                <w:color w:val="auto"/>
              </w:rPr>
              <w:t>45</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0" w:type="dxa"/>
            <w:vAlign w:val="bottom"/>
            <w:shd w:val="clear" w:color="auto" w:fill="CCEEFF"/>
          </w:tcPr>
          <w:p>
            <w:pPr>
              <w:ind w:left="180"/>
              <w:spacing w:after="0"/>
              <w:rPr>
                <w:sz w:val="20"/>
                <w:szCs w:val="20"/>
                <w:color w:val="auto"/>
              </w:rPr>
            </w:pPr>
            <w:r>
              <w:rPr>
                <w:rFonts w:ascii="Arial" w:cs="Arial" w:eastAsia="Arial" w:hAnsi="Arial"/>
                <w:sz w:val="18"/>
                <w:szCs w:val="18"/>
                <w:color w:val="auto"/>
                <w:w w:val="79"/>
              </w:rPr>
              <w:t>1.</w:t>
            </w:r>
          </w:p>
        </w:tc>
        <w:tc>
          <w:tcPr>
            <w:tcW w:w="880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Other Challenge 1: About Fixed Assets</w:t>
            </w:r>
          </w:p>
        </w:tc>
        <w:tc>
          <w:tcPr>
            <w:tcW w:w="2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0" w:type="dxa"/>
            <w:vAlign w:val="bottom"/>
          </w:tcPr>
          <w:p>
            <w:pPr>
              <w:ind w:left="180"/>
              <w:spacing w:after="0"/>
              <w:rPr>
                <w:sz w:val="20"/>
                <w:szCs w:val="20"/>
                <w:color w:val="auto"/>
              </w:rPr>
            </w:pPr>
            <w:r>
              <w:rPr>
                <w:rFonts w:ascii="Arial" w:cs="Arial" w:eastAsia="Arial" w:hAnsi="Arial"/>
                <w:sz w:val="18"/>
                <w:szCs w:val="18"/>
                <w:color w:val="auto"/>
                <w:w w:val="79"/>
              </w:rPr>
              <w:t>2.</w:t>
            </w:r>
          </w:p>
        </w:tc>
        <w:tc>
          <w:tcPr>
            <w:tcW w:w="8800" w:type="dxa"/>
            <w:vAlign w:val="bottom"/>
            <w:gridSpan w:val="2"/>
          </w:tcPr>
          <w:p>
            <w:pPr>
              <w:ind w:left="40"/>
              <w:spacing w:after="0"/>
              <w:rPr>
                <w:sz w:val="20"/>
                <w:szCs w:val="20"/>
                <w:color w:val="auto"/>
              </w:rPr>
            </w:pPr>
            <w:r>
              <w:rPr>
                <w:rFonts w:ascii="Arial" w:cs="Arial" w:eastAsia="Arial" w:hAnsi="Arial"/>
                <w:sz w:val="18"/>
                <w:szCs w:val="18"/>
                <w:color w:val="auto"/>
              </w:rPr>
              <w:t>Other Challenge 2: About Guarantee and Bank Loan</w:t>
            </w:r>
          </w:p>
        </w:tc>
        <w:tc>
          <w:tcPr>
            <w:tcW w:w="2120" w:type="dxa"/>
            <w:vAlign w:val="bottom"/>
          </w:tcPr>
          <w:p>
            <w:pPr>
              <w:jc w:val="right"/>
              <w:spacing w:after="0"/>
              <w:rPr>
                <w:sz w:val="20"/>
                <w:szCs w:val="20"/>
                <w:color w:val="auto"/>
              </w:rPr>
            </w:pPr>
            <w:r>
              <w:rPr>
                <w:rFonts w:ascii="Arial" w:cs="Arial" w:eastAsia="Arial" w:hAnsi="Arial"/>
                <w:sz w:val="18"/>
                <w:szCs w:val="18"/>
                <w:color w:val="auto"/>
              </w:rPr>
              <w:t>50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0" w:type="dxa"/>
            <w:vAlign w:val="bottom"/>
            <w:shd w:val="clear" w:color="auto" w:fill="CCEEFF"/>
          </w:tcPr>
          <w:p>
            <w:pPr>
              <w:ind w:left="180"/>
              <w:spacing w:after="0"/>
              <w:rPr>
                <w:sz w:val="20"/>
                <w:szCs w:val="20"/>
                <w:color w:val="auto"/>
              </w:rPr>
            </w:pPr>
            <w:r>
              <w:rPr>
                <w:rFonts w:ascii="Arial" w:cs="Arial" w:eastAsia="Arial" w:hAnsi="Arial"/>
                <w:sz w:val="18"/>
                <w:szCs w:val="18"/>
                <w:color w:val="auto"/>
                <w:w w:val="79"/>
              </w:rPr>
              <w:t>3.</w:t>
            </w:r>
          </w:p>
        </w:tc>
        <w:tc>
          <w:tcPr>
            <w:tcW w:w="880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Other Challenge 3: About Inventory</w:t>
            </w:r>
          </w:p>
        </w:tc>
        <w:tc>
          <w:tcPr>
            <w:tcW w:w="2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0" w:type="dxa"/>
            <w:vAlign w:val="bottom"/>
          </w:tcPr>
          <w:p>
            <w:pPr>
              <w:ind w:left="180"/>
              <w:spacing w:after="0"/>
              <w:rPr>
                <w:sz w:val="20"/>
                <w:szCs w:val="20"/>
                <w:color w:val="auto"/>
              </w:rPr>
            </w:pPr>
            <w:r>
              <w:rPr>
                <w:rFonts w:ascii="Arial" w:cs="Arial" w:eastAsia="Arial" w:hAnsi="Arial"/>
                <w:sz w:val="18"/>
                <w:szCs w:val="18"/>
                <w:color w:val="auto"/>
                <w:w w:val="79"/>
              </w:rPr>
              <w:t>4.</w:t>
            </w:r>
          </w:p>
        </w:tc>
        <w:tc>
          <w:tcPr>
            <w:tcW w:w="8800" w:type="dxa"/>
            <w:vAlign w:val="bottom"/>
            <w:gridSpan w:val="2"/>
          </w:tcPr>
          <w:p>
            <w:pPr>
              <w:ind w:left="40"/>
              <w:spacing w:after="0"/>
              <w:rPr>
                <w:sz w:val="20"/>
                <w:szCs w:val="20"/>
                <w:color w:val="auto"/>
              </w:rPr>
            </w:pPr>
            <w:r>
              <w:rPr>
                <w:rFonts w:ascii="Arial" w:cs="Arial" w:eastAsia="Arial" w:hAnsi="Arial"/>
                <w:sz w:val="18"/>
                <w:szCs w:val="18"/>
                <w:color w:val="auto"/>
              </w:rPr>
              <w:t>Other Challenge 4: About Deposits Received</w:t>
            </w:r>
          </w:p>
        </w:tc>
        <w:tc>
          <w:tcPr>
            <w:tcW w:w="2120" w:type="dxa"/>
            <w:vAlign w:val="bottom"/>
          </w:tcPr>
          <w:p>
            <w:pPr>
              <w:jc w:val="right"/>
              <w:spacing w:after="0"/>
              <w:rPr>
                <w:sz w:val="20"/>
                <w:szCs w:val="20"/>
                <w:color w:val="auto"/>
              </w:rPr>
            </w:pPr>
            <w:r>
              <w:rPr>
                <w:rFonts w:ascii="Arial" w:cs="Arial" w:eastAsia="Arial" w:hAnsi="Arial"/>
                <w:sz w:val="18"/>
                <w:szCs w:val="18"/>
                <w:color w:val="auto"/>
              </w:rPr>
              <w:t>61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0" w:type="dxa"/>
            <w:vAlign w:val="bottom"/>
            <w:shd w:val="clear" w:color="auto" w:fill="CCEEFF"/>
          </w:tcPr>
          <w:p>
            <w:pPr>
              <w:ind w:left="180"/>
              <w:spacing w:after="0"/>
              <w:rPr>
                <w:sz w:val="20"/>
                <w:szCs w:val="20"/>
                <w:color w:val="auto"/>
              </w:rPr>
            </w:pPr>
            <w:r>
              <w:rPr>
                <w:rFonts w:ascii="Arial" w:cs="Arial" w:eastAsia="Arial" w:hAnsi="Arial"/>
                <w:sz w:val="18"/>
                <w:szCs w:val="18"/>
                <w:color w:val="auto"/>
                <w:w w:val="79"/>
              </w:rPr>
              <w:t>5.</w:t>
            </w:r>
          </w:p>
        </w:tc>
        <w:tc>
          <w:tcPr>
            <w:tcW w:w="880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Other Challenge 5: About Liabilities</w:t>
            </w:r>
          </w:p>
        </w:tc>
        <w:tc>
          <w:tcPr>
            <w:tcW w:w="2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0" w:type="dxa"/>
            <w:vAlign w:val="bottom"/>
          </w:tcPr>
          <w:p>
            <w:pPr>
              <w:ind w:left="180"/>
              <w:spacing w:after="0"/>
              <w:rPr>
                <w:sz w:val="20"/>
                <w:szCs w:val="20"/>
                <w:color w:val="auto"/>
              </w:rPr>
            </w:pPr>
            <w:r>
              <w:rPr>
                <w:rFonts w:ascii="Arial" w:cs="Arial" w:eastAsia="Arial" w:hAnsi="Arial"/>
                <w:sz w:val="18"/>
                <w:szCs w:val="18"/>
                <w:color w:val="auto"/>
                <w:w w:val="79"/>
              </w:rPr>
              <w:t>6.</w:t>
            </w:r>
          </w:p>
        </w:tc>
        <w:tc>
          <w:tcPr>
            <w:tcW w:w="8800" w:type="dxa"/>
            <w:vAlign w:val="bottom"/>
            <w:gridSpan w:val="2"/>
          </w:tcPr>
          <w:p>
            <w:pPr>
              <w:ind w:left="40"/>
              <w:spacing w:after="0"/>
              <w:rPr>
                <w:sz w:val="20"/>
                <w:szCs w:val="20"/>
                <w:color w:val="auto"/>
              </w:rPr>
            </w:pPr>
            <w:r>
              <w:rPr>
                <w:rFonts w:ascii="Arial" w:cs="Arial" w:eastAsia="Arial" w:hAnsi="Arial"/>
                <w:sz w:val="18"/>
                <w:szCs w:val="18"/>
                <w:color w:val="auto"/>
              </w:rPr>
              <w:t>Other Challenge 6: About Hanwool</w:t>
            </w:r>
          </w:p>
        </w:tc>
        <w:tc>
          <w:tcPr>
            <w:tcW w:w="2120" w:type="dxa"/>
            <w:vAlign w:val="bottom"/>
          </w:tcPr>
          <w:p>
            <w:pPr>
              <w:jc w:val="right"/>
              <w:spacing w:after="0"/>
              <w:rPr>
                <w:sz w:val="20"/>
                <w:szCs w:val="20"/>
                <w:color w:val="auto"/>
              </w:rPr>
            </w:pPr>
            <w:r>
              <w:rPr>
                <w:rFonts w:ascii="Arial" w:cs="Arial" w:eastAsia="Arial" w:hAnsi="Arial"/>
                <w:sz w:val="18"/>
                <w:szCs w:val="18"/>
                <w:color w:val="auto"/>
              </w:rPr>
              <w:t>69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0" w:type="dxa"/>
            <w:vAlign w:val="bottom"/>
            <w:shd w:val="clear" w:color="auto" w:fill="CCEEFF"/>
          </w:tcPr>
          <w:p>
            <w:pPr>
              <w:ind w:left="180"/>
              <w:spacing w:after="0"/>
              <w:rPr>
                <w:sz w:val="20"/>
                <w:szCs w:val="20"/>
                <w:color w:val="auto"/>
              </w:rPr>
            </w:pPr>
            <w:r>
              <w:rPr>
                <w:rFonts w:ascii="Arial" w:cs="Arial" w:eastAsia="Arial" w:hAnsi="Arial"/>
                <w:sz w:val="18"/>
                <w:szCs w:val="18"/>
                <w:color w:val="auto"/>
                <w:w w:val="79"/>
              </w:rPr>
              <w:t>7.</w:t>
            </w:r>
          </w:p>
        </w:tc>
        <w:tc>
          <w:tcPr>
            <w:tcW w:w="880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Other Challenge 7: About Sales Differences</w:t>
            </w:r>
          </w:p>
        </w:tc>
        <w:tc>
          <w:tcPr>
            <w:tcW w:w="2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0" w:type="dxa"/>
            <w:vAlign w:val="bottom"/>
          </w:tcPr>
          <w:p>
            <w:pPr>
              <w:ind w:left="180"/>
              <w:spacing w:after="0"/>
              <w:rPr>
                <w:sz w:val="20"/>
                <w:szCs w:val="20"/>
                <w:color w:val="auto"/>
              </w:rPr>
            </w:pPr>
            <w:r>
              <w:rPr>
                <w:rFonts w:ascii="Arial" w:cs="Arial" w:eastAsia="Arial" w:hAnsi="Arial"/>
                <w:sz w:val="18"/>
                <w:szCs w:val="18"/>
                <w:color w:val="auto"/>
                <w:w w:val="79"/>
              </w:rPr>
              <w:t>8.</w:t>
            </w:r>
          </w:p>
        </w:tc>
        <w:tc>
          <w:tcPr>
            <w:tcW w:w="8800" w:type="dxa"/>
            <w:vAlign w:val="bottom"/>
            <w:gridSpan w:val="2"/>
          </w:tcPr>
          <w:p>
            <w:pPr>
              <w:ind w:left="40"/>
              <w:spacing w:after="0"/>
              <w:rPr>
                <w:sz w:val="20"/>
                <w:szCs w:val="20"/>
                <w:color w:val="auto"/>
              </w:rPr>
            </w:pPr>
            <w:r>
              <w:rPr>
                <w:rFonts w:ascii="Arial" w:cs="Arial" w:eastAsia="Arial" w:hAnsi="Arial"/>
                <w:sz w:val="18"/>
                <w:szCs w:val="18"/>
                <w:color w:val="auto"/>
              </w:rPr>
              <w:t>Other Challenge 8: About R&amp;D Expenses</w:t>
            </w:r>
          </w:p>
        </w:tc>
        <w:tc>
          <w:tcPr>
            <w:tcW w:w="2120" w:type="dxa"/>
            <w:vAlign w:val="bottom"/>
          </w:tcPr>
          <w:p>
            <w:pPr>
              <w:jc w:val="right"/>
              <w:spacing w:after="0"/>
              <w:rPr>
                <w:sz w:val="20"/>
                <w:szCs w:val="20"/>
                <w:color w:val="auto"/>
              </w:rPr>
            </w:pPr>
            <w:r>
              <w:rPr>
                <w:rFonts w:ascii="Arial" w:cs="Arial" w:eastAsia="Arial" w:hAnsi="Arial"/>
                <w:sz w:val="18"/>
                <w:szCs w:val="18"/>
                <w:color w:val="auto"/>
              </w:rPr>
              <w:t>76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0" w:type="dxa"/>
            <w:vAlign w:val="bottom"/>
            <w:shd w:val="clear" w:color="auto" w:fill="CCEEFF"/>
          </w:tcPr>
          <w:p>
            <w:pPr>
              <w:ind w:left="180"/>
              <w:spacing w:after="0"/>
              <w:rPr>
                <w:sz w:val="20"/>
                <w:szCs w:val="20"/>
                <w:color w:val="auto"/>
              </w:rPr>
            </w:pPr>
            <w:r>
              <w:rPr>
                <w:rFonts w:ascii="Arial" w:cs="Arial" w:eastAsia="Arial" w:hAnsi="Arial"/>
                <w:sz w:val="18"/>
                <w:szCs w:val="18"/>
                <w:color w:val="auto"/>
                <w:w w:val="79"/>
              </w:rPr>
              <w:t>9.</w:t>
            </w:r>
          </w:p>
        </w:tc>
        <w:tc>
          <w:tcPr>
            <w:tcW w:w="880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Other Challenge 9: About VAT</w:t>
            </w:r>
          </w:p>
        </w:tc>
        <w:tc>
          <w:tcPr>
            <w:tcW w:w="2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0" w:type="dxa"/>
            <w:vAlign w:val="bottom"/>
            <w:gridSpan w:val="2"/>
          </w:tcPr>
          <w:p>
            <w:pPr>
              <w:ind w:left="180"/>
              <w:spacing w:after="0"/>
              <w:rPr>
                <w:sz w:val="20"/>
                <w:szCs w:val="20"/>
                <w:color w:val="auto"/>
              </w:rPr>
            </w:pPr>
            <w:r>
              <w:rPr>
                <w:rFonts w:ascii="Arial" w:cs="Arial" w:eastAsia="Arial" w:hAnsi="Arial"/>
                <w:sz w:val="18"/>
                <w:szCs w:val="18"/>
                <w:color w:val="auto"/>
                <w:w w:val="87"/>
              </w:rPr>
              <w:t>10.</w:t>
            </w:r>
          </w:p>
        </w:tc>
        <w:tc>
          <w:tcPr>
            <w:tcW w:w="8700" w:type="dxa"/>
            <w:vAlign w:val="bottom"/>
          </w:tcPr>
          <w:p>
            <w:pPr>
              <w:ind w:left="20"/>
              <w:spacing w:after="0"/>
              <w:rPr>
                <w:sz w:val="20"/>
                <w:szCs w:val="20"/>
                <w:color w:val="auto"/>
              </w:rPr>
            </w:pPr>
            <w:r>
              <w:rPr>
                <w:rFonts w:ascii="Arial" w:cs="Arial" w:eastAsia="Arial" w:hAnsi="Arial"/>
                <w:sz w:val="18"/>
                <w:szCs w:val="18"/>
                <w:color w:val="auto"/>
              </w:rPr>
              <w:t>Other Challenge 10: About the False Declaration of Goods Imported through Pudong Airport</w:t>
            </w:r>
          </w:p>
        </w:tc>
        <w:tc>
          <w:tcPr>
            <w:tcW w:w="2120" w:type="dxa"/>
            <w:vAlign w:val="bottom"/>
          </w:tcPr>
          <w:p>
            <w:pPr>
              <w:jc w:val="right"/>
              <w:spacing w:after="0"/>
              <w:rPr>
                <w:sz w:val="20"/>
                <w:szCs w:val="20"/>
                <w:color w:val="auto"/>
              </w:rPr>
            </w:pPr>
            <w:r>
              <w:rPr>
                <w:rFonts w:ascii="Arial" w:cs="Arial" w:eastAsia="Arial" w:hAnsi="Arial"/>
                <w:sz w:val="18"/>
                <w:szCs w:val="18"/>
                <w:color w:val="auto"/>
              </w:rPr>
              <w:t>85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120" w:type="dxa"/>
            <w:vAlign w:val="bottom"/>
            <w:gridSpan w:val="3"/>
            <w:shd w:val="clear" w:color="auto" w:fill="CCEEFF"/>
          </w:tcPr>
          <w:p>
            <w:pPr>
              <w:ind w:left="180"/>
              <w:spacing w:after="0"/>
              <w:rPr>
                <w:sz w:val="20"/>
                <w:szCs w:val="20"/>
                <w:color w:val="auto"/>
              </w:rPr>
            </w:pPr>
            <w:r>
              <w:rPr>
                <w:rFonts w:ascii="Arial" w:cs="Arial" w:eastAsia="Arial" w:hAnsi="Arial"/>
                <w:sz w:val="18"/>
                <w:szCs w:val="18"/>
                <w:color w:val="auto"/>
              </w:rPr>
              <w:t>11. Other Challenge 11: About Overseas Procurement</w:t>
            </w:r>
          </w:p>
        </w:tc>
        <w:tc>
          <w:tcPr>
            <w:tcW w:w="2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0" w:type="dxa"/>
            <w:vAlign w:val="bottom"/>
            <w:gridSpan w:val="2"/>
          </w:tcPr>
          <w:p>
            <w:pPr>
              <w:ind w:left="180"/>
              <w:spacing w:after="0"/>
              <w:rPr>
                <w:sz w:val="20"/>
                <w:szCs w:val="20"/>
                <w:color w:val="auto"/>
              </w:rPr>
            </w:pPr>
            <w:r>
              <w:rPr>
                <w:rFonts w:ascii="Arial" w:cs="Arial" w:eastAsia="Arial" w:hAnsi="Arial"/>
                <w:sz w:val="18"/>
                <w:szCs w:val="18"/>
                <w:color w:val="auto"/>
                <w:w w:val="87"/>
              </w:rPr>
              <w:t>12.</w:t>
            </w:r>
          </w:p>
        </w:tc>
        <w:tc>
          <w:tcPr>
            <w:tcW w:w="8700" w:type="dxa"/>
            <w:vAlign w:val="bottom"/>
          </w:tcPr>
          <w:p>
            <w:pPr>
              <w:ind w:left="20"/>
              <w:spacing w:after="0"/>
              <w:rPr>
                <w:sz w:val="20"/>
                <w:szCs w:val="20"/>
                <w:color w:val="auto"/>
              </w:rPr>
            </w:pPr>
            <w:r>
              <w:rPr>
                <w:rFonts w:ascii="Arial" w:cs="Arial" w:eastAsia="Arial" w:hAnsi="Arial"/>
                <w:sz w:val="18"/>
                <w:szCs w:val="18"/>
                <w:color w:val="auto"/>
              </w:rPr>
              <w:t>Other Challenge 12: About Sales Quantity of Electroplating Equipment</w:t>
            </w:r>
          </w:p>
        </w:tc>
        <w:tc>
          <w:tcPr>
            <w:tcW w:w="2120" w:type="dxa"/>
            <w:vAlign w:val="bottom"/>
          </w:tcPr>
          <w:p>
            <w:pPr>
              <w:jc w:val="right"/>
              <w:spacing w:after="0"/>
              <w:rPr>
                <w:sz w:val="20"/>
                <w:szCs w:val="20"/>
                <w:color w:val="auto"/>
              </w:rPr>
            </w:pPr>
            <w:r>
              <w:rPr>
                <w:rFonts w:ascii="Arial" w:cs="Arial" w:eastAsia="Arial" w:hAnsi="Arial"/>
                <w:sz w:val="18"/>
                <w:szCs w:val="18"/>
                <w:color w:val="auto"/>
              </w:rPr>
              <w:t>89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w w:val="87"/>
              </w:rPr>
              <w:t>13.</w:t>
            </w:r>
          </w:p>
        </w:tc>
        <w:tc>
          <w:tcPr>
            <w:tcW w:w="8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Challenge 13: About Supplier</w:t>
            </w:r>
          </w:p>
        </w:tc>
        <w:tc>
          <w:tcPr>
            <w:tcW w:w="2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0" w:type="dxa"/>
            <w:vAlign w:val="bottom"/>
            <w:gridSpan w:val="2"/>
          </w:tcPr>
          <w:p>
            <w:pPr>
              <w:ind w:left="180"/>
              <w:spacing w:after="0"/>
              <w:rPr>
                <w:sz w:val="20"/>
                <w:szCs w:val="20"/>
                <w:color w:val="auto"/>
              </w:rPr>
            </w:pPr>
            <w:r>
              <w:rPr>
                <w:rFonts w:ascii="Arial" w:cs="Arial" w:eastAsia="Arial" w:hAnsi="Arial"/>
                <w:sz w:val="18"/>
                <w:szCs w:val="18"/>
                <w:color w:val="auto"/>
                <w:w w:val="87"/>
              </w:rPr>
              <w:t>14.</w:t>
            </w:r>
          </w:p>
        </w:tc>
        <w:tc>
          <w:tcPr>
            <w:tcW w:w="8700" w:type="dxa"/>
            <w:vAlign w:val="bottom"/>
          </w:tcPr>
          <w:p>
            <w:pPr>
              <w:ind w:left="20"/>
              <w:spacing w:after="0"/>
              <w:rPr>
                <w:sz w:val="20"/>
                <w:szCs w:val="20"/>
                <w:color w:val="auto"/>
              </w:rPr>
            </w:pPr>
            <w:r>
              <w:rPr>
                <w:rFonts w:ascii="Arial" w:cs="Arial" w:eastAsia="Arial" w:hAnsi="Arial"/>
                <w:sz w:val="18"/>
                <w:szCs w:val="18"/>
                <w:color w:val="auto"/>
              </w:rPr>
              <w:t>Other Challenge 14: About Machines Bearing the Ultra Trademark on Premises at NINEBELL</w:t>
            </w:r>
          </w:p>
        </w:tc>
        <w:tc>
          <w:tcPr>
            <w:tcW w:w="2120" w:type="dxa"/>
            <w:vAlign w:val="bottom"/>
          </w:tcPr>
          <w:p>
            <w:pPr>
              <w:jc w:val="right"/>
              <w:spacing w:after="0"/>
              <w:rPr>
                <w:sz w:val="20"/>
                <w:szCs w:val="20"/>
                <w:color w:val="auto"/>
              </w:rPr>
            </w:pPr>
            <w:r>
              <w:rPr>
                <w:rFonts w:ascii="Arial" w:cs="Arial" w:eastAsia="Arial" w:hAnsi="Arial"/>
                <w:sz w:val="18"/>
                <w:szCs w:val="18"/>
                <w:color w:val="auto"/>
              </w:rPr>
              <w:t>94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w w:val="87"/>
              </w:rPr>
              <w:t>15.</w:t>
            </w:r>
          </w:p>
        </w:tc>
        <w:tc>
          <w:tcPr>
            <w:tcW w:w="8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Challenge 15: About Warranty Fee</w:t>
            </w:r>
          </w:p>
        </w:tc>
        <w:tc>
          <w:tcPr>
            <w:tcW w:w="2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0" w:type="dxa"/>
            <w:vAlign w:val="bottom"/>
            <w:gridSpan w:val="2"/>
          </w:tcPr>
          <w:p>
            <w:pPr>
              <w:ind w:left="180"/>
              <w:spacing w:after="0"/>
              <w:rPr>
                <w:sz w:val="20"/>
                <w:szCs w:val="20"/>
                <w:color w:val="auto"/>
              </w:rPr>
            </w:pPr>
            <w:r>
              <w:rPr>
                <w:rFonts w:ascii="Arial" w:cs="Arial" w:eastAsia="Arial" w:hAnsi="Arial"/>
                <w:sz w:val="18"/>
                <w:szCs w:val="18"/>
                <w:color w:val="auto"/>
                <w:w w:val="87"/>
              </w:rPr>
              <w:t>16.</w:t>
            </w:r>
          </w:p>
        </w:tc>
        <w:tc>
          <w:tcPr>
            <w:tcW w:w="8700" w:type="dxa"/>
            <w:vAlign w:val="bottom"/>
          </w:tcPr>
          <w:p>
            <w:pPr>
              <w:ind w:left="20"/>
              <w:spacing w:after="0"/>
              <w:rPr>
                <w:sz w:val="20"/>
                <w:szCs w:val="20"/>
                <w:color w:val="auto"/>
              </w:rPr>
            </w:pPr>
            <w:r>
              <w:rPr>
                <w:rFonts w:ascii="Arial" w:cs="Arial" w:eastAsia="Arial" w:hAnsi="Arial"/>
                <w:sz w:val="18"/>
                <w:szCs w:val="18"/>
                <w:color w:val="auto"/>
              </w:rPr>
              <w:t>Other Challenge 16: About ACMR’s Information Disclosure on Agent</w:t>
            </w:r>
          </w:p>
        </w:tc>
        <w:tc>
          <w:tcPr>
            <w:tcW w:w="2120" w:type="dxa"/>
            <w:vAlign w:val="bottom"/>
          </w:tcPr>
          <w:p>
            <w:pPr>
              <w:jc w:val="right"/>
              <w:spacing w:after="0"/>
              <w:rPr>
                <w:sz w:val="20"/>
                <w:szCs w:val="20"/>
                <w:color w:val="auto"/>
              </w:rPr>
            </w:pPr>
            <w:r>
              <w:rPr>
                <w:rFonts w:ascii="Arial" w:cs="Arial" w:eastAsia="Arial" w:hAnsi="Arial"/>
                <w:sz w:val="18"/>
                <w:szCs w:val="18"/>
                <w:color w:val="auto"/>
              </w:rPr>
              <w:t>98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w w:val="87"/>
              </w:rPr>
              <w:t>17.</w:t>
            </w:r>
          </w:p>
        </w:tc>
        <w:tc>
          <w:tcPr>
            <w:tcW w:w="8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Challenge 17: About Other Challenges</w:t>
            </w:r>
          </w:p>
        </w:tc>
        <w:tc>
          <w:tcPr>
            <w:tcW w:w="2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0" w:type="dxa"/>
            <w:vAlign w:val="bottom"/>
            <w:gridSpan w:val="2"/>
          </w:tcPr>
          <w:p>
            <w:pPr>
              <w:ind w:left="180"/>
              <w:spacing w:after="0"/>
              <w:rPr>
                <w:sz w:val="20"/>
                <w:szCs w:val="20"/>
                <w:color w:val="auto"/>
              </w:rPr>
            </w:pPr>
            <w:r>
              <w:rPr>
                <w:rFonts w:ascii="Arial" w:cs="Arial" w:eastAsia="Arial" w:hAnsi="Arial"/>
                <w:sz w:val="18"/>
                <w:szCs w:val="18"/>
                <w:color w:val="auto"/>
                <w:w w:val="87"/>
              </w:rPr>
              <w:t>18.</w:t>
            </w:r>
          </w:p>
        </w:tc>
        <w:tc>
          <w:tcPr>
            <w:tcW w:w="8700" w:type="dxa"/>
            <w:vAlign w:val="bottom"/>
          </w:tcPr>
          <w:p>
            <w:pPr>
              <w:ind w:left="20"/>
              <w:spacing w:after="0"/>
              <w:rPr>
                <w:sz w:val="20"/>
                <w:szCs w:val="20"/>
                <w:color w:val="auto"/>
              </w:rPr>
            </w:pPr>
            <w:r>
              <w:rPr>
                <w:rFonts w:ascii="Arial" w:cs="Arial" w:eastAsia="Arial" w:hAnsi="Arial"/>
                <w:sz w:val="18"/>
                <w:szCs w:val="18"/>
                <w:color w:val="auto"/>
              </w:rPr>
              <w:t>Other Comments in the Short-sell Report</w:t>
            </w:r>
          </w:p>
        </w:tc>
        <w:tc>
          <w:tcPr>
            <w:tcW w:w="2120" w:type="dxa"/>
            <w:vAlign w:val="bottom"/>
          </w:tcPr>
          <w:p>
            <w:pPr>
              <w:jc w:val="right"/>
              <w:spacing w:after="0"/>
              <w:rPr>
                <w:sz w:val="20"/>
                <w:szCs w:val="20"/>
                <w:color w:val="auto"/>
              </w:rPr>
            </w:pPr>
            <w:r>
              <w:rPr>
                <w:rFonts w:ascii="Arial" w:cs="Arial" w:eastAsia="Arial" w:hAnsi="Arial"/>
                <w:sz w:val="18"/>
                <w:szCs w:val="18"/>
                <w:color w:val="auto"/>
              </w:rPr>
              <w:t>105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120" w:type="dxa"/>
            <w:vAlign w:val="bottom"/>
            <w:gridSpan w:val="3"/>
            <w:shd w:val="clear" w:color="auto" w:fill="CCEEFF"/>
          </w:tcPr>
          <w:p>
            <w:pPr>
              <w:spacing w:after="0"/>
              <w:rPr>
                <w:sz w:val="18"/>
                <w:szCs w:val="18"/>
                <w:color w:val="auto"/>
              </w:rPr>
            </w:pPr>
          </w:p>
        </w:tc>
        <w:tc>
          <w:tcPr>
            <w:tcW w:w="2120" w:type="dxa"/>
            <w:vAlign w:val="bottom"/>
            <w:shd w:val="clear" w:color="auto" w:fill="CCEEFF"/>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9120" w:type="dxa"/>
            <w:vAlign w:val="bottom"/>
            <w:gridSpan w:val="3"/>
          </w:tcPr>
          <w:p>
            <w:pPr>
              <w:spacing w:after="0"/>
              <w:rPr>
                <w:sz w:val="20"/>
                <w:szCs w:val="20"/>
                <w:color w:val="auto"/>
              </w:rPr>
            </w:pPr>
            <w:r>
              <w:rPr>
                <w:rFonts w:ascii="Arial" w:cs="Arial" w:eastAsia="Arial" w:hAnsi="Arial"/>
                <w:sz w:val="18"/>
                <w:szCs w:val="18"/>
                <w:b w:val="1"/>
                <w:bCs w:val="1"/>
                <w:color w:val="auto"/>
              </w:rPr>
              <w:t>Part C – General Opinion of the Sponsor</w:t>
            </w:r>
          </w:p>
        </w:tc>
        <w:tc>
          <w:tcPr>
            <w:tcW w:w="2120" w:type="dxa"/>
            <w:vAlign w:val="bottom"/>
          </w:tcPr>
          <w:p>
            <w:pPr>
              <w:jc w:val="right"/>
              <w:spacing w:after="0"/>
              <w:rPr>
                <w:sz w:val="20"/>
                <w:szCs w:val="20"/>
                <w:color w:val="auto"/>
              </w:rPr>
            </w:pPr>
            <w:r>
              <w:rPr>
                <w:rFonts w:ascii="Arial" w:cs="Arial" w:eastAsia="Arial" w:hAnsi="Arial"/>
                <w:sz w:val="18"/>
                <w:szCs w:val="18"/>
                <w:b w:val="1"/>
                <w:bCs w:val="1"/>
                <w:color w:val="auto"/>
              </w:rPr>
              <w:t>112</w:t>
            </w:r>
          </w:p>
        </w:tc>
        <w:tc>
          <w:tcPr>
            <w:tcW w:w="2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564"/>
        </w:trPr>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700" w:type="dxa"/>
            <w:vAlign w:val="bottom"/>
          </w:tcPr>
          <w:p>
            <w:pPr>
              <w:ind w:left="4980"/>
              <w:spacing w:after="0"/>
              <w:rPr>
                <w:sz w:val="20"/>
                <w:szCs w:val="20"/>
                <w:color w:val="auto"/>
              </w:rPr>
            </w:pPr>
            <w:r>
              <w:rPr>
                <w:rFonts w:ascii="Arial" w:cs="Arial" w:eastAsia="Arial" w:hAnsi="Arial"/>
                <w:sz w:val="14"/>
                <w:szCs w:val="14"/>
                <w:color w:val="auto"/>
              </w:rPr>
              <w:t>8-4-1-2</w:t>
            </w:r>
          </w:p>
        </w:tc>
        <w:tc>
          <w:tcPr>
            <w:tcW w:w="2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6"/>
        </w:trPr>
        <w:tc>
          <w:tcPr>
            <w:tcW w:w="32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8700" w:type="dxa"/>
            <w:vAlign w:val="bottom"/>
            <w:tcBorders>
              <w:bottom w:val="single" w:sz="8" w:color="auto"/>
            </w:tcBorders>
          </w:tcPr>
          <w:p>
            <w:pPr>
              <w:spacing w:after="0"/>
              <w:rPr>
                <w:sz w:val="4"/>
                <w:szCs w:val="4"/>
                <w:color w:val="auto"/>
              </w:rPr>
            </w:pPr>
          </w:p>
        </w:tc>
        <w:tc>
          <w:tcPr>
            <w:tcW w:w="2120" w:type="dxa"/>
            <w:vAlign w:val="bottom"/>
            <w:tcBorders>
              <w:bottom w:val="single" w:sz="8" w:color="auto"/>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121" w:right="339" w:bottom="1440" w:gutter="0" w:footer="0" w:header="0"/>
        </w:sectPr>
      </w:pPr>
    </w:p>
    <w:bookmarkStart w:id="6" w:name="page7"/>
    <w:bookmarkEnd w:id="6"/>
    <w:p>
      <w:pPr>
        <w:ind w:left="340"/>
        <w:spacing w:after="0"/>
        <w:rPr>
          <w:sz w:val="20"/>
          <w:szCs w:val="20"/>
          <w:color w:val="auto"/>
        </w:rPr>
      </w:pPr>
      <w:r>
        <w:rPr>
          <w:rFonts w:ascii="Arial" w:cs="Arial" w:eastAsia="Arial" w:hAnsi="Arial"/>
          <w:sz w:val="18"/>
          <w:szCs w:val="18"/>
          <w:b w:val="1"/>
          <w:bCs w:val="1"/>
          <w:color w:val="auto"/>
        </w:rPr>
        <w:t>Preface - Background Analysis</w:t>
      </w:r>
    </w:p>
    <w:p>
      <w:pPr>
        <w:spacing w:after="0" w:line="252"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I. Basic Information on the Short Selling Event</w:t>
      </w:r>
    </w:p>
    <w:p>
      <w:pPr>
        <w:spacing w:after="0" w:line="256"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On October 8, 2020, short-seller JCAP released a report entitled “Dirty business” (“Short-sell Report”) on ACMR through its website involving challenges against the gross profit margin, revenue and agents, etc., of ACMSH. Although no unusual change was reflected in the price of shares of ACMR, HUI WANG, the chairman of ACMR, responded to the Short-sell Report through relevant media reports in short order to clarify the relevant facts, and protect the interests of minority investors.</w:t>
      </w:r>
    </w:p>
    <w:p>
      <w:pPr>
        <w:spacing w:after="0" w:line="214"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Meanwhile, ACMR promptly organized an intermediary team to inspect each of the challenges in the Short-sell Report, and analyzed the arguments and logic thereof comprehensively.</w:t>
      </w:r>
    </w:p>
    <w:p>
      <w:pPr>
        <w:spacing w:after="0" w:line="19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After inspection, ACMSH holds that:</w:t>
      </w:r>
    </w:p>
    <w:p>
      <w:pPr>
        <w:spacing w:after="0" w:line="252" w:lineRule="exact"/>
        <w:rPr>
          <w:sz w:val="20"/>
          <w:szCs w:val="20"/>
          <w:color w:val="auto"/>
        </w:rPr>
      </w:pPr>
    </w:p>
    <w:p>
      <w:pPr>
        <w:ind w:left="520" w:hanging="188"/>
        <w:spacing w:after="0"/>
        <w:tabs>
          <w:tab w:leader="none" w:pos="520" w:val="left"/>
        </w:tabs>
        <w:numPr>
          <w:ilvl w:val="0"/>
          <w:numId w:val="3"/>
        </w:numPr>
        <w:rPr>
          <w:rFonts w:ascii="Arial" w:cs="Arial" w:eastAsia="Arial" w:hAnsi="Arial"/>
          <w:sz w:val="17"/>
          <w:szCs w:val="17"/>
          <w:color w:val="auto"/>
        </w:rPr>
      </w:pPr>
      <w:r>
        <w:rPr>
          <w:rFonts w:ascii="Arial" w:cs="Arial" w:eastAsia="Arial" w:hAnsi="Arial"/>
          <w:sz w:val="17"/>
          <w:szCs w:val="17"/>
          <w:color w:val="auto"/>
        </w:rPr>
        <w:t>There are many misstatements of facts and some contradictory opinions in the Short-sell Report that could mislead investors in ACMR;</w:t>
      </w:r>
    </w:p>
    <w:p>
      <w:pPr>
        <w:spacing w:after="0" w:line="263" w:lineRule="exact"/>
        <w:rPr>
          <w:rFonts w:ascii="Arial" w:cs="Arial" w:eastAsia="Arial" w:hAnsi="Arial"/>
          <w:sz w:val="17"/>
          <w:szCs w:val="17"/>
          <w:color w:val="auto"/>
        </w:rPr>
      </w:pPr>
    </w:p>
    <w:p>
      <w:pPr>
        <w:ind w:firstLine="332"/>
        <w:spacing w:after="0" w:line="277" w:lineRule="auto"/>
        <w:tabs>
          <w:tab w:leader="none" w:pos="524"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Company reserves the right to hold JCAP liable according to law through legal channels to safeguard the interests of the Company and its shareholders;</w:t>
      </w:r>
    </w:p>
    <w:p>
      <w:pPr>
        <w:spacing w:after="0" w:line="197" w:lineRule="exact"/>
        <w:rPr>
          <w:rFonts w:ascii="Arial" w:cs="Arial" w:eastAsia="Arial" w:hAnsi="Arial"/>
          <w:sz w:val="18"/>
          <w:szCs w:val="18"/>
          <w:color w:val="auto"/>
        </w:rPr>
      </w:pPr>
    </w:p>
    <w:p>
      <w:pPr>
        <w:ind w:left="520" w:hanging="188"/>
        <w:spacing w:after="0"/>
        <w:tabs>
          <w:tab w:leader="none" w:pos="520" w:val="left"/>
        </w:tabs>
        <w:numPr>
          <w:ilvl w:val="0"/>
          <w:numId w:val="3"/>
        </w:numPr>
        <w:rPr>
          <w:rFonts w:ascii="Arial" w:cs="Arial" w:eastAsia="Arial" w:hAnsi="Arial"/>
          <w:sz w:val="18"/>
          <w:szCs w:val="18"/>
          <w:color w:val="auto"/>
        </w:rPr>
      </w:pPr>
      <w:r>
        <w:rPr>
          <w:rFonts w:ascii="Arial" w:cs="Arial" w:eastAsia="Arial" w:hAnsi="Arial"/>
          <w:sz w:val="18"/>
          <w:szCs w:val="18"/>
          <w:color w:val="auto"/>
        </w:rPr>
        <w:t>ACMR will provide clarity on the disinformation in the Short-sell Report through relevant media.</w:t>
      </w:r>
    </w:p>
    <w:p>
      <w:pPr>
        <w:spacing w:after="0" w:line="252"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The shares of ACMR closed at USD84.40 as of November 13, 2020, and at USD70.79 on October 8, 2020, the date of the Short-sell Report, during which the share price of ACMR was stable.</w:t>
      </w:r>
    </w:p>
    <w:p>
      <w:pPr>
        <w:spacing w:after="0" w:line="197"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The Short-sell Report has apparently had no adverse effect on the share price of ACMR. We believe the performance of ACMR’s stock reflects the investors’ support for ACMR, and their attitude, with practical actions, against the misinformation in the Short-sell Report.</w:t>
      </w:r>
    </w:p>
    <w:p>
      <w:pPr>
        <w:spacing w:after="0" w:line="197" w:lineRule="exact"/>
        <w:rPr>
          <w:sz w:val="20"/>
          <w:szCs w:val="20"/>
          <w:color w:val="auto"/>
        </w:rPr>
      </w:pPr>
    </w:p>
    <w:p>
      <w:pPr>
        <w:jc w:val="both"/>
        <w:ind w:firstLine="324"/>
        <w:spacing w:after="0" w:line="293" w:lineRule="auto"/>
        <w:rPr>
          <w:sz w:val="20"/>
          <w:szCs w:val="20"/>
          <w:color w:val="auto"/>
        </w:rPr>
      </w:pPr>
      <w:r>
        <w:rPr>
          <w:rFonts w:ascii="Arial" w:cs="Arial" w:eastAsia="Arial" w:hAnsi="Arial"/>
          <w:sz w:val="16"/>
          <w:szCs w:val="16"/>
          <w:color w:val="auto"/>
        </w:rPr>
        <w:t>In addition, Nomura Securities, a well-known international investment bank, issued a research report on October 15, 2020 pointing out that many of JCAP’s challenges may be incorrect or have no evidence, taking the view that the Short-sell Report could mislead investors, while maintaining a “Buy” rating on ACMR shares. Stifel Financial Corp., a research institution, also believes that technology differentiation can affect gross margins, and that ACMR’s cleaning technology is more competitive with the likes of Lam Research Corporation (“Lam”), Tokyo Electron Ltd. (“TEL”), Applied Materials, Inc. (“Applied Materials”), and Hitachi, strongly noting their support for ACMR with a “Buy” rating. None of the 9 global brokerage firms that published research reports on ACMR suggested in their reports that they believed ACMR had conducted illegal activities or misrepresented financial data.</w:t>
      </w:r>
    </w:p>
    <w:p>
      <w:pPr>
        <w:spacing w:after="0" w:line="191"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Generally speaking, most of the institutions appear optimistic about the future market valuation of ACMR, whether from its own leading technical advantages or the context of the industry development.</w:t>
      </w:r>
    </w:p>
    <w:p>
      <w:pPr>
        <w:spacing w:after="0" w:line="36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8-4-1-3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 w:name="page8"/>
    <w:bookmarkEnd w:id="7"/>
    <w:p>
      <w:pPr>
        <w:ind w:left="320"/>
        <w:spacing w:after="0"/>
        <w:rPr>
          <w:sz w:val="20"/>
          <w:szCs w:val="20"/>
          <w:color w:val="auto"/>
        </w:rPr>
      </w:pPr>
      <w:r>
        <w:rPr>
          <w:rFonts w:ascii="Arial" w:cs="Arial" w:eastAsia="Arial" w:hAnsi="Arial"/>
          <w:sz w:val="18"/>
          <w:szCs w:val="18"/>
          <w:b w:val="1"/>
          <w:bCs w:val="1"/>
          <w:color w:val="auto"/>
        </w:rPr>
        <w:t>II. There are many misstatements and misleading information in the Short-sell Report as to the facts.</w:t>
      </w:r>
    </w:p>
    <w:p>
      <w:pPr>
        <w:spacing w:after="0" w:line="229" w:lineRule="exact"/>
        <w:rPr>
          <w:sz w:val="20"/>
          <w:szCs w:val="20"/>
          <w:color w:val="auto"/>
        </w:rPr>
      </w:pPr>
    </w:p>
    <w:p>
      <w:pPr>
        <w:ind w:left="-20" w:firstLine="332"/>
        <w:spacing w:after="0" w:line="308" w:lineRule="auto"/>
        <w:tabs>
          <w:tab w:leader="none" w:pos="518" w:val="left"/>
        </w:tabs>
        <w:numPr>
          <w:ilvl w:val="0"/>
          <w:numId w:val="4"/>
        </w:numPr>
        <w:rPr>
          <w:rFonts w:ascii="Arial" w:cs="Arial" w:eastAsia="Arial" w:hAnsi="Arial"/>
          <w:sz w:val="17"/>
          <w:szCs w:val="17"/>
          <w:color w:val="auto"/>
        </w:rPr>
      </w:pPr>
      <w:r>
        <w:rPr>
          <w:rFonts w:ascii="Arial" w:cs="Arial" w:eastAsia="Arial" w:hAnsi="Arial"/>
          <w:sz w:val="17"/>
          <w:szCs w:val="17"/>
          <w:color w:val="auto"/>
        </w:rPr>
        <w:t>Factual misstatement 1: Mistakenly taking the return on sales of TEL’s semiconductor equipment department as its gross profit margin, and comparing it with the gross profit margin of the Issuer to conclude that the gross profit margin of ACMR is at a higher level, thus misleading investors.</w:t>
      </w:r>
    </w:p>
    <w:p>
      <w:pPr>
        <w:spacing w:after="0" w:line="173" w:lineRule="exact"/>
        <w:rPr>
          <w:rFonts w:ascii="Arial" w:cs="Arial" w:eastAsia="Arial" w:hAnsi="Arial"/>
          <w:sz w:val="17"/>
          <w:szCs w:val="17"/>
          <w:color w:val="auto"/>
        </w:rPr>
      </w:pPr>
    </w:p>
    <w:p>
      <w:pPr>
        <w:jc w:val="both"/>
        <w:ind w:left="-20" w:firstLine="332"/>
        <w:spacing w:after="0" w:line="263" w:lineRule="auto"/>
        <w:tabs>
          <w:tab w:leader="none" w:pos="487" w:val="left"/>
        </w:tabs>
        <w:numPr>
          <w:ilvl w:val="0"/>
          <w:numId w:val="4"/>
        </w:numPr>
        <w:rPr>
          <w:rFonts w:ascii="Arial" w:cs="Arial" w:eastAsia="Arial" w:hAnsi="Arial"/>
          <w:sz w:val="18"/>
          <w:szCs w:val="18"/>
          <w:color w:val="auto"/>
        </w:rPr>
      </w:pPr>
      <w:r>
        <w:rPr>
          <w:rFonts w:ascii="Arial" w:cs="Arial" w:eastAsia="Arial" w:hAnsi="Arial"/>
          <w:sz w:val="18"/>
          <w:szCs w:val="18"/>
          <w:color w:val="auto"/>
        </w:rPr>
        <w:t>Factual misstatement 2: Mistakenly using the annual revenue of KINGSEMI in 2016 to conclude that “KINGSEMI derives just 1% of revenue from cleaning equipment” as to the description of KINGSEMI’s product structure, while according to KINGSEMI’s prospectus, its revenue on cleaning equipment from January to June in 2019 has reached 30.98%, thus misleading investors.</w:t>
      </w:r>
    </w:p>
    <w:p>
      <w:pPr>
        <w:spacing w:after="0" w:line="210" w:lineRule="exact"/>
        <w:rPr>
          <w:rFonts w:ascii="Arial" w:cs="Arial" w:eastAsia="Arial" w:hAnsi="Arial"/>
          <w:sz w:val="18"/>
          <w:szCs w:val="18"/>
          <w:color w:val="auto"/>
        </w:rPr>
      </w:pPr>
    </w:p>
    <w:p>
      <w:pPr>
        <w:ind w:left="-20" w:right="20" w:firstLine="332"/>
        <w:spacing w:after="0" w:line="277" w:lineRule="auto"/>
        <w:tabs>
          <w:tab w:leader="none" w:pos="505" w:val="left"/>
        </w:tabs>
        <w:numPr>
          <w:ilvl w:val="0"/>
          <w:numId w:val="4"/>
        </w:numPr>
        <w:rPr>
          <w:rFonts w:ascii="Arial" w:cs="Arial" w:eastAsia="Arial" w:hAnsi="Arial"/>
          <w:sz w:val="18"/>
          <w:szCs w:val="18"/>
          <w:color w:val="auto"/>
        </w:rPr>
      </w:pPr>
      <w:r>
        <w:rPr>
          <w:rFonts w:ascii="Arial" w:cs="Arial" w:eastAsia="Arial" w:hAnsi="Arial"/>
          <w:sz w:val="18"/>
          <w:szCs w:val="18"/>
          <w:color w:val="auto"/>
        </w:rPr>
        <w:t>Factual misstatement 3: Mistakenly taking the packaging and delivery workshop of NINEBELL (supplier) as its product assembly workshop to determine that its production has no technical content, thus misleading investors.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134620</wp:posOffset>
            </wp:positionV>
            <wp:extent cx="7132320" cy="289750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2897505"/>
                    </a:xfrm>
                    <a:prstGeom prst="rect">
                      <a:avLst/>
                    </a:prstGeom>
                    <a:noFill/>
                  </pic:spPr>
                </pic:pic>
              </a:graphicData>
            </a:graphic>
          </wp:anchor>
        </w:drawing>
      </w:r>
    </w:p>
    <w:p>
      <w:pPr>
        <w:sectPr>
          <w:pgSz w:w="11900" w:h="16838" w:orient="portrait"/>
          <w:cols w:equalWidth="0" w:num="1">
            <w:col w:w="11220"/>
          </w:cols>
          <w:pgMar w:left="340" w:top="121" w:right="339" w:bottom="1440" w:gutter="0" w:footer="0" w:header="0"/>
        </w:sectPr>
      </w:pPr>
    </w:p>
    <w:p>
      <w:pPr>
        <w:spacing w:after="0" w:line="247" w:lineRule="exact"/>
        <w:rPr>
          <w:sz w:val="20"/>
          <w:szCs w:val="20"/>
          <w:color w:val="auto"/>
        </w:rPr>
      </w:pPr>
    </w:p>
    <w:p>
      <w:pPr>
        <w:jc w:val="center"/>
        <w:ind w:right="680"/>
        <w:spacing w:after="0"/>
        <w:rPr>
          <w:sz w:val="20"/>
          <w:szCs w:val="20"/>
          <w:color w:val="auto"/>
        </w:rPr>
      </w:pPr>
      <w:r>
        <w:rPr>
          <w:rFonts w:ascii="Arial" w:cs="Arial" w:eastAsia="Arial" w:hAnsi="Arial"/>
          <w:sz w:val="18"/>
          <w:szCs w:val="18"/>
          <w:b w:val="1"/>
          <w:bCs w:val="1"/>
          <w:color w:val="auto"/>
        </w:rPr>
        <w:t>The photograph below, which the</w:t>
      </w:r>
    </w:p>
    <w:p>
      <w:pPr>
        <w:spacing w:after="0" w:line="27" w:lineRule="exact"/>
        <w:rPr>
          <w:sz w:val="20"/>
          <w:szCs w:val="20"/>
          <w:color w:val="auto"/>
        </w:rPr>
      </w:pPr>
    </w:p>
    <w:p>
      <w:pPr>
        <w:jc w:val="center"/>
        <w:ind w:right="680"/>
        <w:spacing w:after="0"/>
        <w:rPr>
          <w:sz w:val="20"/>
          <w:szCs w:val="20"/>
          <w:color w:val="auto"/>
        </w:rPr>
      </w:pPr>
      <w:r>
        <w:rPr>
          <w:rFonts w:ascii="Arial" w:cs="Arial" w:eastAsia="Arial" w:hAnsi="Arial"/>
          <w:sz w:val="17"/>
          <w:szCs w:val="17"/>
          <w:b w:val="1"/>
          <w:bCs w:val="1"/>
          <w:color w:val="auto"/>
        </w:rPr>
        <w:t>Short-sell Report describes as depicting</w:t>
      </w:r>
    </w:p>
    <w:p>
      <w:pPr>
        <w:spacing w:after="0" w:line="21" w:lineRule="exact"/>
        <w:rPr>
          <w:sz w:val="20"/>
          <w:szCs w:val="20"/>
          <w:color w:val="auto"/>
        </w:rPr>
      </w:pPr>
    </w:p>
    <w:p>
      <w:pPr>
        <w:jc w:val="center"/>
        <w:ind w:right="680"/>
        <w:spacing w:after="0"/>
        <w:rPr>
          <w:sz w:val="20"/>
          <w:szCs w:val="20"/>
          <w:color w:val="auto"/>
        </w:rPr>
      </w:pPr>
      <w:r>
        <w:rPr>
          <w:rFonts w:ascii="Arial" w:cs="Arial" w:eastAsia="Arial" w:hAnsi="Arial"/>
          <w:sz w:val="16"/>
          <w:szCs w:val="16"/>
          <w:b w:val="1"/>
          <w:bCs w:val="1"/>
          <w:color w:val="auto"/>
        </w:rPr>
        <w:t>NINEBELL’s product assembly workshop,</w:t>
      </w:r>
    </w:p>
    <w:p>
      <w:pPr>
        <w:spacing w:after="0" w:line="32" w:lineRule="exact"/>
        <w:rPr>
          <w:sz w:val="20"/>
          <w:szCs w:val="20"/>
          <w:color w:val="auto"/>
        </w:rPr>
      </w:pPr>
    </w:p>
    <w:p>
      <w:pPr>
        <w:jc w:val="center"/>
        <w:ind w:right="680"/>
        <w:spacing w:after="0"/>
        <w:rPr>
          <w:sz w:val="20"/>
          <w:szCs w:val="20"/>
          <w:color w:val="auto"/>
        </w:rPr>
      </w:pPr>
      <w:r>
        <w:rPr>
          <w:rFonts w:ascii="Arial" w:cs="Arial" w:eastAsia="Arial" w:hAnsi="Arial"/>
          <w:sz w:val="16"/>
          <w:szCs w:val="16"/>
          <w:b w:val="1"/>
          <w:bCs w:val="1"/>
          <w:color w:val="auto"/>
        </w:rPr>
        <w:t>actually shows NINEBELL’s packaging and</w:t>
      </w:r>
    </w:p>
    <w:p>
      <w:pPr>
        <w:spacing w:after="0" w:line="32" w:lineRule="exact"/>
        <w:rPr>
          <w:sz w:val="20"/>
          <w:szCs w:val="20"/>
          <w:color w:val="auto"/>
        </w:rPr>
      </w:pPr>
    </w:p>
    <w:p>
      <w:pPr>
        <w:jc w:val="center"/>
        <w:ind w:right="680"/>
        <w:spacing w:after="0"/>
        <w:rPr>
          <w:sz w:val="20"/>
          <w:szCs w:val="20"/>
          <w:color w:val="auto"/>
        </w:rPr>
      </w:pPr>
      <w:r>
        <w:rPr>
          <w:rFonts w:ascii="Arial" w:cs="Arial" w:eastAsia="Arial" w:hAnsi="Arial"/>
          <w:sz w:val="18"/>
          <w:szCs w:val="18"/>
          <w:b w:val="1"/>
          <w:bCs w:val="1"/>
          <w:color w:val="auto"/>
        </w:rPr>
        <w:t>delivery workshop.</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51" w:lineRule="exact"/>
        <w:rPr>
          <w:sz w:val="20"/>
          <w:szCs w:val="20"/>
          <w:color w:val="auto"/>
        </w:rPr>
      </w:pPr>
    </w:p>
    <w:p>
      <w:pPr>
        <w:jc w:val="center"/>
        <w:ind w:right="860"/>
        <w:spacing w:after="0"/>
        <w:rPr>
          <w:sz w:val="20"/>
          <w:szCs w:val="20"/>
          <w:color w:val="auto"/>
        </w:rPr>
      </w:pPr>
      <w:r>
        <w:rPr>
          <w:rFonts w:ascii="Arial" w:cs="Arial" w:eastAsia="Arial" w:hAnsi="Arial"/>
          <w:sz w:val="16"/>
          <w:szCs w:val="16"/>
          <w:b w:val="1"/>
          <w:bCs w:val="1"/>
          <w:color w:val="auto"/>
        </w:rPr>
        <w:t>The photograph below shows NINEBELL’S</w:t>
      </w:r>
    </w:p>
    <w:p>
      <w:pPr>
        <w:spacing w:after="0" w:line="50" w:lineRule="exact"/>
        <w:rPr>
          <w:sz w:val="20"/>
          <w:szCs w:val="20"/>
          <w:color w:val="auto"/>
        </w:rPr>
      </w:pPr>
    </w:p>
    <w:p>
      <w:pPr>
        <w:jc w:val="center"/>
        <w:ind w:right="860"/>
        <w:spacing w:after="0"/>
        <w:rPr>
          <w:sz w:val="20"/>
          <w:szCs w:val="20"/>
          <w:color w:val="auto"/>
        </w:rPr>
      </w:pPr>
      <w:r>
        <w:rPr>
          <w:rFonts w:ascii="Arial" w:cs="Arial" w:eastAsia="Arial" w:hAnsi="Arial"/>
          <w:sz w:val="18"/>
          <w:szCs w:val="18"/>
          <w:b w:val="1"/>
          <w:bCs w:val="1"/>
          <w:color w:val="auto"/>
        </w:rPr>
        <w:t>actual product assembly workshop.</w:t>
      </w:r>
    </w:p>
    <w:p>
      <w:pPr>
        <w:spacing w:after="0" w:line="524" w:lineRule="exact"/>
        <w:rPr>
          <w:sz w:val="20"/>
          <w:szCs w:val="20"/>
          <w:color w:val="auto"/>
        </w:rPr>
      </w:pPr>
    </w:p>
    <w:p>
      <w:pPr>
        <w:sectPr>
          <w:pgSz w:w="11900" w:h="16838" w:orient="portrait"/>
          <w:cols w:equalWidth="0" w:num="2">
            <w:col w:w="6280" w:space="720"/>
            <w:col w:w="4220"/>
          </w:cols>
          <w:pgMar w:left="340" w:top="121"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ind w:left="-20" w:firstLine="332"/>
        <w:spacing w:after="0" w:line="277" w:lineRule="auto"/>
        <w:tabs>
          <w:tab w:leader="none" w:pos="490" w:val="left"/>
        </w:tabs>
        <w:numPr>
          <w:ilvl w:val="0"/>
          <w:numId w:val="5"/>
        </w:numPr>
        <w:rPr>
          <w:rFonts w:ascii="Arial" w:cs="Arial" w:eastAsia="Arial" w:hAnsi="Arial"/>
          <w:sz w:val="18"/>
          <w:szCs w:val="18"/>
          <w:color w:val="auto"/>
        </w:rPr>
      </w:pPr>
      <w:r>
        <w:rPr>
          <w:rFonts w:ascii="Arial" w:cs="Arial" w:eastAsia="Arial" w:hAnsi="Arial"/>
          <w:sz w:val="18"/>
          <w:szCs w:val="18"/>
          <w:color w:val="auto"/>
        </w:rPr>
        <w:t>Factual misstatement 4: Mistakenly taking the linear motor purchased by NINEBELL (supplier) from Yaskawa as the main component robotic arm of the Issuer to conclude that NINEBELL never produced robotic arms, thus misleading investors.</w:t>
      </w:r>
    </w:p>
    <w:p>
      <w:pPr>
        <w:spacing w:after="0" w:line="36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8-4-1-4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38100</wp:posOffset>
            </wp:positionV>
            <wp:extent cx="713232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40" w:top="121" w:right="339" w:bottom="1440" w:gutter="0" w:footer="0" w:header="0"/>
          <w:type w:val="continuous"/>
        </w:sectPr>
      </w:pPr>
    </w:p>
    <w:bookmarkStart w:id="8" w:name="page9"/>
    <w:bookmarkEnd w:id="8"/>
    <w:p>
      <w:pPr>
        <w:jc w:val="both"/>
        <w:ind w:left="5300" w:right="2280"/>
        <w:spacing w:after="0" w:line="266" w:lineRule="auto"/>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859790</wp:posOffset>
            </wp:positionH>
            <wp:positionV relativeFrom="page">
              <wp:posOffset>88900</wp:posOffset>
            </wp:positionV>
            <wp:extent cx="5048885" cy="178308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5048885" cy="1783080"/>
                    </a:xfrm>
                    <a:prstGeom prst="rect">
                      <a:avLst/>
                    </a:prstGeom>
                    <a:noFill/>
                  </pic:spPr>
                </pic:pic>
              </a:graphicData>
            </a:graphic>
          </wp:anchor>
        </w:drawing>
        <w:t>JCAP uses this photograph to support its allegation that NINEBELL directly procures robotic arms from Yaskawa.</w:t>
      </w:r>
    </w:p>
    <w:p>
      <w:pPr>
        <w:spacing w:after="0" w:line="176" w:lineRule="exact"/>
        <w:rPr>
          <w:sz w:val="20"/>
          <w:szCs w:val="20"/>
          <w:color w:val="auto"/>
        </w:rPr>
      </w:pPr>
    </w:p>
    <w:p>
      <w:pPr>
        <w:ind w:left="5300" w:right="2340"/>
        <w:spacing w:after="0" w:line="256" w:lineRule="auto"/>
        <w:rPr>
          <w:sz w:val="20"/>
          <w:szCs w:val="20"/>
          <w:color w:val="auto"/>
        </w:rPr>
      </w:pPr>
      <w:r>
        <w:rPr>
          <w:rFonts w:ascii="Arial" w:cs="Arial" w:eastAsia="Arial" w:hAnsi="Arial"/>
          <w:sz w:val="18"/>
          <w:szCs w:val="18"/>
          <w:b w:val="1"/>
          <w:bCs w:val="1"/>
          <w:color w:val="auto"/>
        </w:rPr>
        <w:t>The readily apparent name “Linear Sigma Series” on the box demonstrates, however, that the box contains a linear motor, not a robotic arm, from Yaskawa. The linear motor is a component of the robotic arm produced by NINEBELL.</w:t>
      </w: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III. There are contradictions in the Short-sell Report.</w:t>
      </w:r>
    </w:p>
    <w:p>
      <w:pPr>
        <w:spacing w:after="0" w:line="256" w:lineRule="exact"/>
        <w:rPr>
          <w:sz w:val="20"/>
          <w:szCs w:val="20"/>
          <w:color w:val="auto"/>
        </w:rPr>
      </w:pPr>
    </w:p>
    <w:p>
      <w:pPr>
        <w:ind w:left="340"/>
        <w:spacing w:after="0"/>
        <w:rPr>
          <w:sz w:val="20"/>
          <w:szCs w:val="20"/>
          <w:color w:val="auto"/>
        </w:rPr>
      </w:pPr>
      <w:r>
        <w:rPr>
          <w:rFonts w:ascii="Arial" w:cs="Arial" w:eastAsia="Arial" w:hAnsi="Arial"/>
          <w:sz w:val="16"/>
          <w:szCs w:val="16"/>
          <w:color w:val="auto"/>
        </w:rPr>
        <w:t>The Short-sell Report on one hand alleges that the Company falsely increased its revenue and profit (e.g. Core Challenge 1: About Equipment Price</w:t>
      </w:r>
    </w:p>
    <w:p>
      <w:pPr>
        <w:spacing w:after="0" w:line="46" w:lineRule="exact"/>
        <w:rPr>
          <w:sz w:val="20"/>
          <w:szCs w:val="20"/>
          <w:color w:val="auto"/>
        </w:rPr>
      </w:pPr>
    </w:p>
    <w:p>
      <w:pPr>
        <w:spacing w:after="0"/>
        <w:rPr>
          <w:sz w:val="20"/>
          <w:szCs w:val="20"/>
          <w:color w:val="auto"/>
        </w:rPr>
      </w:pPr>
      <w:r>
        <w:rPr>
          <w:rFonts w:ascii="Arial" w:cs="Arial" w:eastAsia="Arial" w:hAnsi="Arial"/>
          <w:sz w:val="17"/>
          <w:szCs w:val="17"/>
          <w:color w:val="auto"/>
        </w:rPr>
        <w:t>and Core Challenge 2: About Gross Profit Margin), but on the other hand alleges the Company transferred or concealed revenue and profit (e.g. Core</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Challenge 3: About Agent and Other Challenge 12: About Sales Volume of Electroplating Equipment), with inherent contradictions between each other.</w:t>
      </w:r>
    </w:p>
    <w:p>
      <w:pPr>
        <w:spacing w:after="0" w:line="257" w:lineRule="exact"/>
        <w:rPr>
          <w:sz w:val="20"/>
          <w:szCs w:val="20"/>
          <w:color w:val="auto"/>
        </w:rPr>
      </w:pPr>
    </w:p>
    <w:p>
      <w:pPr>
        <w:jc w:val="both"/>
        <w:ind w:firstLine="324"/>
        <w:spacing w:after="0" w:line="282" w:lineRule="auto"/>
        <w:rPr>
          <w:sz w:val="20"/>
          <w:szCs w:val="20"/>
          <w:color w:val="auto"/>
        </w:rPr>
      </w:pPr>
      <w:r>
        <w:rPr>
          <w:rFonts w:ascii="Arial" w:cs="Arial" w:eastAsia="Arial" w:hAnsi="Arial"/>
          <w:sz w:val="18"/>
          <w:szCs w:val="18"/>
          <w:b w:val="1"/>
          <w:bCs w:val="1"/>
          <w:color w:val="auto"/>
        </w:rPr>
        <w:t>IV. JCAP, the party releasing the Short-sell Report, makes no warranty as to the information of the Short-sell Report, nor does it make any representation on the accuracy, timeliness or completeness of the information therein.</w:t>
      </w:r>
    </w:p>
    <w:p>
      <w:pPr>
        <w:spacing w:after="0" w:line="193" w:lineRule="exact"/>
        <w:rPr>
          <w:sz w:val="20"/>
          <w:szCs w:val="20"/>
          <w:color w:val="auto"/>
        </w:rPr>
      </w:pPr>
    </w:p>
    <w:p>
      <w:pPr>
        <w:jc w:val="both"/>
        <w:ind w:firstLine="324"/>
        <w:spacing w:after="0" w:line="287" w:lineRule="auto"/>
        <w:rPr>
          <w:sz w:val="20"/>
          <w:szCs w:val="20"/>
          <w:color w:val="auto"/>
        </w:rPr>
      </w:pPr>
      <w:r>
        <w:rPr>
          <w:rFonts w:ascii="Arial" w:cs="Arial" w:eastAsia="Arial" w:hAnsi="Arial"/>
          <w:sz w:val="16"/>
          <w:szCs w:val="16"/>
          <w:color w:val="auto"/>
        </w:rPr>
        <w:t>It is specified in the section under the heading “Term of Service” in the Short-sell Report that “as of the publication date of our reports and research, J Capital Research USA LLC may benefit from short positions a client has in all stocks (and/or options, swaps, and other derivatives related to the stock) and bonds covered herein, and therefore stands to realize significant gains in the event that the price of either declines....Such information is presented “as is,”</w:t>
      </w:r>
    </w:p>
    <w:p>
      <w:pPr>
        <w:spacing w:after="0" w:line="2" w:lineRule="exact"/>
        <w:rPr>
          <w:sz w:val="20"/>
          <w:szCs w:val="20"/>
          <w:color w:val="auto"/>
        </w:rPr>
      </w:pPr>
    </w:p>
    <w:p>
      <w:pPr>
        <w:jc w:val="both"/>
        <w:spacing w:after="0" w:line="260" w:lineRule="auto"/>
        <w:rPr>
          <w:sz w:val="20"/>
          <w:szCs w:val="20"/>
          <w:color w:val="auto"/>
        </w:rPr>
      </w:pPr>
      <w:r>
        <w:rPr>
          <w:rFonts w:ascii="Arial" w:cs="Arial" w:eastAsia="Arial" w:hAnsi="Arial"/>
          <w:sz w:val="18"/>
          <w:szCs w:val="18"/>
          <w:color w:val="auto"/>
        </w:rPr>
        <w:t>without warranty of any kind, whether express or implied. J Capital Research USA LLC makes no representation, express or implied, as to the accuracy, timeliness, or completeness of any such information or with regard to the results to be obtained from its use.”</w:t>
      </w:r>
    </w:p>
    <w:p>
      <w:pPr>
        <w:spacing w:after="0" w:line="208"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V. Overview of the Short Seller JCAP</w:t>
      </w:r>
    </w:p>
    <w:p>
      <w:pPr>
        <w:spacing w:after="0" w:line="256"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7"/>
          <w:szCs w:val="17"/>
          <w:color w:val="auto"/>
        </w:rPr>
        <w:t>The following is from JCAP’s website: “J Capital Research is an American company that publishes highly scrutinized public company research reports based on in-depth and field preliminary researches. The founders are Anne Stevenson Yang and Tim Murray. Anne has lived in China for 25 years and Tim has lived in China for 18 years, mainly engaged in media, science and technology. They founded J Capital in 2010. ”</w:t>
      </w:r>
    </w:p>
    <w:p>
      <w:pPr>
        <w:spacing w:after="0" w:line="192" w:lineRule="exact"/>
        <w:rPr>
          <w:sz w:val="20"/>
          <w:szCs w:val="20"/>
          <w:color w:val="auto"/>
        </w:rPr>
      </w:pPr>
    </w:p>
    <w:p>
      <w:pPr>
        <w:jc w:val="both"/>
        <w:ind w:firstLine="324"/>
        <w:spacing w:after="0" w:line="301" w:lineRule="auto"/>
        <w:rPr>
          <w:sz w:val="20"/>
          <w:szCs w:val="20"/>
          <w:color w:val="auto"/>
        </w:rPr>
      </w:pPr>
      <w:r>
        <w:rPr>
          <w:rFonts w:ascii="Arial" w:cs="Arial" w:eastAsia="Arial" w:hAnsi="Arial"/>
          <w:sz w:val="16"/>
          <w:szCs w:val="16"/>
          <w:color w:val="auto"/>
        </w:rPr>
        <w:t>According to the article entitled “Corruption is incentive plus stupidity,” published in August 2020 by Global Capital, “J Capital’s expertise lies in particular in uncovering details via primary research of Chinese companies listed in North America or Europe, or alternatively international companies that are growing rapidly in China.” The above article quotes the view of JCAP founder Anne Stevenson-Yang: “I would challenge anybody to name a company, whether Chinese domiciled or foreign domiciled, that gets more than 30% of its revenue from China that does not have some level of corruption.”</w:t>
      </w:r>
    </w:p>
    <w:p>
      <w:pPr>
        <w:spacing w:after="0" w:line="35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8-4-1-5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9" w:name="page10"/>
    <w:bookmarkEnd w:id="9"/>
    <w:p>
      <w:pPr>
        <w:jc w:val="both"/>
        <w:ind w:firstLine="324"/>
        <w:spacing w:after="0" w:line="277" w:lineRule="auto"/>
        <w:rPr>
          <w:sz w:val="20"/>
          <w:szCs w:val="20"/>
          <w:color w:val="auto"/>
        </w:rPr>
      </w:pPr>
      <w:r>
        <w:rPr>
          <w:rFonts w:ascii="Arial" w:cs="Arial" w:eastAsia="Arial" w:hAnsi="Arial"/>
          <w:sz w:val="18"/>
          <w:szCs w:val="18"/>
          <w:color w:val="auto"/>
        </w:rPr>
        <w:t>Based on information obtained from JCAP’s website, since 2017 JCAP has issued comprehensive negative reports on the following 16 listed companies with specific information as below:</w:t>
      </w:r>
    </w:p>
    <w:p>
      <w:pPr>
        <w:spacing w:after="0" w:line="192" w:lineRule="exact"/>
        <w:rPr>
          <w:sz w:val="20"/>
          <w:szCs w:val="20"/>
          <w:color w:val="auto"/>
        </w:rPr>
      </w:pPr>
    </w:p>
    <w:tbl>
      <w:tblPr>
        <w:tblLayout w:type="fixed"/>
        <w:tblInd w:w="10" w:type="dxa"/>
        <w:tblCellMar>
          <w:top w:w="0" w:type="dxa"/>
          <w:left w:w="0" w:type="dxa"/>
          <w:bottom w:w="0" w:type="dxa"/>
          <w:right w:w="0" w:type="dxa"/>
        </w:tblCellMar>
      </w:tblPr>
      <w:tr>
        <w:trPr>
          <w:trHeight w:val="225"/>
        </w:trPr>
        <w:tc>
          <w:tcPr>
            <w:tcW w:w="1880" w:type="dxa"/>
            <w:vAlign w:val="bottom"/>
            <w:tcBorders>
              <w:top w:val="single" w:sz="8" w:color="auto"/>
              <w:left w:val="single" w:sz="8" w:color="auto"/>
              <w:right w:val="single" w:sz="8" w:color="auto"/>
            </w:tcBorders>
          </w:tcPr>
          <w:p>
            <w:pPr>
              <w:spacing w:after="0"/>
              <w:rPr>
                <w:sz w:val="19"/>
                <w:szCs w:val="19"/>
                <w:color w:val="auto"/>
              </w:rPr>
            </w:pPr>
          </w:p>
        </w:tc>
        <w:tc>
          <w:tcPr>
            <w:tcW w:w="1120" w:type="dxa"/>
            <w:vAlign w:val="bottom"/>
            <w:tcBorders>
              <w:top w:val="single" w:sz="8" w:color="auto"/>
              <w:right w:val="single" w:sz="8" w:color="auto"/>
            </w:tcBorders>
          </w:tcPr>
          <w:p>
            <w:pPr>
              <w:spacing w:after="0"/>
              <w:rPr>
                <w:sz w:val="19"/>
                <w:szCs w:val="19"/>
                <w:color w:val="auto"/>
              </w:rPr>
            </w:pPr>
          </w:p>
        </w:tc>
        <w:tc>
          <w:tcPr>
            <w:tcW w:w="136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94"/>
              </w:rPr>
              <w:t>Whether</w:t>
            </w:r>
          </w:p>
        </w:tc>
        <w:tc>
          <w:tcPr>
            <w:tcW w:w="2200" w:type="dxa"/>
            <w:vAlign w:val="bottom"/>
            <w:tcBorders>
              <w:top w:val="single" w:sz="8" w:color="auto"/>
              <w:right w:val="single" w:sz="8" w:color="auto"/>
            </w:tcBorders>
          </w:tcPr>
          <w:p>
            <w:pPr>
              <w:spacing w:after="0"/>
              <w:rPr>
                <w:sz w:val="19"/>
                <w:szCs w:val="19"/>
                <w:color w:val="auto"/>
              </w:rPr>
            </w:pPr>
          </w:p>
        </w:tc>
        <w:tc>
          <w:tcPr>
            <w:tcW w:w="1580" w:type="dxa"/>
            <w:vAlign w:val="bottom"/>
            <w:tcBorders>
              <w:top w:val="single" w:sz="8" w:color="auto"/>
              <w:right w:val="single" w:sz="8" w:color="auto"/>
            </w:tcBorders>
            <w:vMerge w:val="restart"/>
          </w:tcPr>
          <w:p>
            <w:pPr>
              <w:jc w:val="center"/>
              <w:spacing w:after="0"/>
              <w:rPr>
                <w:sz w:val="20"/>
                <w:szCs w:val="20"/>
                <w:color w:val="auto"/>
              </w:rPr>
            </w:pPr>
            <w:r>
              <w:rPr>
                <w:rFonts w:ascii="Arial" w:cs="Arial" w:eastAsia="Arial" w:hAnsi="Arial"/>
                <w:sz w:val="18"/>
                <w:szCs w:val="18"/>
                <w:b w:val="1"/>
                <w:bCs w:val="1"/>
                <w:color w:val="auto"/>
                <w:w w:val="90"/>
              </w:rPr>
              <w:t>Stock price</w:t>
            </w:r>
          </w:p>
        </w:tc>
        <w:tc>
          <w:tcPr>
            <w:tcW w:w="158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Stock</w:t>
            </w:r>
          </w:p>
        </w:tc>
        <w:tc>
          <w:tcPr>
            <w:tcW w:w="1520" w:type="dxa"/>
            <w:vAlign w:val="bottom"/>
            <w:tcBorders>
              <w:top w:val="single" w:sz="8" w:color="auto"/>
              <w:right w:val="single" w:sz="8" w:color="auto"/>
            </w:tcBorders>
            <w:vMerge w:val="restart"/>
          </w:tcPr>
          <w:p>
            <w:pPr>
              <w:ind w:left="320"/>
              <w:spacing w:after="0"/>
              <w:rPr>
                <w:sz w:val="20"/>
                <w:szCs w:val="20"/>
                <w:color w:val="auto"/>
              </w:rPr>
            </w:pPr>
            <w:r>
              <w:rPr>
                <w:rFonts w:ascii="Arial" w:cs="Arial" w:eastAsia="Arial" w:hAnsi="Arial"/>
                <w:sz w:val="18"/>
                <w:szCs w:val="18"/>
                <w:b w:val="1"/>
                <w:bCs w:val="1"/>
                <w:color w:val="auto"/>
              </w:rPr>
              <w:t>Stock price</w:t>
            </w:r>
          </w:p>
        </w:tc>
        <w:tc>
          <w:tcPr>
            <w:tcW w:w="0" w:type="dxa"/>
            <w:vAlign w:val="bottom"/>
          </w:tcPr>
          <w:p>
            <w:pPr>
              <w:spacing w:after="0"/>
              <w:rPr>
                <w:sz w:val="1"/>
                <w:szCs w:val="1"/>
                <w:color w:val="auto"/>
              </w:rPr>
            </w:pPr>
          </w:p>
        </w:tc>
      </w:tr>
      <w:tr>
        <w:trPr>
          <w:trHeight w:val="108"/>
        </w:trPr>
        <w:tc>
          <w:tcPr>
            <w:tcW w:w="1880" w:type="dxa"/>
            <w:vAlign w:val="bottom"/>
            <w:tcBorders>
              <w:left w:val="single" w:sz="8" w:color="auto"/>
              <w:right w:val="single" w:sz="8" w:color="auto"/>
            </w:tcBorders>
          </w:tcPr>
          <w:p>
            <w:pPr>
              <w:spacing w:after="0"/>
              <w:rPr>
                <w:sz w:val="9"/>
                <w:szCs w:val="9"/>
                <w:color w:val="auto"/>
              </w:rPr>
            </w:pPr>
          </w:p>
        </w:tc>
        <w:tc>
          <w:tcPr>
            <w:tcW w:w="11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b w:val="1"/>
                <w:bCs w:val="1"/>
                <w:color w:val="auto"/>
                <w:w w:val="89"/>
              </w:rPr>
              <w:t>Stock</w:t>
            </w:r>
          </w:p>
        </w:tc>
        <w:tc>
          <w:tcPr>
            <w:tcW w:w="136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b w:val="1"/>
                <w:bCs w:val="1"/>
                <w:color w:val="auto"/>
                <w:w w:val="90"/>
              </w:rPr>
              <w:t>it is</w:t>
            </w:r>
          </w:p>
        </w:tc>
        <w:tc>
          <w:tcPr>
            <w:tcW w:w="22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b w:val="1"/>
                <w:bCs w:val="1"/>
                <w:color w:val="auto"/>
                <w:w w:val="91"/>
              </w:rPr>
              <w:t>Date of JCAP’s</w:t>
            </w:r>
          </w:p>
        </w:tc>
        <w:tc>
          <w:tcPr>
            <w:tcW w:w="1580" w:type="dxa"/>
            <w:vAlign w:val="bottom"/>
            <w:tcBorders>
              <w:right w:val="single" w:sz="8" w:color="auto"/>
            </w:tcBorders>
            <w:vMerge w:val="continue"/>
          </w:tcPr>
          <w:p>
            <w:pPr>
              <w:spacing w:after="0"/>
              <w:rPr>
                <w:sz w:val="9"/>
                <w:szCs w:val="9"/>
                <w:color w:val="auto"/>
              </w:rPr>
            </w:pPr>
          </w:p>
        </w:tc>
        <w:tc>
          <w:tcPr>
            <w:tcW w:w="15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b w:val="1"/>
                <w:bCs w:val="1"/>
                <w:color w:val="auto"/>
                <w:w w:val="88"/>
              </w:rPr>
              <w:t>reaction</w:t>
            </w:r>
          </w:p>
        </w:tc>
        <w:tc>
          <w:tcPr>
            <w:tcW w:w="1520" w:type="dxa"/>
            <w:vAlign w:val="bottom"/>
            <w:tcBorders>
              <w:right w:val="single" w:sz="8" w:color="auto"/>
            </w:tcBorders>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1880" w:type="dxa"/>
            <w:vAlign w:val="bottom"/>
            <w:tcBorders>
              <w:left w:val="single" w:sz="8" w:color="auto"/>
              <w:right w:val="single" w:sz="8" w:color="auto"/>
            </w:tcBorders>
            <w:vMerge w:val="restart"/>
          </w:tcPr>
          <w:p>
            <w:pPr>
              <w:ind w:left="560"/>
              <w:spacing w:after="0"/>
              <w:rPr>
                <w:sz w:val="20"/>
                <w:szCs w:val="20"/>
                <w:color w:val="auto"/>
              </w:rPr>
            </w:pPr>
            <w:r>
              <w:rPr>
                <w:rFonts w:ascii="Arial" w:cs="Arial" w:eastAsia="Arial" w:hAnsi="Arial"/>
                <w:sz w:val="18"/>
                <w:szCs w:val="18"/>
                <w:b w:val="1"/>
                <w:bCs w:val="1"/>
                <w:color w:val="auto"/>
              </w:rPr>
              <w:t>Company</w:t>
            </w:r>
          </w:p>
        </w:tc>
        <w:tc>
          <w:tcPr>
            <w:tcW w:w="1120" w:type="dxa"/>
            <w:vAlign w:val="bottom"/>
            <w:tcBorders>
              <w:right w:val="single" w:sz="8" w:color="auto"/>
            </w:tcBorders>
            <w:vMerge w:val="continue"/>
          </w:tcPr>
          <w:p>
            <w:pPr>
              <w:spacing w:after="0"/>
              <w:rPr>
                <w:sz w:val="9"/>
                <w:szCs w:val="9"/>
                <w:color w:val="auto"/>
              </w:rPr>
            </w:pPr>
          </w:p>
        </w:tc>
        <w:tc>
          <w:tcPr>
            <w:tcW w:w="1360" w:type="dxa"/>
            <w:vAlign w:val="bottom"/>
            <w:tcBorders>
              <w:right w:val="single" w:sz="8" w:color="auto"/>
            </w:tcBorders>
            <w:vMerge w:val="continue"/>
          </w:tcPr>
          <w:p>
            <w:pPr>
              <w:spacing w:after="0"/>
              <w:rPr>
                <w:sz w:val="9"/>
                <w:szCs w:val="9"/>
                <w:color w:val="auto"/>
              </w:rPr>
            </w:pPr>
          </w:p>
        </w:tc>
        <w:tc>
          <w:tcPr>
            <w:tcW w:w="2200" w:type="dxa"/>
            <w:vAlign w:val="bottom"/>
            <w:tcBorders>
              <w:right w:val="single" w:sz="8" w:color="auto"/>
            </w:tcBorders>
            <w:vMerge w:val="continue"/>
          </w:tcPr>
          <w:p>
            <w:pPr>
              <w:spacing w:after="0"/>
              <w:rPr>
                <w:sz w:val="9"/>
                <w:szCs w:val="9"/>
                <w:color w:val="auto"/>
              </w:rPr>
            </w:pPr>
          </w:p>
        </w:tc>
        <w:tc>
          <w:tcPr>
            <w:tcW w:w="15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b w:val="1"/>
                <w:bCs w:val="1"/>
                <w:color w:val="auto"/>
                <w:w w:val="90"/>
              </w:rPr>
              <w:t>on the report</w:t>
            </w:r>
          </w:p>
        </w:tc>
        <w:tc>
          <w:tcPr>
            <w:tcW w:w="1580" w:type="dxa"/>
            <w:vAlign w:val="bottom"/>
            <w:tcBorders>
              <w:right w:val="single" w:sz="8" w:color="auto"/>
            </w:tcBorders>
            <w:vMerge w:val="continue"/>
          </w:tcPr>
          <w:p>
            <w:pPr>
              <w:spacing w:after="0"/>
              <w:rPr>
                <w:sz w:val="9"/>
                <w:szCs w:val="9"/>
                <w:color w:val="auto"/>
              </w:rPr>
            </w:pPr>
          </w:p>
        </w:tc>
        <w:tc>
          <w:tcPr>
            <w:tcW w:w="1520" w:type="dxa"/>
            <w:vAlign w:val="bottom"/>
            <w:tcBorders>
              <w:right w:val="single" w:sz="8" w:color="auto"/>
            </w:tcBorders>
            <w:vMerge w:val="restart"/>
          </w:tcPr>
          <w:p>
            <w:pPr>
              <w:ind w:left="320"/>
              <w:spacing w:after="0"/>
              <w:rPr>
                <w:sz w:val="20"/>
                <w:szCs w:val="20"/>
                <w:color w:val="auto"/>
              </w:rPr>
            </w:pPr>
            <w:r>
              <w:rPr>
                <w:rFonts w:ascii="Arial" w:cs="Arial" w:eastAsia="Arial" w:hAnsi="Arial"/>
                <w:sz w:val="18"/>
                <w:szCs w:val="18"/>
                <w:b w:val="1"/>
                <w:bCs w:val="1"/>
                <w:color w:val="auto"/>
              </w:rPr>
              <w:t>on Nov. 20,</w:t>
            </w:r>
          </w:p>
        </w:tc>
        <w:tc>
          <w:tcPr>
            <w:tcW w:w="0" w:type="dxa"/>
            <w:vAlign w:val="bottom"/>
          </w:tcPr>
          <w:p>
            <w:pPr>
              <w:spacing w:after="0"/>
              <w:rPr>
                <w:sz w:val="1"/>
                <w:szCs w:val="1"/>
                <w:color w:val="auto"/>
              </w:rPr>
            </w:pPr>
          </w:p>
        </w:tc>
      </w:tr>
      <w:tr>
        <w:trPr>
          <w:trHeight w:val="108"/>
        </w:trPr>
        <w:tc>
          <w:tcPr>
            <w:tcW w:w="1880" w:type="dxa"/>
            <w:vAlign w:val="bottom"/>
            <w:tcBorders>
              <w:left w:val="single" w:sz="8" w:color="auto"/>
              <w:right w:val="single" w:sz="8" w:color="auto"/>
            </w:tcBorders>
            <w:vMerge w:val="continue"/>
          </w:tcPr>
          <w:p>
            <w:pPr>
              <w:spacing w:after="0"/>
              <w:rPr>
                <w:sz w:val="9"/>
                <w:szCs w:val="9"/>
                <w:color w:val="auto"/>
              </w:rPr>
            </w:pPr>
          </w:p>
        </w:tc>
        <w:tc>
          <w:tcPr>
            <w:tcW w:w="11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b w:val="1"/>
                <w:bCs w:val="1"/>
                <w:color w:val="auto"/>
                <w:w w:val="88"/>
              </w:rPr>
              <w:t>Code</w:t>
            </w:r>
          </w:p>
        </w:tc>
        <w:tc>
          <w:tcPr>
            <w:tcW w:w="136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b w:val="1"/>
                <w:bCs w:val="1"/>
                <w:color w:val="auto"/>
                <w:w w:val="89"/>
              </w:rPr>
              <w:t>operated</w:t>
            </w:r>
          </w:p>
        </w:tc>
        <w:tc>
          <w:tcPr>
            <w:tcW w:w="22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b w:val="1"/>
                <w:bCs w:val="1"/>
                <w:color w:val="auto"/>
                <w:w w:val="92"/>
              </w:rPr>
              <w:t>report</w:t>
            </w:r>
          </w:p>
        </w:tc>
        <w:tc>
          <w:tcPr>
            <w:tcW w:w="1580" w:type="dxa"/>
            <w:vAlign w:val="bottom"/>
            <w:tcBorders>
              <w:right w:val="single" w:sz="8" w:color="auto"/>
            </w:tcBorders>
            <w:vMerge w:val="continue"/>
          </w:tcPr>
          <w:p>
            <w:pPr>
              <w:spacing w:after="0"/>
              <w:rPr>
                <w:sz w:val="9"/>
                <w:szCs w:val="9"/>
                <w:color w:val="auto"/>
              </w:rPr>
            </w:pPr>
          </w:p>
        </w:tc>
        <w:tc>
          <w:tcPr>
            <w:tcW w:w="15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b w:val="1"/>
                <w:bCs w:val="1"/>
                <w:color w:val="auto"/>
                <w:w w:val="92"/>
              </w:rPr>
              <w:t>after the</w:t>
            </w:r>
          </w:p>
        </w:tc>
        <w:tc>
          <w:tcPr>
            <w:tcW w:w="1520" w:type="dxa"/>
            <w:vAlign w:val="bottom"/>
            <w:tcBorders>
              <w:right w:val="single" w:sz="8" w:color="auto"/>
            </w:tcBorders>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1880" w:type="dxa"/>
            <w:vAlign w:val="bottom"/>
            <w:tcBorders>
              <w:left w:val="single" w:sz="8" w:color="auto"/>
              <w:right w:val="single" w:sz="8" w:color="auto"/>
            </w:tcBorders>
          </w:tcPr>
          <w:p>
            <w:pPr>
              <w:spacing w:after="0"/>
              <w:rPr>
                <w:sz w:val="9"/>
                <w:szCs w:val="9"/>
                <w:color w:val="auto"/>
              </w:rPr>
            </w:pPr>
          </w:p>
        </w:tc>
        <w:tc>
          <w:tcPr>
            <w:tcW w:w="1120" w:type="dxa"/>
            <w:vAlign w:val="bottom"/>
            <w:tcBorders>
              <w:right w:val="single" w:sz="8" w:color="auto"/>
            </w:tcBorders>
            <w:vMerge w:val="continue"/>
          </w:tcPr>
          <w:p>
            <w:pPr>
              <w:spacing w:after="0"/>
              <w:rPr>
                <w:sz w:val="9"/>
                <w:szCs w:val="9"/>
                <w:color w:val="auto"/>
              </w:rPr>
            </w:pPr>
          </w:p>
        </w:tc>
        <w:tc>
          <w:tcPr>
            <w:tcW w:w="1360" w:type="dxa"/>
            <w:vAlign w:val="bottom"/>
            <w:tcBorders>
              <w:right w:val="single" w:sz="8" w:color="auto"/>
            </w:tcBorders>
            <w:vMerge w:val="continue"/>
          </w:tcPr>
          <w:p>
            <w:pPr>
              <w:spacing w:after="0"/>
              <w:rPr>
                <w:sz w:val="9"/>
                <w:szCs w:val="9"/>
                <w:color w:val="auto"/>
              </w:rPr>
            </w:pPr>
          </w:p>
        </w:tc>
        <w:tc>
          <w:tcPr>
            <w:tcW w:w="2200" w:type="dxa"/>
            <w:vAlign w:val="bottom"/>
            <w:tcBorders>
              <w:right w:val="single" w:sz="8" w:color="auto"/>
            </w:tcBorders>
            <w:vMerge w:val="continue"/>
          </w:tcPr>
          <w:p>
            <w:pPr>
              <w:spacing w:after="0"/>
              <w:rPr>
                <w:sz w:val="9"/>
                <w:szCs w:val="9"/>
                <w:color w:val="auto"/>
              </w:rPr>
            </w:pPr>
          </w:p>
        </w:tc>
        <w:tc>
          <w:tcPr>
            <w:tcW w:w="15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b w:val="1"/>
                <w:bCs w:val="1"/>
                <w:color w:val="auto"/>
                <w:w w:val="86"/>
              </w:rPr>
              <w:t>date</w:t>
            </w:r>
          </w:p>
        </w:tc>
        <w:tc>
          <w:tcPr>
            <w:tcW w:w="1580" w:type="dxa"/>
            <w:vAlign w:val="bottom"/>
            <w:tcBorders>
              <w:right w:val="single" w:sz="8" w:color="auto"/>
            </w:tcBorders>
            <w:vMerge w:val="continue"/>
          </w:tcPr>
          <w:p>
            <w:pPr>
              <w:spacing w:after="0"/>
              <w:rPr>
                <w:sz w:val="9"/>
                <w:szCs w:val="9"/>
                <w:color w:val="auto"/>
              </w:rPr>
            </w:pPr>
          </w:p>
        </w:tc>
        <w:tc>
          <w:tcPr>
            <w:tcW w:w="15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b w:val="1"/>
                <w:bCs w:val="1"/>
                <w:color w:val="auto"/>
                <w:w w:val="89"/>
              </w:rPr>
              <w:t>2020</w:t>
            </w:r>
          </w:p>
        </w:tc>
        <w:tc>
          <w:tcPr>
            <w:tcW w:w="0" w:type="dxa"/>
            <w:vAlign w:val="bottom"/>
          </w:tcPr>
          <w:p>
            <w:pPr>
              <w:spacing w:after="0"/>
              <w:rPr>
                <w:sz w:val="1"/>
                <w:szCs w:val="1"/>
                <w:color w:val="auto"/>
              </w:rPr>
            </w:pPr>
          </w:p>
        </w:tc>
      </w:tr>
      <w:tr>
        <w:trPr>
          <w:trHeight w:val="126"/>
        </w:trPr>
        <w:tc>
          <w:tcPr>
            <w:tcW w:w="1880" w:type="dxa"/>
            <w:vAlign w:val="bottom"/>
            <w:tcBorders>
              <w:left w:val="single" w:sz="8" w:color="auto"/>
              <w:right w:val="single" w:sz="8" w:color="auto"/>
            </w:tcBorders>
          </w:tcPr>
          <w:p>
            <w:pPr>
              <w:spacing w:after="0"/>
              <w:rPr>
                <w:sz w:val="10"/>
                <w:szCs w:val="10"/>
                <w:color w:val="auto"/>
              </w:rPr>
            </w:pPr>
          </w:p>
        </w:tc>
        <w:tc>
          <w:tcPr>
            <w:tcW w:w="1120" w:type="dxa"/>
            <w:vAlign w:val="bottom"/>
            <w:tcBorders>
              <w:right w:val="single" w:sz="8" w:color="auto"/>
            </w:tcBorders>
          </w:tcPr>
          <w:p>
            <w:pPr>
              <w:spacing w:after="0"/>
              <w:rPr>
                <w:sz w:val="10"/>
                <w:szCs w:val="10"/>
                <w:color w:val="auto"/>
              </w:rPr>
            </w:pPr>
          </w:p>
        </w:tc>
        <w:tc>
          <w:tcPr>
            <w:tcW w:w="136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b w:val="1"/>
                <w:bCs w:val="1"/>
                <w:color w:val="auto"/>
                <w:w w:val="92"/>
              </w:rPr>
              <w:t>in China</w:t>
            </w:r>
          </w:p>
        </w:tc>
        <w:tc>
          <w:tcPr>
            <w:tcW w:w="2200" w:type="dxa"/>
            <w:vAlign w:val="bottom"/>
            <w:tcBorders>
              <w:right w:val="single" w:sz="8" w:color="auto"/>
            </w:tcBorders>
          </w:tcPr>
          <w:p>
            <w:pPr>
              <w:spacing w:after="0"/>
              <w:rPr>
                <w:sz w:val="10"/>
                <w:szCs w:val="10"/>
                <w:color w:val="auto"/>
              </w:rPr>
            </w:pPr>
          </w:p>
        </w:tc>
        <w:tc>
          <w:tcPr>
            <w:tcW w:w="1580" w:type="dxa"/>
            <w:vAlign w:val="bottom"/>
            <w:tcBorders>
              <w:right w:val="single" w:sz="8" w:color="auto"/>
            </w:tcBorders>
            <w:vMerge w:val="continue"/>
          </w:tcPr>
          <w:p>
            <w:pPr>
              <w:spacing w:after="0"/>
              <w:rPr>
                <w:sz w:val="10"/>
                <w:szCs w:val="10"/>
                <w:color w:val="auto"/>
              </w:rPr>
            </w:pPr>
          </w:p>
        </w:tc>
        <w:tc>
          <w:tcPr>
            <w:tcW w:w="15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b w:val="1"/>
                <w:bCs w:val="1"/>
                <w:color w:val="auto"/>
                <w:w w:val="92"/>
              </w:rPr>
              <w:t>report</w:t>
            </w:r>
          </w:p>
        </w:tc>
        <w:tc>
          <w:tcPr>
            <w:tcW w:w="1520" w:type="dxa"/>
            <w:vAlign w:val="bottom"/>
            <w:tcBorders>
              <w:right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15"/>
        </w:trPr>
        <w:tc>
          <w:tcPr>
            <w:tcW w:w="1880" w:type="dxa"/>
            <w:vAlign w:val="bottom"/>
            <w:tcBorders>
              <w:left w:val="single" w:sz="8" w:color="auto"/>
              <w:bottom w:val="single" w:sz="8" w:color="auto"/>
              <w:right w:val="single" w:sz="8" w:color="auto"/>
            </w:tcBorders>
          </w:tcPr>
          <w:p>
            <w:pPr>
              <w:spacing w:after="0"/>
              <w:rPr>
                <w:sz w:val="10"/>
                <w:szCs w:val="10"/>
                <w:color w:val="auto"/>
              </w:rPr>
            </w:pPr>
          </w:p>
        </w:tc>
        <w:tc>
          <w:tcPr>
            <w:tcW w:w="1120" w:type="dxa"/>
            <w:vAlign w:val="bottom"/>
            <w:tcBorders>
              <w:bottom w:val="single" w:sz="8" w:color="auto"/>
              <w:right w:val="single" w:sz="8" w:color="auto"/>
            </w:tcBorders>
          </w:tcPr>
          <w:p>
            <w:pPr>
              <w:spacing w:after="0"/>
              <w:rPr>
                <w:sz w:val="10"/>
                <w:szCs w:val="10"/>
                <w:color w:val="auto"/>
              </w:rPr>
            </w:pPr>
          </w:p>
        </w:tc>
        <w:tc>
          <w:tcPr>
            <w:tcW w:w="1360" w:type="dxa"/>
            <w:vAlign w:val="bottom"/>
            <w:tcBorders>
              <w:bottom w:val="single" w:sz="8" w:color="auto"/>
              <w:right w:val="single" w:sz="8" w:color="auto"/>
            </w:tcBorders>
            <w:vMerge w:val="continue"/>
          </w:tcPr>
          <w:p>
            <w:pPr>
              <w:spacing w:after="0"/>
              <w:rPr>
                <w:sz w:val="10"/>
                <w:szCs w:val="10"/>
                <w:color w:val="auto"/>
              </w:rPr>
            </w:pPr>
          </w:p>
        </w:tc>
        <w:tc>
          <w:tcPr>
            <w:tcW w:w="2200" w:type="dxa"/>
            <w:vAlign w:val="bottom"/>
            <w:tcBorders>
              <w:bottom w:val="single" w:sz="8" w:color="auto"/>
              <w:right w:val="single" w:sz="8" w:color="auto"/>
            </w:tcBorders>
          </w:tcPr>
          <w:p>
            <w:pPr>
              <w:spacing w:after="0"/>
              <w:rPr>
                <w:sz w:val="10"/>
                <w:szCs w:val="10"/>
                <w:color w:val="auto"/>
              </w:rPr>
            </w:pPr>
          </w:p>
        </w:tc>
        <w:tc>
          <w:tcPr>
            <w:tcW w:w="1580" w:type="dxa"/>
            <w:vAlign w:val="bottom"/>
            <w:tcBorders>
              <w:bottom w:val="single" w:sz="8" w:color="auto"/>
              <w:right w:val="single" w:sz="8" w:color="auto"/>
            </w:tcBorders>
          </w:tcPr>
          <w:p>
            <w:pPr>
              <w:spacing w:after="0"/>
              <w:rPr>
                <w:sz w:val="10"/>
                <w:szCs w:val="10"/>
                <w:color w:val="auto"/>
              </w:rPr>
            </w:pPr>
          </w:p>
        </w:tc>
        <w:tc>
          <w:tcPr>
            <w:tcW w:w="1580" w:type="dxa"/>
            <w:vAlign w:val="bottom"/>
            <w:tcBorders>
              <w:bottom w:val="single" w:sz="8" w:color="auto"/>
              <w:right w:val="single" w:sz="8" w:color="auto"/>
            </w:tcBorders>
            <w:vMerge w:val="continue"/>
          </w:tcPr>
          <w:p>
            <w:pPr>
              <w:spacing w:after="0"/>
              <w:rPr>
                <w:sz w:val="10"/>
                <w:szCs w:val="10"/>
                <w:color w:val="auto"/>
              </w:rPr>
            </w:pPr>
          </w:p>
        </w:tc>
        <w:tc>
          <w:tcPr>
            <w:tcW w:w="1520" w:type="dxa"/>
            <w:vAlign w:val="bottom"/>
            <w:tcBorders>
              <w:bottom w:val="single" w:sz="8" w:color="auto"/>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202"/>
        </w:trPr>
        <w:tc>
          <w:tcPr>
            <w:tcW w:w="1880" w:type="dxa"/>
            <w:vAlign w:val="bottom"/>
            <w:tcBorders>
              <w:left w:val="single" w:sz="8" w:color="auto"/>
              <w:right w:val="single" w:sz="8" w:color="auto"/>
            </w:tcBorders>
          </w:tcPr>
          <w:p>
            <w:pPr>
              <w:ind w:left="40"/>
              <w:spacing w:after="0" w:line="201" w:lineRule="exact"/>
              <w:rPr>
                <w:sz w:val="20"/>
                <w:szCs w:val="20"/>
                <w:color w:val="auto"/>
              </w:rPr>
            </w:pPr>
            <w:r>
              <w:rPr>
                <w:rFonts w:ascii="Arial" w:cs="Arial" w:eastAsia="Arial" w:hAnsi="Arial"/>
                <w:sz w:val="18"/>
                <w:szCs w:val="18"/>
                <w:color w:val="auto"/>
              </w:rPr>
              <w:t>Northern</w:t>
            </w:r>
          </w:p>
        </w:tc>
        <w:tc>
          <w:tcPr>
            <w:tcW w:w="1120" w:type="dxa"/>
            <w:vAlign w:val="bottom"/>
            <w:tcBorders>
              <w:right w:val="single" w:sz="8" w:color="auto"/>
            </w:tcBorders>
          </w:tcPr>
          <w:p>
            <w:pPr>
              <w:spacing w:after="0"/>
              <w:rPr>
                <w:sz w:val="17"/>
                <w:szCs w:val="17"/>
                <w:color w:val="auto"/>
              </w:rPr>
            </w:pPr>
          </w:p>
        </w:tc>
        <w:tc>
          <w:tcPr>
            <w:tcW w:w="1360" w:type="dxa"/>
            <w:vAlign w:val="bottom"/>
            <w:tcBorders>
              <w:right w:val="single" w:sz="8" w:color="auto"/>
            </w:tcBorders>
          </w:tcPr>
          <w:p>
            <w:pPr>
              <w:spacing w:after="0"/>
              <w:rPr>
                <w:sz w:val="17"/>
                <w:szCs w:val="17"/>
                <w:color w:val="auto"/>
              </w:rPr>
            </w:pPr>
          </w:p>
        </w:tc>
        <w:tc>
          <w:tcPr>
            <w:tcW w:w="2200" w:type="dxa"/>
            <w:vAlign w:val="bottom"/>
            <w:tcBorders>
              <w:right w:val="single" w:sz="8" w:color="auto"/>
            </w:tcBorders>
          </w:tcPr>
          <w:p>
            <w:pPr>
              <w:spacing w:after="0"/>
              <w:rPr>
                <w:sz w:val="17"/>
                <w:szCs w:val="17"/>
                <w:color w:val="auto"/>
              </w:rPr>
            </w:pPr>
          </w:p>
        </w:tc>
        <w:tc>
          <w:tcPr>
            <w:tcW w:w="1580" w:type="dxa"/>
            <w:vAlign w:val="bottom"/>
            <w:tcBorders>
              <w:right w:val="single" w:sz="8" w:color="auto"/>
            </w:tcBorders>
          </w:tcPr>
          <w:p>
            <w:pPr>
              <w:spacing w:after="0"/>
              <w:rPr>
                <w:sz w:val="17"/>
                <w:szCs w:val="17"/>
                <w:color w:val="auto"/>
              </w:rPr>
            </w:pPr>
          </w:p>
        </w:tc>
        <w:tc>
          <w:tcPr>
            <w:tcW w:w="1580" w:type="dxa"/>
            <w:vAlign w:val="bottom"/>
            <w:tcBorders>
              <w:right w:val="single" w:sz="8" w:color="auto"/>
            </w:tcBorders>
          </w:tcPr>
          <w:p>
            <w:pPr>
              <w:spacing w:after="0"/>
              <w:rPr>
                <w:sz w:val="17"/>
                <w:szCs w:val="17"/>
                <w:color w:val="auto"/>
              </w:rPr>
            </w:pPr>
          </w:p>
        </w:tc>
        <w:tc>
          <w:tcPr>
            <w:tcW w:w="152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88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Dynasty</w:t>
            </w:r>
          </w:p>
        </w:tc>
        <w:tc>
          <w:tcPr>
            <w:tcW w:w="11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NAK</w:t>
            </w:r>
          </w:p>
        </w:tc>
        <w:tc>
          <w:tcPr>
            <w:tcW w:w="136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5"/>
              </w:rPr>
              <w:t>No</w:t>
            </w:r>
          </w:p>
        </w:tc>
        <w:tc>
          <w:tcPr>
            <w:tcW w:w="22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8"/>
              </w:rPr>
              <w:t>Sep. 9, 2020</w:t>
            </w:r>
          </w:p>
        </w:tc>
        <w:tc>
          <w:tcPr>
            <w:tcW w:w="15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3"/>
              </w:rPr>
              <w:t>USD1.06</w:t>
            </w:r>
          </w:p>
        </w:tc>
        <w:tc>
          <w:tcPr>
            <w:tcW w:w="15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0"/>
              </w:rPr>
              <w:t>7.07%</w:t>
            </w:r>
          </w:p>
        </w:tc>
        <w:tc>
          <w:tcPr>
            <w:tcW w:w="15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0"/>
              </w:rPr>
              <w:t>USD0.90</w:t>
            </w:r>
          </w:p>
        </w:tc>
        <w:tc>
          <w:tcPr>
            <w:tcW w:w="0" w:type="dxa"/>
            <w:vAlign w:val="bottom"/>
          </w:tcPr>
          <w:p>
            <w:pPr>
              <w:spacing w:after="0"/>
              <w:rPr>
                <w:sz w:val="1"/>
                <w:szCs w:val="1"/>
                <w:color w:val="auto"/>
              </w:rPr>
            </w:pPr>
          </w:p>
        </w:tc>
      </w:tr>
      <w:tr>
        <w:trPr>
          <w:trHeight w:val="237"/>
        </w:trPr>
        <w:tc>
          <w:tcPr>
            <w:tcW w:w="18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Minerals Ltd.</w:t>
            </w:r>
          </w:p>
        </w:tc>
        <w:tc>
          <w:tcPr>
            <w:tcW w:w="1120" w:type="dxa"/>
            <w:vAlign w:val="bottom"/>
            <w:tcBorders>
              <w:bottom w:val="single" w:sz="8" w:color="auto"/>
              <w:right w:val="single" w:sz="8" w:color="auto"/>
            </w:tcBorders>
          </w:tcPr>
          <w:p>
            <w:pPr>
              <w:spacing w:after="0"/>
              <w:rPr>
                <w:sz w:val="20"/>
                <w:szCs w:val="20"/>
                <w:color w:val="auto"/>
              </w:rPr>
            </w:pPr>
          </w:p>
        </w:tc>
        <w:tc>
          <w:tcPr>
            <w:tcW w:w="1360" w:type="dxa"/>
            <w:vAlign w:val="bottom"/>
            <w:tcBorders>
              <w:bottom w:val="single" w:sz="8" w:color="auto"/>
              <w:right w:val="single" w:sz="8" w:color="auto"/>
            </w:tcBorders>
          </w:tcPr>
          <w:p>
            <w:pPr>
              <w:spacing w:after="0"/>
              <w:rPr>
                <w:sz w:val="20"/>
                <w:szCs w:val="20"/>
                <w:color w:val="auto"/>
              </w:rPr>
            </w:pPr>
          </w:p>
        </w:tc>
        <w:tc>
          <w:tcPr>
            <w:tcW w:w="2200" w:type="dxa"/>
            <w:vAlign w:val="bottom"/>
            <w:tcBorders>
              <w:bottom w:val="single" w:sz="8" w:color="auto"/>
              <w:right w:val="single" w:sz="8" w:color="auto"/>
            </w:tcBorders>
          </w:tcPr>
          <w:p>
            <w:pPr>
              <w:spacing w:after="0"/>
              <w:rPr>
                <w:sz w:val="20"/>
                <w:szCs w:val="20"/>
                <w:color w:val="auto"/>
              </w:rPr>
            </w:pPr>
          </w:p>
        </w:tc>
        <w:tc>
          <w:tcPr>
            <w:tcW w:w="1580" w:type="dxa"/>
            <w:vAlign w:val="bottom"/>
            <w:tcBorders>
              <w:bottom w:val="single" w:sz="8" w:color="auto"/>
              <w:right w:val="single" w:sz="8" w:color="auto"/>
            </w:tcBorders>
          </w:tcPr>
          <w:p>
            <w:pPr>
              <w:spacing w:after="0"/>
              <w:rPr>
                <w:sz w:val="20"/>
                <w:szCs w:val="20"/>
                <w:color w:val="auto"/>
              </w:rPr>
            </w:pPr>
          </w:p>
        </w:tc>
        <w:tc>
          <w:tcPr>
            <w:tcW w:w="1580" w:type="dxa"/>
            <w:vAlign w:val="bottom"/>
            <w:tcBorders>
              <w:bottom w:val="single" w:sz="8" w:color="auto"/>
              <w:right w:val="single" w:sz="8" w:color="auto"/>
            </w:tcBorders>
          </w:tcPr>
          <w:p>
            <w:pPr>
              <w:spacing w:after="0"/>
              <w:rPr>
                <w:sz w:val="20"/>
                <w:szCs w:val="20"/>
                <w:color w:val="auto"/>
              </w:rPr>
            </w:pPr>
          </w:p>
        </w:tc>
        <w:tc>
          <w:tcPr>
            <w:tcW w:w="152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1880" w:type="dxa"/>
            <w:vAlign w:val="bottom"/>
            <w:tcBorders>
              <w:left w:val="single" w:sz="8" w:color="auto"/>
              <w:right w:val="single" w:sz="8" w:color="auto"/>
            </w:tcBorders>
          </w:tcPr>
          <w:p>
            <w:pPr>
              <w:ind w:left="40"/>
              <w:spacing w:after="0" w:line="201" w:lineRule="exact"/>
              <w:rPr>
                <w:sz w:val="20"/>
                <w:szCs w:val="20"/>
                <w:color w:val="auto"/>
              </w:rPr>
            </w:pPr>
            <w:r>
              <w:rPr>
                <w:rFonts w:ascii="Arial" w:cs="Arial" w:eastAsia="Arial" w:hAnsi="Arial"/>
                <w:sz w:val="18"/>
                <w:szCs w:val="18"/>
                <w:color w:val="auto"/>
              </w:rPr>
              <w:t>STAAR</w:t>
            </w:r>
          </w:p>
        </w:tc>
        <w:tc>
          <w:tcPr>
            <w:tcW w:w="1120" w:type="dxa"/>
            <w:vAlign w:val="bottom"/>
            <w:tcBorders>
              <w:right w:val="single" w:sz="8" w:color="auto"/>
            </w:tcBorders>
          </w:tcPr>
          <w:p>
            <w:pPr>
              <w:spacing w:after="0"/>
              <w:rPr>
                <w:sz w:val="17"/>
                <w:szCs w:val="17"/>
                <w:color w:val="auto"/>
              </w:rPr>
            </w:pPr>
          </w:p>
        </w:tc>
        <w:tc>
          <w:tcPr>
            <w:tcW w:w="1360" w:type="dxa"/>
            <w:vAlign w:val="bottom"/>
            <w:tcBorders>
              <w:right w:val="single" w:sz="8" w:color="auto"/>
            </w:tcBorders>
          </w:tcPr>
          <w:p>
            <w:pPr>
              <w:spacing w:after="0"/>
              <w:rPr>
                <w:sz w:val="17"/>
                <w:szCs w:val="17"/>
                <w:color w:val="auto"/>
              </w:rPr>
            </w:pPr>
          </w:p>
        </w:tc>
        <w:tc>
          <w:tcPr>
            <w:tcW w:w="2200" w:type="dxa"/>
            <w:vAlign w:val="bottom"/>
            <w:tcBorders>
              <w:right w:val="single" w:sz="8" w:color="auto"/>
            </w:tcBorders>
          </w:tcPr>
          <w:p>
            <w:pPr>
              <w:spacing w:after="0"/>
              <w:rPr>
                <w:sz w:val="17"/>
                <w:szCs w:val="17"/>
                <w:color w:val="auto"/>
              </w:rPr>
            </w:pPr>
          </w:p>
        </w:tc>
        <w:tc>
          <w:tcPr>
            <w:tcW w:w="1580" w:type="dxa"/>
            <w:vAlign w:val="bottom"/>
            <w:tcBorders>
              <w:right w:val="single" w:sz="8" w:color="auto"/>
            </w:tcBorders>
          </w:tcPr>
          <w:p>
            <w:pPr>
              <w:spacing w:after="0"/>
              <w:rPr>
                <w:sz w:val="17"/>
                <w:szCs w:val="17"/>
                <w:color w:val="auto"/>
              </w:rPr>
            </w:pPr>
          </w:p>
        </w:tc>
        <w:tc>
          <w:tcPr>
            <w:tcW w:w="1580" w:type="dxa"/>
            <w:vAlign w:val="bottom"/>
            <w:tcBorders>
              <w:right w:val="single" w:sz="8" w:color="auto"/>
            </w:tcBorders>
          </w:tcPr>
          <w:p>
            <w:pPr>
              <w:spacing w:after="0"/>
              <w:rPr>
                <w:sz w:val="17"/>
                <w:szCs w:val="17"/>
                <w:color w:val="auto"/>
              </w:rPr>
            </w:pPr>
          </w:p>
        </w:tc>
        <w:tc>
          <w:tcPr>
            <w:tcW w:w="152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88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Surgical</w:t>
            </w:r>
          </w:p>
        </w:tc>
        <w:tc>
          <w:tcPr>
            <w:tcW w:w="11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7"/>
              </w:rPr>
              <w:t>STAA</w:t>
            </w:r>
          </w:p>
        </w:tc>
        <w:tc>
          <w:tcPr>
            <w:tcW w:w="136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3"/>
              </w:rPr>
              <w:t>Yes</w:t>
            </w:r>
          </w:p>
        </w:tc>
        <w:tc>
          <w:tcPr>
            <w:tcW w:w="22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0"/>
              </w:rPr>
              <w:t>Aug. 11, 2020</w:t>
            </w:r>
          </w:p>
        </w:tc>
        <w:tc>
          <w:tcPr>
            <w:tcW w:w="15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1"/>
              </w:rPr>
              <w:t>USD48.25</w:t>
            </w:r>
          </w:p>
        </w:tc>
        <w:tc>
          <w:tcPr>
            <w:tcW w:w="15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1"/>
              </w:rPr>
              <w:t>-6.16%</w:t>
            </w:r>
          </w:p>
        </w:tc>
        <w:tc>
          <w:tcPr>
            <w:tcW w:w="15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3"/>
              </w:rPr>
              <w:t>USD82.14</w:t>
            </w:r>
          </w:p>
        </w:tc>
        <w:tc>
          <w:tcPr>
            <w:tcW w:w="0" w:type="dxa"/>
            <w:vAlign w:val="bottom"/>
          </w:tcPr>
          <w:p>
            <w:pPr>
              <w:spacing w:after="0"/>
              <w:rPr>
                <w:sz w:val="1"/>
                <w:szCs w:val="1"/>
                <w:color w:val="auto"/>
              </w:rPr>
            </w:pPr>
          </w:p>
        </w:tc>
      </w:tr>
      <w:tr>
        <w:trPr>
          <w:trHeight w:val="237"/>
        </w:trPr>
        <w:tc>
          <w:tcPr>
            <w:tcW w:w="18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Company</w:t>
            </w:r>
          </w:p>
        </w:tc>
        <w:tc>
          <w:tcPr>
            <w:tcW w:w="1120" w:type="dxa"/>
            <w:vAlign w:val="bottom"/>
            <w:tcBorders>
              <w:bottom w:val="single" w:sz="8" w:color="auto"/>
              <w:right w:val="single" w:sz="8" w:color="auto"/>
            </w:tcBorders>
          </w:tcPr>
          <w:p>
            <w:pPr>
              <w:spacing w:after="0"/>
              <w:rPr>
                <w:sz w:val="20"/>
                <w:szCs w:val="20"/>
                <w:color w:val="auto"/>
              </w:rPr>
            </w:pPr>
          </w:p>
        </w:tc>
        <w:tc>
          <w:tcPr>
            <w:tcW w:w="1360" w:type="dxa"/>
            <w:vAlign w:val="bottom"/>
            <w:tcBorders>
              <w:bottom w:val="single" w:sz="8" w:color="auto"/>
              <w:right w:val="single" w:sz="8" w:color="auto"/>
            </w:tcBorders>
          </w:tcPr>
          <w:p>
            <w:pPr>
              <w:spacing w:after="0"/>
              <w:rPr>
                <w:sz w:val="20"/>
                <w:szCs w:val="20"/>
                <w:color w:val="auto"/>
              </w:rPr>
            </w:pPr>
          </w:p>
        </w:tc>
        <w:tc>
          <w:tcPr>
            <w:tcW w:w="2200" w:type="dxa"/>
            <w:vAlign w:val="bottom"/>
            <w:tcBorders>
              <w:bottom w:val="single" w:sz="8" w:color="auto"/>
              <w:right w:val="single" w:sz="8" w:color="auto"/>
            </w:tcBorders>
          </w:tcPr>
          <w:p>
            <w:pPr>
              <w:spacing w:after="0"/>
              <w:rPr>
                <w:sz w:val="20"/>
                <w:szCs w:val="20"/>
                <w:color w:val="auto"/>
              </w:rPr>
            </w:pPr>
          </w:p>
        </w:tc>
        <w:tc>
          <w:tcPr>
            <w:tcW w:w="1580" w:type="dxa"/>
            <w:vAlign w:val="bottom"/>
            <w:tcBorders>
              <w:bottom w:val="single" w:sz="8" w:color="auto"/>
              <w:right w:val="single" w:sz="8" w:color="auto"/>
            </w:tcBorders>
          </w:tcPr>
          <w:p>
            <w:pPr>
              <w:spacing w:after="0"/>
              <w:rPr>
                <w:sz w:val="20"/>
                <w:szCs w:val="20"/>
                <w:color w:val="auto"/>
              </w:rPr>
            </w:pPr>
          </w:p>
        </w:tc>
        <w:tc>
          <w:tcPr>
            <w:tcW w:w="1580" w:type="dxa"/>
            <w:vAlign w:val="bottom"/>
            <w:tcBorders>
              <w:bottom w:val="single" w:sz="8" w:color="auto"/>
              <w:right w:val="single" w:sz="8" w:color="auto"/>
            </w:tcBorders>
          </w:tcPr>
          <w:p>
            <w:pPr>
              <w:spacing w:after="0"/>
              <w:rPr>
                <w:sz w:val="20"/>
                <w:szCs w:val="20"/>
                <w:color w:val="auto"/>
              </w:rPr>
            </w:pPr>
          </w:p>
        </w:tc>
        <w:tc>
          <w:tcPr>
            <w:tcW w:w="152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1880" w:type="dxa"/>
            <w:vAlign w:val="bottom"/>
            <w:tcBorders>
              <w:left w:val="single" w:sz="8" w:color="auto"/>
              <w:right w:val="single" w:sz="8" w:color="auto"/>
            </w:tcBorders>
          </w:tcPr>
          <w:p>
            <w:pPr>
              <w:ind w:left="40"/>
              <w:spacing w:after="0" w:line="201" w:lineRule="exact"/>
              <w:rPr>
                <w:sz w:val="20"/>
                <w:szCs w:val="20"/>
                <w:color w:val="auto"/>
              </w:rPr>
            </w:pPr>
            <w:r>
              <w:rPr>
                <w:rFonts w:ascii="Arial" w:cs="Arial" w:eastAsia="Arial" w:hAnsi="Arial"/>
                <w:sz w:val="18"/>
                <w:szCs w:val="18"/>
                <w:color w:val="auto"/>
              </w:rPr>
              <w:t>Ideanomics,</w:t>
            </w:r>
          </w:p>
        </w:tc>
        <w:tc>
          <w:tcPr>
            <w:tcW w:w="11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rPr>
              <w:t>IDEX</w:t>
            </w:r>
          </w:p>
        </w:tc>
        <w:tc>
          <w:tcPr>
            <w:tcW w:w="136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83"/>
              </w:rPr>
              <w:t>Yes</w:t>
            </w:r>
          </w:p>
        </w:tc>
        <w:tc>
          <w:tcPr>
            <w:tcW w:w="22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87"/>
              </w:rPr>
              <w:t>Jun. 25, 2020</w:t>
            </w:r>
          </w:p>
        </w:tc>
        <w:tc>
          <w:tcPr>
            <w:tcW w:w="15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3"/>
              </w:rPr>
              <w:t>USD2.44</w:t>
            </w:r>
          </w:p>
        </w:tc>
        <w:tc>
          <w:tcPr>
            <w:tcW w:w="15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2"/>
              </w:rPr>
              <w:t>-21.04%</w:t>
            </w:r>
          </w:p>
        </w:tc>
        <w:tc>
          <w:tcPr>
            <w:tcW w:w="15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0"/>
              </w:rPr>
              <w:t>USD1.53</w:t>
            </w:r>
          </w:p>
        </w:tc>
        <w:tc>
          <w:tcPr>
            <w:tcW w:w="0" w:type="dxa"/>
            <w:vAlign w:val="bottom"/>
          </w:tcPr>
          <w:p>
            <w:pPr>
              <w:spacing w:after="0"/>
              <w:rPr>
                <w:sz w:val="1"/>
                <w:szCs w:val="1"/>
                <w:color w:val="auto"/>
              </w:rPr>
            </w:pPr>
          </w:p>
        </w:tc>
      </w:tr>
      <w:tr>
        <w:trPr>
          <w:trHeight w:val="122"/>
        </w:trPr>
        <w:tc>
          <w:tcPr>
            <w:tcW w:w="1880" w:type="dxa"/>
            <w:vAlign w:val="bottom"/>
            <w:tcBorders>
              <w:left w:val="single" w:sz="8" w:color="auto"/>
              <w:right w:val="single" w:sz="8" w:color="auto"/>
            </w:tcBorders>
            <w:vMerge w:val="restart"/>
          </w:tcPr>
          <w:p>
            <w:pPr>
              <w:ind w:left="40"/>
              <w:spacing w:after="0"/>
              <w:rPr>
                <w:sz w:val="20"/>
                <w:szCs w:val="20"/>
                <w:color w:val="auto"/>
              </w:rPr>
            </w:pPr>
            <w:r>
              <w:rPr>
                <w:rFonts w:ascii="Arial" w:cs="Arial" w:eastAsia="Arial" w:hAnsi="Arial"/>
                <w:sz w:val="18"/>
                <w:szCs w:val="18"/>
                <w:color w:val="auto"/>
              </w:rPr>
              <w:t>Inc.</w:t>
            </w:r>
          </w:p>
        </w:tc>
        <w:tc>
          <w:tcPr>
            <w:tcW w:w="1120" w:type="dxa"/>
            <w:vAlign w:val="bottom"/>
            <w:tcBorders>
              <w:right w:val="single" w:sz="8" w:color="auto"/>
            </w:tcBorders>
            <w:vMerge w:val="continue"/>
          </w:tcPr>
          <w:p>
            <w:pPr>
              <w:spacing w:after="0"/>
              <w:rPr>
                <w:sz w:val="10"/>
                <w:szCs w:val="10"/>
                <w:color w:val="auto"/>
              </w:rPr>
            </w:pPr>
          </w:p>
        </w:tc>
        <w:tc>
          <w:tcPr>
            <w:tcW w:w="1360" w:type="dxa"/>
            <w:vAlign w:val="bottom"/>
            <w:tcBorders>
              <w:right w:val="single" w:sz="8" w:color="auto"/>
            </w:tcBorders>
            <w:vMerge w:val="continue"/>
          </w:tcPr>
          <w:p>
            <w:pPr>
              <w:spacing w:after="0"/>
              <w:rPr>
                <w:sz w:val="10"/>
                <w:szCs w:val="10"/>
                <w:color w:val="auto"/>
              </w:rPr>
            </w:pPr>
          </w:p>
        </w:tc>
        <w:tc>
          <w:tcPr>
            <w:tcW w:w="2200" w:type="dxa"/>
            <w:vAlign w:val="bottom"/>
            <w:tcBorders>
              <w:right w:val="single" w:sz="8" w:color="auto"/>
            </w:tcBorders>
            <w:vMerge w:val="continue"/>
          </w:tcPr>
          <w:p>
            <w:pPr>
              <w:spacing w:after="0"/>
              <w:rPr>
                <w:sz w:val="10"/>
                <w:szCs w:val="10"/>
                <w:color w:val="auto"/>
              </w:rPr>
            </w:pPr>
          </w:p>
        </w:tc>
        <w:tc>
          <w:tcPr>
            <w:tcW w:w="1580" w:type="dxa"/>
            <w:vAlign w:val="bottom"/>
            <w:tcBorders>
              <w:right w:val="single" w:sz="8" w:color="auto"/>
            </w:tcBorders>
            <w:vMerge w:val="continue"/>
          </w:tcPr>
          <w:p>
            <w:pPr>
              <w:spacing w:after="0"/>
              <w:rPr>
                <w:sz w:val="10"/>
                <w:szCs w:val="10"/>
                <w:color w:val="auto"/>
              </w:rPr>
            </w:pPr>
          </w:p>
        </w:tc>
        <w:tc>
          <w:tcPr>
            <w:tcW w:w="1580" w:type="dxa"/>
            <w:vAlign w:val="bottom"/>
            <w:tcBorders>
              <w:right w:val="single" w:sz="8" w:color="auto"/>
            </w:tcBorders>
            <w:vMerge w:val="continue"/>
          </w:tcPr>
          <w:p>
            <w:pPr>
              <w:spacing w:after="0"/>
              <w:rPr>
                <w:sz w:val="10"/>
                <w:szCs w:val="10"/>
                <w:color w:val="auto"/>
              </w:rPr>
            </w:pPr>
          </w:p>
        </w:tc>
        <w:tc>
          <w:tcPr>
            <w:tcW w:w="1520" w:type="dxa"/>
            <w:vAlign w:val="bottom"/>
            <w:tcBorders>
              <w:right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15"/>
        </w:trPr>
        <w:tc>
          <w:tcPr>
            <w:tcW w:w="1880" w:type="dxa"/>
            <w:vAlign w:val="bottom"/>
            <w:tcBorders>
              <w:left w:val="single" w:sz="8" w:color="auto"/>
              <w:bottom w:val="single" w:sz="8" w:color="auto"/>
              <w:right w:val="single" w:sz="8" w:color="auto"/>
            </w:tcBorders>
            <w:vMerge w:val="continue"/>
          </w:tcPr>
          <w:p>
            <w:pPr>
              <w:spacing w:after="0"/>
              <w:rPr>
                <w:sz w:val="10"/>
                <w:szCs w:val="10"/>
                <w:color w:val="auto"/>
              </w:rPr>
            </w:pPr>
          </w:p>
        </w:tc>
        <w:tc>
          <w:tcPr>
            <w:tcW w:w="1120" w:type="dxa"/>
            <w:vAlign w:val="bottom"/>
            <w:tcBorders>
              <w:bottom w:val="single" w:sz="8" w:color="auto"/>
              <w:right w:val="single" w:sz="8" w:color="auto"/>
            </w:tcBorders>
          </w:tcPr>
          <w:p>
            <w:pPr>
              <w:spacing w:after="0"/>
              <w:rPr>
                <w:sz w:val="10"/>
                <w:szCs w:val="10"/>
                <w:color w:val="auto"/>
              </w:rPr>
            </w:pPr>
          </w:p>
        </w:tc>
        <w:tc>
          <w:tcPr>
            <w:tcW w:w="1360" w:type="dxa"/>
            <w:vAlign w:val="bottom"/>
            <w:tcBorders>
              <w:bottom w:val="single" w:sz="8" w:color="auto"/>
              <w:right w:val="single" w:sz="8" w:color="auto"/>
            </w:tcBorders>
          </w:tcPr>
          <w:p>
            <w:pPr>
              <w:spacing w:after="0"/>
              <w:rPr>
                <w:sz w:val="10"/>
                <w:szCs w:val="10"/>
                <w:color w:val="auto"/>
              </w:rPr>
            </w:pPr>
          </w:p>
        </w:tc>
        <w:tc>
          <w:tcPr>
            <w:tcW w:w="2200" w:type="dxa"/>
            <w:vAlign w:val="bottom"/>
            <w:tcBorders>
              <w:bottom w:val="single" w:sz="8" w:color="auto"/>
              <w:right w:val="single" w:sz="8" w:color="auto"/>
            </w:tcBorders>
          </w:tcPr>
          <w:p>
            <w:pPr>
              <w:spacing w:after="0"/>
              <w:rPr>
                <w:sz w:val="10"/>
                <w:szCs w:val="10"/>
                <w:color w:val="auto"/>
              </w:rPr>
            </w:pPr>
          </w:p>
        </w:tc>
        <w:tc>
          <w:tcPr>
            <w:tcW w:w="1580" w:type="dxa"/>
            <w:vAlign w:val="bottom"/>
            <w:tcBorders>
              <w:bottom w:val="single" w:sz="8" w:color="auto"/>
              <w:right w:val="single" w:sz="8" w:color="auto"/>
            </w:tcBorders>
          </w:tcPr>
          <w:p>
            <w:pPr>
              <w:spacing w:after="0"/>
              <w:rPr>
                <w:sz w:val="10"/>
                <w:szCs w:val="10"/>
                <w:color w:val="auto"/>
              </w:rPr>
            </w:pPr>
          </w:p>
        </w:tc>
        <w:tc>
          <w:tcPr>
            <w:tcW w:w="1580" w:type="dxa"/>
            <w:vAlign w:val="bottom"/>
            <w:tcBorders>
              <w:bottom w:val="single" w:sz="8" w:color="auto"/>
              <w:right w:val="single" w:sz="8" w:color="auto"/>
            </w:tcBorders>
          </w:tcPr>
          <w:p>
            <w:pPr>
              <w:spacing w:after="0"/>
              <w:rPr>
                <w:sz w:val="10"/>
                <w:szCs w:val="10"/>
                <w:color w:val="auto"/>
              </w:rPr>
            </w:pPr>
          </w:p>
        </w:tc>
        <w:tc>
          <w:tcPr>
            <w:tcW w:w="1520" w:type="dxa"/>
            <w:vAlign w:val="bottom"/>
            <w:tcBorders>
              <w:bottom w:val="single" w:sz="8" w:color="auto"/>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202"/>
        </w:trPr>
        <w:tc>
          <w:tcPr>
            <w:tcW w:w="1880" w:type="dxa"/>
            <w:vAlign w:val="bottom"/>
            <w:tcBorders>
              <w:left w:val="single" w:sz="8" w:color="auto"/>
              <w:right w:val="single" w:sz="8" w:color="auto"/>
            </w:tcBorders>
          </w:tcPr>
          <w:p>
            <w:pPr>
              <w:ind w:left="40"/>
              <w:spacing w:after="0" w:line="201" w:lineRule="exact"/>
              <w:rPr>
                <w:sz w:val="20"/>
                <w:szCs w:val="20"/>
                <w:color w:val="auto"/>
              </w:rPr>
            </w:pPr>
            <w:r>
              <w:rPr>
                <w:rFonts w:ascii="Arial" w:cs="Arial" w:eastAsia="Arial" w:hAnsi="Arial"/>
                <w:sz w:val="18"/>
                <w:szCs w:val="18"/>
                <w:color w:val="auto"/>
              </w:rPr>
              <w:t>NOVAGOLD</w:t>
            </w:r>
          </w:p>
        </w:tc>
        <w:tc>
          <w:tcPr>
            <w:tcW w:w="1120" w:type="dxa"/>
            <w:vAlign w:val="bottom"/>
            <w:tcBorders>
              <w:right w:val="single" w:sz="8" w:color="auto"/>
            </w:tcBorders>
          </w:tcPr>
          <w:p>
            <w:pPr>
              <w:spacing w:after="0"/>
              <w:rPr>
                <w:sz w:val="17"/>
                <w:szCs w:val="17"/>
                <w:color w:val="auto"/>
              </w:rPr>
            </w:pPr>
          </w:p>
        </w:tc>
        <w:tc>
          <w:tcPr>
            <w:tcW w:w="1360" w:type="dxa"/>
            <w:vAlign w:val="bottom"/>
            <w:tcBorders>
              <w:right w:val="single" w:sz="8" w:color="auto"/>
            </w:tcBorders>
          </w:tcPr>
          <w:p>
            <w:pPr>
              <w:spacing w:after="0"/>
              <w:rPr>
                <w:sz w:val="17"/>
                <w:szCs w:val="17"/>
                <w:color w:val="auto"/>
              </w:rPr>
            </w:pPr>
          </w:p>
        </w:tc>
        <w:tc>
          <w:tcPr>
            <w:tcW w:w="2200" w:type="dxa"/>
            <w:vAlign w:val="bottom"/>
            <w:tcBorders>
              <w:right w:val="single" w:sz="8" w:color="auto"/>
            </w:tcBorders>
          </w:tcPr>
          <w:p>
            <w:pPr>
              <w:spacing w:after="0"/>
              <w:rPr>
                <w:sz w:val="17"/>
                <w:szCs w:val="17"/>
                <w:color w:val="auto"/>
              </w:rPr>
            </w:pPr>
          </w:p>
        </w:tc>
        <w:tc>
          <w:tcPr>
            <w:tcW w:w="1580" w:type="dxa"/>
            <w:vAlign w:val="bottom"/>
            <w:tcBorders>
              <w:right w:val="single" w:sz="8" w:color="auto"/>
            </w:tcBorders>
          </w:tcPr>
          <w:p>
            <w:pPr>
              <w:spacing w:after="0"/>
              <w:rPr>
                <w:sz w:val="17"/>
                <w:szCs w:val="17"/>
                <w:color w:val="auto"/>
              </w:rPr>
            </w:pPr>
          </w:p>
        </w:tc>
        <w:tc>
          <w:tcPr>
            <w:tcW w:w="1580" w:type="dxa"/>
            <w:vAlign w:val="bottom"/>
            <w:tcBorders>
              <w:right w:val="single" w:sz="8" w:color="auto"/>
            </w:tcBorders>
          </w:tcPr>
          <w:p>
            <w:pPr>
              <w:spacing w:after="0"/>
              <w:rPr>
                <w:sz w:val="17"/>
                <w:szCs w:val="17"/>
                <w:color w:val="auto"/>
              </w:rPr>
            </w:pPr>
          </w:p>
        </w:tc>
        <w:tc>
          <w:tcPr>
            <w:tcW w:w="152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88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RESOURCES</w:t>
            </w:r>
          </w:p>
        </w:tc>
        <w:tc>
          <w:tcPr>
            <w:tcW w:w="11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6"/>
              </w:rPr>
              <w:t>NG</w:t>
            </w:r>
          </w:p>
        </w:tc>
        <w:tc>
          <w:tcPr>
            <w:tcW w:w="136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5"/>
              </w:rPr>
              <w:t>No</w:t>
            </w:r>
          </w:p>
        </w:tc>
        <w:tc>
          <w:tcPr>
            <w:tcW w:w="22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1"/>
              </w:rPr>
              <w:t>May 28, 2020</w:t>
            </w:r>
          </w:p>
        </w:tc>
        <w:tc>
          <w:tcPr>
            <w:tcW w:w="15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3"/>
              </w:rPr>
              <w:t>USD9.71</w:t>
            </w:r>
          </w:p>
        </w:tc>
        <w:tc>
          <w:tcPr>
            <w:tcW w:w="15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1"/>
              </w:rPr>
              <w:t>-8.83%</w:t>
            </w:r>
          </w:p>
        </w:tc>
        <w:tc>
          <w:tcPr>
            <w:tcW w:w="15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3"/>
              </w:rPr>
              <w:t>USD10.54</w:t>
            </w:r>
          </w:p>
        </w:tc>
        <w:tc>
          <w:tcPr>
            <w:tcW w:w="0" w:type="dxa"/>
            <w:vAlign w:val="bottom"/>
          </w:tcPr>
          <w:p>
            <w:pPr>
              <w:spacing w:after="0"/>
              <w:rPr>
                <w:sz w:val="1"/>
                <w:szCs w:val="1"/>
                <w:color w:val="auto"/>
              </w:rPr>
            </w:pPr>
          </w:p>
        </w:tc>
      </w:tr>
      <w:tr>
        <w:trPr>
          <w:trHeight w:val="237"/>
        </w:trPr>
        <w:tc>
          <w:tcPr>
            <w:tcW w:w="18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INC.</w:t>
            </w:r>
          </w:p>
        </w:tc>
        <w:tc>
          <w:tcPr>
            <w:tcW w:w="1120" w:type="dxa"/>
            <w:vAlign w:val="bottom"/>
            <w:tcBorders>
              <w:bottom w:val="single" w:sz="8" w:color="auto"/>
              <w:right w:val="single" w:sz="8" w:color="auto"/>
            </w:tcBorders>
          </w:tcPr>
          <w:p>
            <w:pPr>
              <w:spacing w:after="0"/>
              <w:rPr>
                <w:sz w:val="20"/>
                <w:szCs w:val="20"/>
                <w:color w:val="auto"/>
              </w:rPr>
            </w:pPr>
          </w:p>
        </w:tc>
        <w:tc>
          <w:tcPr>
            <w:tcW w:w="1360" w:type="dxa"/>
            <w:vAlign w:val="bottom"/>
            <w:tcBorders>
              <w:bottom w:val="single" w:sz="8" w:color="auto"/>
              <w:right w:val="single" w:sz="8" w:color="auto"/>
            </w:tcBorders>
          </w:tcPr>
          <w:p>
            <w:pPr>
              <w:spacing w:after="0"/>
              <w:rPr>
                <w:sz w:val="20"/>
                <w:szCs w:val="20"/>
                <w:color w:val="auto"/>
              </w:rPr>
            </w:pPr>
          </w:p>
        </w:tc>
        <w:tc>
          <w:tcPr>
            <w:tcW w:w="2200" w:type="dxa"/>
            <w:vAlign w:val="bottom"/>
            <w:tcBorders>
              <w:bottom w:val="single" w:sz="8" w:color="auto"/>
              <w:right w:val="single" w:sz="8" w:color="auto"/>
            </w:tcBorders>
          </w:tcPr>
          <w:p>
            <w:pPr>
              <w:spacing w:after="0"/>
              <w:rPr>
                <w:sz w:val="20"/>
                <w:szCs w:val="20"/>
                <w:color w:val="auto"/>
              </w:rPr>
            </w:pPr>
          </w:p>
        </w:tc>
        <w:tc>
          <w:tcPr>
            <w:tcW w:w="1580" w:type="dxa"/>
            <w:vAlign w:val="bottom"/>
            <w:tcBorders>
              <w:bottom w:val="single" w:sz="8" w:color="auto"/>
              <w:right w:val="single" w:sz="8" w:color="auto"/>
            </w:tcBorders>
          </w:tcPr>
          <w:p>
            <w:pPr>
              <w:spacing w:after="0"/>
              <w:rPr>
                <w:sz w:val="20"/>
                <w:szCs w:val="20"/>
                <w:color w:val="auto"/>
              </w:rPr>
            </w:pPr>
          </w:p>
        </w:tc>
        <w:tc>
          <w:tcPr>
            <w:tcW w:w="1580" w:type="dxa"/>
            <w:vAlign w:val="bottom"/>
            <w:tcBorders>
              <w:bottom w:val="single" w:sz="8" w:color="auto"/>
              <w:right w:val="single" w:sz="8" w:color="auto"/>
            </w:tcBorders>
          </w:tcPr>
          <w:p>
            <w:pPr>
              <w:spacing w:after="0"/>
              <w:rPr>
                <w:sz w:val="20"/>
                <w:szCs w:val="20"/>
                <w:color w:val="auto"/>
              </w:rPr>
            </w:pPr>
          </w:p>
        </w:tc>
        <w:tc>
          <w:tcPr>
            <w:tcW w:w="152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1880" w:type="dxa"/>
            <w:vAlign w:val="bottom"/>
            <w:tcBorders>
              <w:left w:val="single" w:sz="8" w:color="auto"/>
              <w:right w:val="single" w:sz="8" w:color="auto"/>
            </w:tcBorders>
          </w:tcPr>
          <w:p>
            <w:pPr>
              <w:ind w:left="40"/>
              <w:spacing w:after="0" w:line="201" w:lineRule="exact"/>
              <w:rPr>
                <w:sz w:val="20"/>
                <w:szCs w:val="20"/>
                <w:color w:val="auto"/>
              </w:rPr>
            </w:pPr>
            <w:r>
              <w:rPr>
                <w:rFonts w:ascii="Arial" w:cs="Arial" w:eastAsia="Arial" w:hAnsi="Arial"/>
                <w:sz w:val="18"/>
                <w:szCs w:val="18"/>
                <w:color w:val="auto"/>
              </w:rPr>
              <w:t>GDS Holdings</w:t>
            </w:r>
          </w:p>
        </w:tc>
        <w:tc>
          <w:tcPr>
            <w:tcW w:w="11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2"/>
              </w:rPr>
              <w:t>GDS</w:t>
            </w:r>
          </w:p>
        </w:tc>
        <w:tc>
          <w:tcPr>
            <w:tcW w:w="136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83"/>
              </w:rPr>
              <w:t>Yes</w:t>
            </w:r>
          </w:p>
        </w:tc>
        <w:tc>
          <w:tcPr>
            <w:tcW w:w="22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89"/>
              </w:rPr>
              <w:t>Mar. 26, 2019</w:t>
            </w:r>
          </w:p>
        </w:tc>
        <w:tc>
          <w:tcPr>
            <w:tcW w:w="15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1"/>
              </w:rPr>
              <w:t>USD56.09</w:t>
            </w:r>
          </w:p>
        </w:tc>
        <w:tc>
          <w:tcPr>
            <w:tcW w:w="15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1"/>
              </w:rPr>
              <w:t>-1.67%</w:t>
            </w:r>
          </w:p>
        </w:tc>
        <w:tc>
          <w:tcPr>
            <w:tcW w:w="15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3"/>
              </w:rPr>
              <w:t>USD87.83</w:t>
            </w:r>
          </w:p>
        </w:tc>
        <w:tc>
          <w:tcPr>
            <w:tcW w:w="0" w:type="dxa"/>
            <w:vAlign w:val="bottom"/>
          </w:tcPr>
          <w:p>
            <w:pPr>
              <w:spacing w:after="0"/>
              <w:rPr>
                <w:sz w:val="1"/>
                <w:szCs w:val="1"/>
                <w:color w:val="auto"/>
              </w:rPr>
            </w:pPr>
          </w:p>
        </w:tc>
      </w:tr>
      <w:tr>
        <w:trPr>
          <w:trHeight w:val="122"/>
        </w:trPr>
        <w:tc>
          <w:tcPr>
            <w:tcW w:w="1880" w:type="dxa"/>
            <w:vAlign w:val="bottom"/>
            <w:tcBorders>
              <w:left w:val="single" w:sz="8" w:color="auto"/>
              <w:right w:val="single" w:sz="8" w:color="auto"/>
            </w:tcBorders>
            <w:vMerge w:val="restart"/>
          </w:tcPr>
          <w:p>
            <w:pPr>
              <w:ind w:left="40"/>
              <w:spacing w:after="0"/>
              <w:rPr>
                <w:sz w:val="20"/>
                <w:szCs w:val="20"/>
                <w:color w:val="auto"/>
              </w:rPr>
            </w:pPr>
            <w:r>
              <w:rPr>
                <w:rFonts w:ascii="Arial" w:cs="Arial" w:eastAsia="Arial" w:hAnsi="Arial"/>
                <w:sz w:val="18"/>
                <w:szCs w:val="18"/>
                <w:color w:val="auto"/>
              </w:rPr>
              <w:t>Limited</w:t>
            </w:r>
          </w:p>
        </w:tc>
        <w:tc>
          <w:tcPr>
            <w:tcW w:w="1120" w:type="dxa"/>
            <w:vAlign w:val="bottom"/>
            <w:tcBorders>
              <w:right w:val="single" w:sz="8" w:color="auto"/>
            </w:tcBorders>
            <w:vMerge w:val="continue"/>
          </w:tcPr>
          <w:p>
            <w:pPr>
              <w:spacing w:after="0"/>
              <w:rPr>
                <w:sz w:val="10"/>
                <w:szCs w:val="10"/>
                <w:color w:val="auto"/>
              </w:rPr>
            </w:pPr>
          </w:p>
        </w:tc>
        <w:tc>
          <w:tcPr>
            <w:tcW w:w="1360" w:type="dxa"/>
            <w:vAlign w:val="bottom"/>
            <w:tcBorders>
              <w:right w:val="single" w:sz="8" w:color="auto"/>
            </w:tcBorders>
            <w:vMerge w:val="continue"/>
          </w:tcPr>
          <w:p>
            <w:pPr>
              <w:spacing w:after="0"/>
              <w:rPr>
                <w:sz w:val="10"/>
                <w:szCs w:val="10"/>
                <w:color w:val="auto"/>
              </w:rPr>
            </w:pPr>
          </w:p>
        </w:tc>
        <w:tc>
          <w:tcPr>
            <w:tcW w:w="2200" w:type="dxa"/>
            <w:vAlign w:val="bottom"/>
            <w:tcBorders>
              <w:right w:val="single" w:sz="8" w:color="auto"/>
            </w:tcBorders>
            <w:vMerge w:val="continue"/>
          </w:tcPr>
          <w:p>
            <w:pPr>
              <w:spacing w:after="0"/>
              <w:rPr>
                <w:sz w:val="10"/>
                <w:szCs w:val="10"/>
                <w:color w:val="auto"/>
              </w:rPr>
            </w:pPr>
          </w:p>
        </w:tc>
        <w:tc>
          <w:tcPr>
            <w:tcW w:w="1580" w:type="dxa"/>
            <w:vAlign w:val="bottom"/>
            <w:tcBorders>
              <w:right w:val="single" w:sz="8" w:color="auto"/>
            </w:tcBorders>
            <w:vMerge w:val="continue"/>
          </w:tcPr>
          <w:p>
            <w:pPr>
              <w:spacing w:after="0"/>
              <w:rPr>
                <w:sz w:val="10"/>
                <w:szCs w:val="10"/>
                <w:color w:val="auto"/>
              </w:rPr>
            </w:pPr>
          </w:p>
        </w:tc>
        <w:tc>
          <w:tcPr>
            <w:tcW w:w="1580" w:type="dxa"/>
            <w:vAlign w:val="bottom"/>
            <w:tcBorders>
              <w:right w:val="single" w:sz="8" w:color="auto"/>
            </w:tcBorders>
            <w:vMerge w:val="continue"/>
          </w:tcPr>
          <w:p>
            <w:pPr>
              <w:spacing w:after="0"/>
              <w:rPr>
                <w:sz w:val="10"/>
                <w:szCs w:val="10"/>
                <w:color w:val="auto"/>
              </w:rPr>
            </w:pPr>
          </w:p>
        </w:tc>
        <w:tc>
          <w:tcPr>
            <w:tcW w:w="1520" w:type="dxa"/>
            <w:vAlign w:val="bottom"/>
            <w:tcBorders>
              <w:right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15"/>
        </w:trPr>
        <w:tc>
          <w:tcPr>
            <w:tcW w:w="1880" w:type="dxa"/>
            <w:vAlign w:val="bottom"/>
            <w:tcBorders>
              <w:left w:val="single" w:sz="8" w:color="auto"/>
              <w:bottom w:val="single" w:sz="8" w:color="auto"/>
              <w:right w:val="single" w:sz="8" w:color="auto"/>
            </w:tcBorders>
            <w:vMerge w:val="continue"/>
          </w:tcPr>
          <w:p>
            <w:pPr>
              <w:spacing w:after="0"/>
              <w:rPr>
                <w:sz w:val="10"/>
                <w:szCs w:val="10"/>
                <w:color w:val="auto"/>
              </w:rPr>
            </w:pPr>
          </w:p>
        </w:tc>
        <w:tc>
          <w:tcPr>
            <w:tcW w:w="1120" w:type="dxa"/>
            <w:vAlign w:val="bottom"/>
            <w:tcBorders>
              <w:bottom w:val="single" w:sz="8" w:color="auto"/>
              <w:right w:val="single" w:sz="8" w:color="auto"/>
            </w:tcBorders>
          </w:tcPr>
          <w:p>
            <w:pPr>
              <w:spacing w:after="0"/>
              <w:rPr>
                <w:sz w:val="10"/>
                <w:szCs w:val="10"/>
                <w:color w:val="auto"/>
              </w:rPr>
            </w:pPr>
          </w:p>
        </w:tc>
        <w:tc>
          <w:tcPr>
            <w:tcW w:w="1360" w:type="dxa"/>
            <w:vAlign w:val="bottom"/>
            <w:tcBorders>
              <w:bottom w:val="single" w:sz="8" w:color="auto"/>
              <w:right w:val="single" w:sz="8" w:color="auto"/>
            </w:tcBorders>
          </w:tcPr>
          <w:p>
            <w:pPr>
              <w:spacing w:after="0"/>
              <w:rPr>
                <w:sz w:val="10"/>
                <w:szCs w:val="10"/>
                <w:color w:val="auto"/>
              </w:rPr>
            </w:pPr>
          </w:p>
        </w:tc>
        <w:tc>
          <w:tcPr>
            <w:tcW w:w="2200" w:type="dxa"/>
            <w:vAlign w:val="bottom"/>
            <w:tcBorders>
              <w:bottom w:val="single" w:sz="8" w:color="auto"/>
              <w:right w:val="single" w:sz="8" w:color="auto"/>
            </w:tcBorders>
          </w:tcPr>
          <w:p>
            <w:pPr>
              <w:spacing w:after="0"/>
              <w:rPr>
                <w:sz w:val="10"/>
                <w:szCs w:val="10"/>
                <w:color w:val="auto"/>
              </w:rPr>
            </w:pPr>
          </w:p>
        </w:tc>
        <w:tc>
          <w:tcPr>
            <w:tcW w:w="1580" w:type="dxa"/>
            <w:vAlign w:val="bottom"/>
            <w:tcBorders>
              <w:bottom w:val="single" w:sz="8" w:color="auto"/>
              <w:right w:val="single" w:sz="8" w:color="auto"/>
            </w:tcBorders>
          </w:tcPr>
          <w:p>
            <w:pPr>
              <w:spacing w:after="0"/>
              <w:rPr>
                <w:sz w:val="10"/>
                <w:szCs w:val="10"/>
                <w:color w:val="auto"/>
              </w:rPr>
            </w:pPr>
          </w:p>
        </w:tc>
        <w:tc>
          <w:tcPr>
            <w:tcW w:w="1580" w:type="dxa"/>
            <w:vAlign w:val="bottom"/>
            <w:tcBorders>
              <w:bottom w:val="single" w:sz="8" w:color="auto"/>
              <w:right w:val="single" w:sz="8" w:color="auto"/>
            </w:tcBorders>
          </w:tcPr>
          <w:p>
            <w:pPr>
              <w:spacing w:after="0"/>
              <w:rPr>
                <w:sz w:val="10"/>
                <w:szCs w:val="10"/>
                <w:color w:val="auto"/>
              </w:rPr>
            </w:pPr>
          </w:p>
        </w:tc>
        <w:tc>
          <w:tcPr>
            <w:tcW w:w="1520" w:type="dxa"/>
            <w:vAlign w:val="bottom"/>
            <w:tcBorders>
              <w:bottom w:val="single" w:sz="8" w:color="auto"/>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202"/>
        </w:trPr>
        <w:tc>
          <w:tcPr>
            <w:tcW w:w="1880" w:type="dxa"/>
            <w:vAlign w:val="bottom"/>
            <w:tcBorders>
              <w:left w:val="single" w:sz="8" w:color="auto"/>
              <w:right w:val="single" w:sz="8" w:color="auto"/>
            </w:tcBorders>
          </w:tcPr>
          <w:p>
            <w:pPr>
              <w:ind w:left="40"/>
              <w:spacing w:after="0" w:line="201" w:lineRule="exact"/>
              <w:rPr>
                <w:sz w:val="20"/>
                <w:szCs w:val="20"/>
                <w:color w:val="auto"/>
              </w:rPr>
            </w:pPr>
            <w:r>
              <w:rPr>
                <w:rFonts w:ascii="Arial" w:cs="Arial" w:eastAsia="Arial" w:hAnsi="Arial"/>
                <w:sz w:val="18"/>
                <w:szCs w:val="18"/>
                <w:color w:val="auto"/>
              </w:rPr>
              <w:t>Enphase</w:t>
            </w:r>
          </w:p>
        </w:tc>
        <w:tc>
          <w:tcPr>
            <w:tcW w:w="11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5"/>
              </w:rPr>
              <w:t>ENPH</w:t>
            </w:r>
          </w:p>
        </w:tc>
        <w:tc>
          <w:tcPr>
            <w:tcW w:w="136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5"/>
              </w:rPr>
              <w:t>No</w:t>
            </w:r>
          </w:p>
        </w:tc>
        <w:tc>
          <w:tcPr>
            <w:tcW w:w="22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0"/>
              </w:rPr>
              <w:t>Oct. 25, 2019</w:t>
            </w:r>
          </w:p>
        </w:tc>
        <w:tc>
          <w:tcPr>
            <w:tcW w:w="15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1"/>
              </w:rPr>
              <w:t>USD24.55</w:t>
            </w:r>
          </w:p>
        </w:tc>
        <w:tc>
          <w:tcPr>
            <w:tcW w:w="15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0"/>
              </w:rPr>
              <w:t>5.77%</w:t>
            </w:r>
          </w:p>
        </w:tc>
        <w:tc>
          <w:tcPr>
            <w:tcW w:w="15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2"/>
              </w:rPr>
              <w:t>USD131.22</w:t>
            </w:r>
          </w:p>
        </w:tc>
        <w:tc>
          <w:tcPr>
            <w:tcW w:w="0" w:type="dxa"/>
            <w:vAlign w:val="bottom"/>
          </w:tcPr>
          <w:p>
            <w:pPr>
              <w:spacing w:after="0"/>
              <w:rPr>
                <w:sz w:val="1"/>
                <w:szCs w:val="1"/>
                <w:color w:val="auto"/>
              </w:rPr>
            </w:pPr>
          </w:p>
        </w:tc>
      </w:tr>
      <w:tr>
        <w:trPr>
          <w:trHeight w:val="122"/>
        </w:trPr>
        <w:tc>
          <w:tcPr>
            <w:tcW w:w="1880" w:type="dxa"/>
            <w:vAlign w:val="bottom"/>
            <w:tcBorders>
              <w:left w:val="single" w:sz="8" w:color="auto"/>
              <w:right w:val="single" w:sz="8" w:color="auto"/>
            </w:tcBorders>
            <w:vMerge w:val="restart"/>
          </w:tcPr>
          <w:p>
            <w:pPr>
              <w:ind w:left="40"/>
              <w:spacing w:after="0"/>
              <w:rPr>
                <w:sz w:val="20"/>
                <w:szCs w:val="20"/>
                <w:color w:val="auto"/>
              </w:rPr>
            </w:pPr>
            <w:r>
              <w:rPr>
                <w:rFonts w:ascii="Arial" w:cs="Arial" w:eastAsia="Arial" w:hAnsi="Arial"/>
                <w:sz w:val="18"/>
                <w:szCs w:val="18"/>
                <w:color w:val="auto"/>
              </w:rPr>
              <w:t>Energy, Inc.</w:t>
            </w:r>
          </w:p>
        </w:tc>
        <w:tc>
          <w:tcPr>
            <w:tcW w:w="1120" w:type="dxa"/>
            <w:vAlign w:val="bottom"/>
            <w:tcBorders>
              <w:right w:val="single" w:sz="8" w:color="auto"/>
            </w:tcBorders>
            <w:vMerge w:val="continue"/>
          </w:tcPr>
          <w:p>
            <w:pPr>
              <w:spacing w:after="0"/>
              <w:rPr>
                <w:sz w:val="10"/>
                <w:szCs w:val="10"/>
                <w:color w:val="auto"/>
              </w:rPr>
            </w:pPr>
          </w:p>
        </w:tc>
        <w:tc>
          <w:tcPr>
            <w:tcW w:w="1360" w:type="dxa"/>
            <w:vAlign w:val="bottom"/>
            <w:tcBorders>
              <w:right w:val="single" w:sz="8" w:color="auto"/>
            </w:tcBorders>
            <w:vMerge w:val="continue"/>
          </w:tcPr>
          <w:p>
            <w:pPr>
              <w:spacing w:after="0"/>
              <w:rPr>
                <w:sz w:val="10"/>
                <w:szCs w:val="10"/>
                <w:color w:val="auto"/>
              </w:rPr>
            </w:pPr>
          </w:p>
        </w:tc>
        <w:tc>
          <w:tcPr>
            <w:tcW w:w="2200" w:type="dxa"/>
            <w:vAlign w:val="bottom"/>
            <w:tcBorders>
              <w:right w:val="single" w:sz="8" w:color="auto"/>
            </w:tcBorders>
            <w:vMerge w:val="continue"/>
          </w:tcPr>
          <w:p>
            <w:pPr>
              <w:spacing w:after="0"/>
              <w:rPr>
                <w:sz w:val="10"/>
                <w:szCs w:val="10"/>
                <w:color w:val="auto"/>
              </w:rPr>
            </w:pPr>
          </w:p>
        </w:tc>
        <w:tc>
          <w:tcPr>
            <w:tcW w:w="1580" w:type="dxa"/>
            <w:vAlign w:val="bottom"/>
            <w:tcBorders>
              <w:right w:val="single" w:sz="8" w:color="auto"/>
            </w:tcBorders>
            <w:vMerge w:val="continue"/>
          </w:tcPr>
          <w:p>
            <w:pPr>
              <w:spacing w:after="0"/>
              <w:rPr>
                <w:sz w:val="10"/>
                <w:szCs w:val="10"/>
                <w:color w:val="auto"/>
              </w:rPr>
            </w:pPr>
          </w:p>
        </w:tc>
        <w:tc>
          <w:tcPr>
            <w:tcW w:w="1580" w:type="dxa"/>
            <w:vAlign w:val="bottom"/>
            <w:tcBorders>
              <w:right w:val="single" w:sz="8" w:color="auto"/>
            </w:tcBorders>
            <w:vMerge w:val="continue"/>
          </w:tcPr>
          <w:p>
            <w:pPr>
              <w:spacing w:after="0"/>
              <w:rPr>
                <w:sz w:val="10"/>
                <w:szCs w:val="10"/>
                <w:color w:val="auto"/>
              </w:rPr>
            </w:pPr>
          </w:p>
        </w:tc>
        <w:tc>
          <w:tcPr>
            <w:tcW w:w="1520" w:type="dxa"/>
            <w:vAlign w:val="bottom"/>
            <w:tcBorders>
              <w:right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15"/>
        </w:trPr>
        <w:tc>
          <w:tcPr>
            <w:tcW w:w="1880" w:type="dxa"/>
            <w:vAlign w:val="bottom"/>
            <w:tcBorders>
              <w:left w:val="single" w:sz="8" w:color="auto"/>
              <w:bottom w:val="single" w:sz="8" w:color="auto"/>
              <w:right w:val="single" w:sz="8" w:color="auto"/>
            </w:tcBorders>
            <w:vMerge w:val="continue"/>
          </w:tcPr>
          <w:p>
            <w:pPr>
              <w:spacing w:after="0"/>
              <w:rPr>
                <w:sz w:val="10"/>
                <w:szCs w:val="10"/>
                <w:color w:val="auto"/>
              </w:rPr>
            </w:pPr>
          </w:p>
        </w:tc>
        <w:tc>
          <w:tcPr>
            <w:tcW w:w="1120" w:type="dxa"/>
            <w:vAlign w:val="bottom"/>
            <w:tcBorders>
              <w:bottom w:val="single" w:sz="8" w:color="auto"/>
              <w:right w:val="single" w:sz="8" w:color="auto"/>
            </w:tcBorders>
          </w:tcPr>
          <w:p>
            <w:pPr>
              <w:spacing w:after="0"/>
              <w:rPr>
                <w:sz w:val="10"/>
                <w:szCs w:val="10"/>
                <w:color w:val="auto"/>
              </w:rPr>
            </w:pPr>
          </w:p>
        </w:tc>
        <w:tc>
          <w:tcPr>
            <w:tcW w:w="1360" w:type="dxa"/>
            <w:vAlign w:val="bottom"/>
            <w:tcBorders>
              <w:bottom w:val="single" w:sz="8" w:color="auto"/>
              <w:right w:val="single" w:sz="8" w:color="auto"/>
            </w:tcBorders>
          </w:tcPr>
          <w:p>
            <w:pPr>
              <w:spacing w:after="0"/>
              <w:rPr>
                <w:sz w:val="10"/>
                <w:szCs w:val="10"/>
                <w:color w:val="auto"/>
              </w:rPr>
            </w:pPr>
          </w:p>
        </w:tc>
        <w:tc>
          <w:tcPr>
            <w:tcW w:w="2200" w:type="dxa"/>
            <w:vAlign w:val="bottom"/>
            <w:tcBorders>
              <w:bottom w:val="single" w:sz="8" w:color="auto"/>
              <w:right w:val="single" w:sz="8" w:color="auto"/>
            </w:tcBorders>
          </w:tcPr>
          <w:p>
            <w:pPr>
              <w:spacing w:after="0"/>
              <w:rPr>
                <w:sz w:val="10"/>
                <w:szCs w:val="10"/>
                <w:color w:val="auto"/>
              </w:rPr>
            </w:pPr>
          </w:p>
        </w:tc>
        <w:tc>
          <w:tcPr>
            <w:tcW w:w="1580" w:type="dxa"/>
            <w:vAlign w:val="bottom"/>
            <w:tcBorders>
              <w:bottom w:val="single" w:sz="8" w:color="auto"/>
              <w:right w:val="single" w:sz="8" w:color="auto"/>
            </w:tcBorders>
          </w:tcPr>
          <w:p>
            <w:pPr>
              <w:spacing w:after="0"/>
              <w:rPr>
                <w:sz w:val="10"/>
                <w:szCs w:val="10"/>
                <w:color w:val="auto"/>
              </w:rPr>
            </w:pPr>
          </w:p>
        </w:tc>
        <w:tc>
          <w:tcPr>
            <w:tcW w:w="1580" w:type="dxa"/>
            <w:vAlign w:val="bottom"/>
            <w:tcBorders>
              <w:bottom w:val="single" w:sz="8" w:color="auto"/>
              <w:right w:val="single" w:sz="8" w:color="auto"/>
            </w:tcBorders>
          </w:tcPr>
          <w:p>
            <w:pPr>
              <w:spacing w:after="0"/>
              <w:rPr>
                <w:sz w:val="10"/>
                <w:szCs w:val="10"/>
                <w:color w:val="auto"/>
              </w:rPr>
            </w:pPr>
          </w:p>
        </w:tc>
        <w:tc>
          <w:tcPr>
            <w:tcW w:w="1520" w:type="dxa"/>
            <w:vAlign w:val="bottom"/>
            <w:tcBorders>
              <w:bottom w:val="single" w:sz="8" w:color="auto"/>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202"/>
        </w:trPr>
        <w:tc>
          <w:tcPr>
            <w:tcW w:w="1880" w:type="dxa"/>
            <w:vAlign w:val="bottom"/>
            <w:tcBorders>
              <w:left w:val="single" w:sz="8" w:color="auto"/>
              <w:right w:val="single" w:sz="8" w:color="auto"/>
            </w:tcBorders>
          </w:tcPr>
          <w:p>
            <w:pPr>
              <w:ind w:left="40"/>
              <w:spacing w:after="0" w:line="201" w:lineRule="exact"/>
              <w:rPr>
                <w:sz w:val="20"/>
                <w:szCs w:val="20"/>
                <w:color w:val="auto"/>
              </w:rPr>
            </w:pPr>
            <w:r>
              <w:rPr>
                <w:rFonts w:ascii="Arial" w:cs="Arial" w:eastAsia="Arial" w:hAnsi="Arial"/>
                <w:sz w:val="18"/>
                <w:szCs w:val="18"/>
                <w:color w:val="auto"/>
              </w:rPr>
              <w:t>WiseTech</w:t>
            </w:r>
          </w:p>
        </w:tc>
        <w:tc>
          <w:tcPr>
            <w:tcW w:w="11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9"/>
              </w:rPr>
              <w:t>WTC.AX</w:t>
            </w:r>
          </w:p>
        </w:tc>
        <w:tc>
          <w:tcPr>
            <w:tcW w:w="136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83"/>
              </w:rPr>
              <w:t>Yes</w:t>
            </w:r>
          </w:p>
        </w:tc>
        <w:tc>
          <w:tcPr>
            <w:tcW w:w="22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0"/>
              </w:rPr>
              <w:t>Oct. 16, 2019</w:t>
            </w:r>
          </w:p>
        </w:tc>
        <w:tc>
          <w:tcPr>
            <w:tcW w:w="15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6"/>
              </w:rPr>
              <w:t>AUD30.00</w:t>
            </w:r>
          </w:p>
        </w:tc>
        <w:tc>
          <w:tcPr>
            <w:tcW w:w="15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2"/>
              </w:rPr>
              <w:t>-10.18%</w:t>
            </w:r>
          </w:p>
        </w:tc>
        <w:tc>
          <w:tcPr>
            <w:tcW w:w="15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3"/>
              </w:rPr>
              <w:t>AUD30.63</w:t>
            </w:r>
          </w:p>
        </w:tc>
        <w:tc>
          <w:tcPr>
            <w:tcW w:w="0" w:type="dxa"/>
            <w:vAlign w:val="bottom"/>
          </w:tcPr>
          <w:p>
            <w:pPr>
              <w:spacing w:after="0"/>
              <w:rPr>
                <w:sz w:val="1"/>
                <w:szCs w:val="1"/>
                <w:color w:val="auto"/>
              </w:rPr>
            </w:pPr>
          </w:p>
        </w:tc>
      </w:tr>
      <w:tr>
        <w:trPr>
          <w:trHeight w:val="122"/>
        </w:trPr>
        <w:tc>
          <w:tcPr>
            <w:tcW w:w="1880" w:type="dxa"/>
            <w:vAlign w:val="bottom"/>
            <w:tcBorders>
              <w:left w:val="single" w:sz="8" w:color="auto"/>
              <w:right w:val="single" w:sz="8" w:color="auto"/>
            </w:tcBorders>
            <w:vMerge w:val="restart"/>
          </w:tcPr>
          <w:p>
            <w:pPr>
              <w:ind w:left="40"/>
              <w:spacing w:after="0"/>
              <w:rPr>
                <w:sz w:val="20"/>
                <w:szCs w:val="20"/>
                <w:color w:val="auto"/>
              </w:rPr>
            </w:pPr>
            <w:r>
              <w:rPr>
                <w:rFonts w:ascii="Arial" w:cs="Arial" w:eastAsia="Arial" w:hAnsi="Arial"/>
                <w:sz w:val="18"/>
                <w:szCs w:val="18"/>
                <w:color w:val="auto"/>
              </w:rPr>
              <w:t>Global Ltd.</w:t>
            </w:r>
          </w:p>
        </w:tc>
        <w:tc>
          <w:tcPr>
            <w:tcW w:w="1120" w:type="dxa"/>
            <w:vAlign w:val="bottom"/>
            <w:tcBorders>
              <w:right w:val="single" w:sz="8" w:color="auto"/>
            </w:tcBorders>
            <w:vMerge w:val="continue"/>
          </w:tcPr>
          <w:p>
            <w:pPr>
              <w:spacing w:after="0"/>
              <w:rPr>
                <w:sz w:val="10"/>
                <w:szCs w:val="10"/>
                <w:color w:val="auto"/>
              </w:rPr>
            </w:pPr>
          </w:p>
        </w:tc>
        <w:tc>
          <w:tcPr>
            <w:tcW w:w="1360" w:type="dxa"/>
            <w:vAlign w:val="bottom"/>
            <w:tcBorders>
              <w:right w:val="single" w:sz="8" w:color="auto"/>
            </w:tcBorders>
            <w:vMerge w:val="continue"/>
          </w:tcPr>
          <w:p>
            <w:pPr>
              <w:spacing w:after="0"/>
              <w:rPr>
                <w:sz w:val="10"/>
                <w:szCs w:val="10"/>
                <w:color w:val="auto"/>
              </w:rPr>
            </w:pPr>
          </w:p>
        </w:tc>
        <w:tc>
          <w:tcPr>
            <w:tcW w:w="2200" w:type="dxa"/>
            <w:vAlign w:val="bottom"/>
            <w:tcBorders>
              <w:right w:val="single" w:sz="8" w:color="auto"/>
            </w:tcBorders>
            <w:vMerge w:val="continue"/>
          </w:tcPr>
          <w:p>
            <w:pPr>
              <w:spacing w:after="0"/>
              <w:rPr>
                <w:sz w:val="10"/>
                <w:szCs w:val="10"/>
                <w:color w:val="auto"/>
              </w:rPr>
            </w:pPr>
          </w:p>
        </w:tc>
        <w:tc>
          <w:tcPr>
            <w:tcW w:w="1580" w:type="dxa"/>
            <w:vAlign w:val="bottom"/>
            <w:tcBorders>
              <w:right w:val="single" w:sz="8" w:color="auto"/>
            </w:tcBorders>
            <w:vMerge w:val="continue"/>
          </w:tcPr>
          <w:p>
            <w:pPr>
              <w:spacing w:after="0"/>
              <w:rPr>
                <w:sz w:val="10"/>
                <w:szCs w:val="10"/>
                <w:color w:val="auto"/>
              </w:rPr>
            </w:pPr>
          </w:p>
        </w:tc>
        <w:tc>
          <w:tcPr>
            <w:tcW w:w="1580" w:type="dxa"/>
            <w:vAlign w:val="bottom"/>
            <w:tcBorders>
              <w:right w:val="single" w:sz="8" w:color="auto"/>
            </w:tcBorders>
            <w:vMerge w:val="continue"/>
          </w:tcPr>
          <w:p>
            <w:pPr>
              <w:spacing w:after="0"/>
              <w:rPr>
                <w:sz w:val="10"/>
                <w:szCs w:val="10"/>
                <w:color w:val="auto"/>
              </w:rPr>
            </w:pPr>
          </w:p>
        </w:tc>
        <w:tc>
          <w:tcPr>
            <w:tcW w:w="1520" w:type="dxa"/>
            <w:vAlign w:val="bottom"/>
            <w:tcBorders>
              <w:right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15"/>
        </w:trPr>
        <w:tc>
          <w:tcPr>
            <w:tcW w:w="1880" w:type="dxa"/>
            <w:vAlign w:val="bottom"/>
            <w:tcBorders>
              <w:left w:val="single" w:sz="8" w:color="auto"/>
              <w:bottom w:val="single" w:sz="8" w:color="auto"/>
              <w:right w:val="single" w:sz="8" w:color="auto"/>
            </w:tcBorders>
            <w:vMerge w:val="continue"/>
          </w:tcPr>
          <w:p>
            <w:pPr>
              <w:spacing w:after="0"/>
              <w:rPr>
                <w:sz w:val="10"/>
                <w:szCs w:val="10"/>
                <w:color w:val="auto"/>
              </w:rPr>
            </w:pPr>
          </w:p>
        </w:tc>
        <w:tc>
          <w:tcPr>
            <w:tcW w:w="1120" w:type="dxa"/>
            <w:vAlign w:val="bottom"/>
            <w:tcBorders>
              <w:bottom w:val="single" w:sz="8" w:color="auto"/>
              <w:right w:val="single" w:sz="8" w:color="auto"/>
            </w:tcBorders>
          </w:tcPr>
          <w:p>
            <w:pPr>
              <w:spacing w:after="0"/>
              <w:rPr>
                <w:sz w:val="10"/>
                <w:szCs w:val="10"/>
                <w:color w:val="auto"/>
              </w:rPr>
            </w:pPr>
          </w:p>
        </w:tc>
        <w:tc>
          <w:tcPr>
            <w:tcW w:w="1360" w:type="dxa"/>
            <w:vAlign w:val="bottom"/>
            <w:tcBorders>
              <w:bottom w:val="single" w:sz="8" w:color="auto"/>
              <w:right w:val="single" w:sz="8" w:color="auto"/>
            </w:tcBorders>
          </w:tcPr>
          <w:p>
            <w:pPr>
              <w:spacing w:after="0"/>
              <w:rPr>
                <w:sz w:val="10"/>
                <w:szCs w:val="10"/>
                <w:color w:val="auto"/>
              </w:rPr>
            </w:pPr>
          </w:p>
        </w:tc>
        <w:tc>
          <w:tcPr>
            <w:tcW w:w="2200" w:type="dxa"/>
            <w:vAlign w:val="bottom"/>
            <w:tcBorders>
              <w:bottom w:val="single" w:sz="8" w:color="auto"/>
              <w:right w:val="single" w:sz="8" w:color="auto"/>
            </w:tcBorders>
          </w:tcPr>
          <w:p>
            <w:pPr>
              <w:spacing w:after="0"/>
              <w:rPr>
                <w:sz w:val="10"/>
                <w:szCs w:val="10"/>
                <w:color w:val="auto"/>
              </w:rPr>
            </w:pPr>
          </w:p>
        </w:tc>
        <w:tc>
          <w:tcPr>
            <w:tcW w:w="1580" w:type="dxa"/>
            <w:vAlign w:val="bottom"/>
            <w:tcBorders>
              <w:bottom w:val="single" w:sz="8" w:color="auto"/>
              <w:right w:val="single" w:sz="8" w:color="auto"/>
            </w:tcBorders>
          </w:tcPr>
          <w:p>
            <w:pPr>
              <w:spacing w:after="0"/>
              <w:rPr>
                <w:sz w:val="10"/>
                <w:szCs w:val="10"/>
                <w:color w:val="auto"/>
              </w:rPr>
            </w:pPr>
          </w:p>
        </w:tc>
        <w:tc>
          <w:tcPr>
            <w:tcW w:w="1580" w:type="dxa"/>
            <w:vAlign w:val="bottom"/>
            <w:tcBorders>
              <w:bottom w:val="single" w:sz="8" w:color="auto"/>
              <w:right w:val="single" w:sz="8" w:color="auto"/>
            </w:tcBorders>
          </w:tcPr>
          <w:p>
            <w:pPr>
              <w:spacing w:after="0"/>
              <w:rPr>
                <w:sz w:val="10"/>
                <w:szCs w:val="10"/>
                <w:color w:val="auto"/>
              </w:rPr>
            </w:pPr>
          </w:p>
        </w:tc>
        <w:tc>
          <w:tcPr>
            <w:tcW w:w="1520" w:type="dxa"/>
            <w:vAlign w:val="bottom"/>
            <w:tcBorders>
              <w:bottom w:val="single" w:sz="8" w:color="auto"/>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223"/>
        </w:trPr>
        <w:tc>
          <w:tcPr>
            <w:tcW w:w="18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BeiGene, Ltd.</w:t>
            </w:r>
          </w:p>
        </w:tc>
        <w:tc>
          <w:tcPr>
            <w:tcW w:w="11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3"/>
              </w:rPr>
              <w:t>BGNE</w:t>
            </w:r>
          </w:p>
        </w:tc>
        <w:tc>
          <w:tcPr>
            <w:tcW w:w="13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3"/>
              </w:rPr>
              <w:t>Yes</w:t>
            </w:r>
          </w:p>
        </w:tc>
        <w:tc>
          <w:tcPr>
            <w:tcW w:w="22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8"/>
              </w:rPr>
              <w:t>Sep. 5, 2019</w:t>
            </w:r>
          </w:p>
        </w:tc>
        <w:tc>
          <w:tcPr>
            <w:tcW w:w="15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0"/>
              </w:rPr>
              <w:t>USD131.03</w:t>
            </w:r>
          </w:p>
        </w:tc>
        <w:tc>
          <w:tcPr>
            <w:tcW w:w="15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1"/>
              </w:rPr>
              <w:t>-6.78%</w:t>
            </w:r>
          </w:p>
        </w:tc>
        <w:tc>
          <w:tcPr>
            <w:tcW w:w="15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2"/>
              </w:rPr>
              <w:t>USD284.46</w:t>
            </w:r>
          </w:p>
        </w:tc>
        <w:tc>
          <w:tcPr>
            <w:tcW w:w="0" w:type="dxa"/>
            <w:vAlign w:val="bottom"/>
          </w:tcPr>
          <w:p>
            <w:pPr>
              <w:spacing w:after="0"/>
              <w:rPr>
                <w:sz w:val="1"/>
                <w:szCs w:val="1"/>
                <w:color w:val="auto"/>
              </w:rPr>
            </w:pPr>
          </w:p>
        </w:tc>
      </w:tr>
      <w:tr>
        <w:trPr>
          <w:trHeight w:val="202"/>
        </w:trPr>
        <w:tc>
          <w:tcPr>
            <w:tcW w:w="1880" w:type="dxa"/>
            <w:vAlign w:val="bottom"/>
            <w:tcBorders>
              <w:left w:val="single" w:sz="8" w:color="auto"/>
              <w:right w:val="single" w:sz="8" w:color="auto"/>
            </w:tcBorders>
          </w:tcPr>
          <w:p>
            <w:pPr>
              <w:ind w:left="40"/>
              <w:spacing w:after="0" w:line="201" w:lineRule="exact"/>
              <w:rPr>
                <w:sz w:val="20"/>
                <w:szCs w:val="20"/>
                <w:color w:val="auto"/>
              </w:rPr>
            </w:pPr>
            <w:r>
              <w:rPr>
                <w:rFonts w:ascii="Arial" w:cs="Arial" w:eastAsia="Arial" w:hAnsi="Arial"/>
                <w:sz w:val="18"/>
                <w:szCs w:val="18"/>
                <w:color w:val="auto"/>
              </w:rPr>
              <w:t>A.O. Smith</w:t>
            </w:r>
          </w:p>
        </w:tc>
        <w:tc>
          <w:tcPr>
            <w:tcW w:w="11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4"/>
              </w:rPr>
              <w:t>AOS</w:t>
            </w:r>
          </w:p>
        </w:tc>
        <w:tc>
          <w:tcPr>
            <w:tcW w:w="136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83"/>
              </w:rPr>
              <w:t>Yes</w:t>
            </w:r>
          </w:p>
        </w:tc>
        <w:tc>
          <w:tcPr>
            <w:tcW w:w="22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1"/>
              </w:rPr>
              <w:t>May 16, 2019</w:t>
            </w:r>
          </w:p>
        </w:tc>
        <w:tc>
          <w:tcPr>
            <w:tcW w:w="15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1"/>
              </w:rPr>
              <w:t>USD45.12</w:t>
            </w:r>
          </w:p>
        </w:tc>
        <w:tc>
          <w:tcPr>
            <w:tcW w:w="15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1"/>
              </w:rPr>
              <w:t>-6.27%</w:t>
            </w:r>
          </w:p>
        </w:tc>
        <w:tc>
          <w:tcPr>
            <w:tcW w:w="15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3"/>
              </w:rPr>
              <w:t>USD55.91</w:t>
            </w:r>
          </w:p>
        </w:tc>
        <w:tc>
          <w:tcPr>
            <w:tcW w:w="0" w:type="dxa"/>
            <w:vAlign w:val="bottom"/>
          </w:tcPr>
          <w:p>
            <w:pPr>
              <w:spacing w:after="0"/>
              <w:rPr>
                <w:sz w:val="1"/>
                <w:szCs w:val="1"/>
                <w:color w:val="auto"/>
              </w:rPr>
            </w:pPr>
          </w:p>
        </w:tc>
      </w:tr>
      <w:tr>
        <w:trPr>
          <w:trHeight w:val="122"/>
        </w:trPr>
        <w:tc>
          <w:tcPr>
            <w:tcW w:w="1880" w:type="dxa"/>
            <w:vAlign w:val="bottom"/>
            <w:tcBorders>
              <w:left w:val="single" w:sz="8" w:color="auto"/>
              <w:right w:val="single" w:sz="8" w:color="auto"/>
            </w:tcBorders>
            <w:vMerge w:val="restart"/>
          </w:tcPr>
          <w:p>
            <w:pPr>
              <w:ind w:left="40"/>
              <w:spacing w:after="0"/>
              <w:rPr>
                <w:sz w:val="20"/>
                <w:szCs w:val="20"/>
                <w:color w:val="auto"/>
              </w:rPr>
            </w:pPr>
            <w:r>
              <w:rPr>
                <w:rFonts w:ascii="Arial" w:cs="Arial" w:eastAsia="Arial" w:hAnsi="Arial"/>
                <w:sz w:val="18"/>
                <w:szCs w:val="18"/>
                <w:color w:val="auto"/>
              </w:rPr>
              <w:t>Corporation</w:t>
            </w:r>
          </w:p>
        </w:tc>
        <w:tc>
          <w:tcPr>
            <w:tcW w:w="1120" w:type="dxa"/>
            <w:vAlign w:val="bottom"/>
            <w:tcBorders>
              <w:right w:val="single" w:sz="8" w:color="auto"/>
            </w:tcBorders>
            <w:vMerge w:val="continue"/>
          </w:tcPr>
          <w:p>
            <w:pPr>
              <w:spacing w:after="0"/>
              <w:rPr>
                <w:sz w:val="10"/>
                <w:szCs w:val="10"/>
                <w:color w:val="auto"/>
              </w:rPr>
            </w:pPr>
          </w:p>
        </w:tc>
        <w:tc>
          <w:tcPr>
            <w:tcW w:w="1360" w:type="dxa"/>
            <w:vAlign w:val="bottom"/>
            <w:tcBorders>
              <w:right w:val="single" w:sz="8" w:color="auto"/>
            </w:tcBorders>
            <w:vMerge w:val="continue"/>
          </w:tcPr>
          <w:p>
            <w:pPr>
              <w:spacing w:after="0"/>
              <w:rPr>
                <w:sz w:val="10"/>
                <w:szCs w:val="10"/>
                <w:color w:val="auto"/>
              </w:rPr>
            </w:pPr>
          </w:p>
        </w:tc>
        <w:tc>
          <w:tcPr>
            <w:tcW w:w="2200" w:type="dxa"/>
            <w:vAlign w:val="bottom"/>
            <w:tcBorders>
              <w:right w:val="single" w:sz="8" w:color="auto"/>
            </w:tcBorders>
            <w:vMerge w:val="continue"/>
          </w:tcPr>
          <w:p>
            <w:pPr>
              <w:spacing w:after="0"/>
              <w:rPr>
                <w:sz w:val="10"/>
                <w:szCs w:val="10"/>
                <w:color w:val="auto"/>
              </w:rPr>
            </w:pPr>
          </w:p>
        </w:tc>
        <w:tc>
          <w:tcPr>
            <w:tcW w:w="1580" w:type="dxa"/>
            <w:vAlign w:val="bottom"/>
            <w:tcBorders>
              <w:right w:val="single" w:sz="8" w:color="auto"/>
            </w:tcBorders>
            <w:vMerge w:val="continue"/>
          </w:tcPr>
          <w:p>
            <w:pPr>
              <w:spacing w:after="0"/>
              <w:rPr>
                <w:sz w:val="10"/>
                <w:szCs w:val="10"/>
                <w:color w:val="auto"/>
              </w:rPr>
            </w:pPr>
          </w:p>
        </w:tc>
        <w:tc>
          <w:tcPr>
            <w:tcW w:w="1580" w:type="dxa"/>
            <w:vAlign w:val="bottom"/>
            <w:tcBorders>
              <w:right w:val="single" w:sz="8" w:color="auto"/>
            </w:tcBorders>
            <w:vMerge w:val="continue"/>
          </w:tcPr>
          <w:p>
            <w:pPr>
              <w:spacing w:after="0"/>
              <w:rPr>
                <w:sz w:val="10"/>
                <w:szCs w:val="10"/>
                <w:color w:val="auto"/>
              </w:rPr>
            </w:pPr>
          </w:p>
        </w:tc>
        <w:tc>
          <w:tcPr>
            <w:tcW w:w="1520" w:type="dxa"/>
            <w:vAlign w:val="bottom"/>
            <w:tcBorders>
              <w:right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15"/>
        </w:trPr>
        <w:tc>
          <w:tcPr>
            <w:tcW w:w="1880" w:type="dxa"/>
            <w:vAlign w:val="bottom"/>
            <w:tcBorders>
              <w:left w:val="single" w:sz="8" w:color="auto"/>
              <w:bottom w:val="single" w:sz="8" w:color="auto"/>
              <w:right w:val="single" w:sz="8" w:color="auto"/>
            </w:tcBorders>
            <w:vMerge w:val="continue"/>
          </w:tcPr>
          <w:p>
            <w:pPr>
              <w:spacing w:after="0"/>
              <w:rPr>
                <w:sz w:val="10"/>
                <w:szCs w:val="10"/>
                <w:color w:val="auto"/>
              </w:rPr>
            </w:pPr>
          </w:p>
        </w:tc>
        <w:tc>
          <w:tcPr>
            <w:tcW w:w="1120" w:type="dxa"/>
            <w:vAlign w:val="bottom"/>
            <w:tcBorders>
              <w:bottom w:val="single" w:sz="8" w:color="auto"/>
              <w:right w:val="single" w:sz="8" w:color="auto"/>
            </w:tcBorders>
          </w:tcPr>
          <w:p>
            <w:pPr>
              <w:spacing w:after="0"/>
              <w:rPr>
                <w:sz w:val="10"/>
                <w:szCs w:val="10"/>
                <w:color w:val="auto"/>
              </w:rPr>
            </w:pPr>
          </w:p>
        </w:tc>
        <w:tc>
          <w:tcPr>
            <w:tcW w:w="1360" w:type="dxa"/>
            <w:vAlign w:val="bottom"/>
            <w:tcBorders>
              <w:bottom w:val="single" w:sz="8" w:color="auto"/>
              <w:right w:val="single" w:sz="8" w:color="auto"/>
            </w:tcBorders>
          </w:tcPr>
          <w:p>
            <w:pPr>
              <w:spacing w:after="0"/>
              <w:rPr>
                <w:sz w:val="10"/>
                <w:szCs w:val="10"/>
                <w:color w:val="auto"/>
              </w:rPr>
            </w:pPr>
          </w:p>
        </w:tc>
        <w:tc>
          <w:tcPr>
            <w:tcW w:w="2200" w:type="dxa"/>
            <w:vAlign w:val="bottom"/>
            <w:tcBorders>
              <w:bottom w:val="single" w:sz="8" w:color="auto"/>
              <w:right w:val="single" w:sz="8" w:color="auto"/>
            </w:tcBorders>
          </w:tcPr>
          <w:p>
            <w:pPr>
              <w:spacing w:after="0"/>
              <w:rPr>
                <w:sz w:val="10"/>
                <w:szCs w:val="10"/>
                <w:color w:val="auto"/>
              </w:rPr>
            </w:pPr>
          </w:p>
        </w:tc>
        <w:tc>
          <w:tcPr>
            <w:tcW w:w="1580" w:type="dxa"/>
            <w:vAlign w:val="bottom"/>
            <w:tcBorders>
              <w:bottom w:val="single" w:sz="8" w:color="auto"/>
              <w:right w:val="single" w:sz="8" w:color="auto"/>
            </w:tcBorders>
          </w:tcPr>
          <w:p>
            <w:pPr>
              <w:spacing w:after="0"/>
              <w:rPr>
                <w:sz w:val="10"/>
                <w:szCs w:val="10"/>
                <w:color w:val="auto"/>
              </w:rPr>
            </w:pPr>
          </w:p>
        </w:tc>
        <w:tc>
          <w:tcPr>
            <w:tcW w:w="1580" w:type="dxa"/>
            <w:vAlign w:val="bottom"/>
            <w:tcBorders>
              <w:bottom w:val="single" w:sz="8" w:color="auto"/>
              <w:right w:val="single" w:sz="8" w:color="auto"/>
            </w:tcBorders>
          </w:tcPr>
          <w:p>
            <w:pPr>
              <w:spacing w:after="0"/>
              <w:rPr>
                <w:sz w:val="10"/>
                <w:szCs w:val="10"/>
                <w:color w:val="auto"/>
              </w:rPr>
            </w:pPr>
          </w:p>
        </w:tc>
        <w:tc>
          <w:tcPr>
            <w:tcW w:w="1520" w:type="dxa"/>
            <w:vAlign w:val="bottom"/>
            <w:tcBorders>
              <w:bottom w:val="single" w:sz="8" w:color="auto"/>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223"/>
        </w:trPr>
        <w:tc>
          <w:tcPr>
            <w:tcW w:w="18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Uxin Limited</w:t>
            </w:r>
          </w:p>
        </w:tc>
        <w:tc>
          <w:tcPr>
            <w:tcW w:w="11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UXIN</w:t>
            </w:r>
          </w:p>
        </w:tc>
        <w:tc>
          <w:tcPr>
            <w:tcW w:w="13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3"/>
              </w:rPr>
              <w:t>Yes</w:t>
            </w:r>
          </w:p>
        </w:tc>
        <w:tc>
          <w:tcPr>
            <w:tcW w:w="22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2"/>
              </w:rPr>
              <w:t>Apr. 16, 2019</w:t>
            </w:r>
          </w:p>
        </w:tc>
        <w:tc>
          <w:tcPr>
            <w:tcW w:w="15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3"/>
              </w:rPr>
              <w:t>USD1.95</w:t>
            </w:r>
          </w:p>
        </w:tc>
        <w:tc>
          <w:tcPr>
            <w:tcW w:w="15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2"/>
              </w:rPr>
              <w:t>-36.07%</w:t>
            </w:r>
          </w:p>
        </w:tc>
        <w:tc>
          <w:tcPr>
            <w:tcW w:w="15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0"/>
              </w:rPr>
              <w:t>USD1.22</w:t>
            </w:r>
          </w:p>
        </w:tc>
        <w:tc>
          <w:tcPr>
            <w:tcW w:w="0" w:type="dxa"/>
            <w:vAlign w:val="bottom"/>
          </w:tcPr>
          <w:p>
            <w:pPr>
              <w:spacing w:after="0"/>
              <w:rPr>
                <w:sz w:val="1"/>
                <w:szCs w:val="1"/>
                <w:color w:val="auto"/>
              </w:rPr>
            </w:pPr>
          </w:p>
        </w:tc>
      </w:tr>
      <w:tr>
        <w:trPr>
          <w:trHeight w:val="223"/>
        </w:trPr>
        <w:tc>
          <w:tcPr>
            <w:tcW w:w="18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Fanhua Inc.</w:t>
            </w:r>
          </w:p>
        </w:tc>
        <w:tc>
          <w:tcPr>
            <w:tcW w:w="11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7"/>
              </w:rPr>
              <w:t>FANH</w:t>
            </w:r>
          </w:p>
        </w:tc>
        <w:tc>
          <w:tcPr>
            <w:tcW w:w="13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3"/>
              </w:rPr>
              <w:t>Yes</w:t>
            </w:r>
          </w:p>
        </w:tc>
        <w:tc>
          <w:tcPr>
            <w:tcW w:w="22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7"/>
              </w:rPr>
              <w:t>Jan. 17, 2019</w:t>
            </w:r>
          </w:p>
        </w:tc>
        <w:tc>
          <w:tcPr>
            <w:tcW w:w="15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1"/>
              </w:rPr>
              <w:t>USD20.10</w:t>
            </w:r>
          </w:p>
        </w:tc>
        <w:tc>
          <w:tcPr>
            <w:tcW w:w="15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2"/>
              </w:rPr>
              <w:t>-12.42%</w:t>
            </w:r>
          </w:p>
        </w:tc>
        <w:tc>
          <w:tcPr>
            <w:tcW w:w="15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3"/>
              </w:rPr>
              <w:t>USD14.43</w:t>
            </w:r>
          </w:p>
        </w:tc>
        <w:tc>
          <w:tcPr>
            <w:tcW w:w="0" w:type="dxa"/>
            <w:vAlign w:val="bottom"/>
          </w:tcPr>
          <w:p>
            <w:pPr>
              <w:spacing w:after="0"/>
              <w:rPr>
                <w:sz w:val="1"/>
                <w:szCs w:val="1"/>
                <w:color w:val="auto"/>
              </w:rPr>
            </w:pPr>
          </w:p>
        </w:tc>
      </w:tr>
      <w:tr>
        <w:trPr>
          <w:trHeight w:val="202"/>
        </w:trPr>
        <w:tc>
          <w:tcPr>
            <w:tcW w:w="1880" w:type="dxa"/>
            <w:vAlign w:val="bottom"/>
            <w:tcBorders>
              <w:left w:val="single" w:sz="8" w:color="auto"/>
              <w:right w:val="single" w:sz="8" w:color="auto"/>
            </w:tcBorders>
          </w:tcPr>
          <w:p>
            <w:pPr>
              <w:ind w:left="40"/>
              <w:spacing w:after="0" w:line="201" w:lineRule="exact"/>
              <w:rPr>
                <w:sz w:val="20"/>
                <w:szCs w:val="20"/>
                <w:color w:val="auto"/>
              </w:rPr>
            </w:pPr>
            <w:r>
              <w:rPr>
                <w:rFonts w:ascii="Arial" w:cs="Arial" w:eastAsia="Arial" w:hAnsi="Arial"/>
                <w:sz w:val="18"/>
                <w:szCs w:val="18"/>
                <w:color w:val="auto"/>
              </w:rPr>
              <w:t>China Customer</w:t>
            </w:r>
          </w:p>
        </w:tc>
        <w:tc>
          <w:tcPr>
            <w:tcW w:w="1120" w:type="dxa"/>
            <w:vAlign w:val="bottom"/>
            <w:tcBorders>
              <w:right w:val="single" w:sz="8" w:color="auto"/>
            </w:tcBorders>
          </w:tcPr>
          <w:p>
            <w:pPr>
              <w:spacing w:after="0"/>
              <w:rPr>
                <w:sz w:val="17"/>
                <w:szCs w:val="17"/>
                <w:color w:val="auto"/>
              </w:rPr>
            </w:pPr>
          </w:p>
        </w:tc>
        <w:tc>
          <w:tcPr>
            <w:tcW w:w="1360" w:type="dxa"/>
            <w:vAlign w:val="bottom"/>
            <w:tcBorders>
              <w:right w:val="single" w:sz="8" w:color="auto"/>
            </w:tcBorders>
          </w:tcPr>
          <w:p>
            <w:pPr>
              <w:spacing w:after="0"/>
              <w:rPr>
                <w:sz w:val="17"/>
                <w:szCs w:val="17"/>
                <w:color w:val="auto"/>
              </w:rPr>
            </w:pPr>
          </w:p>
        </w:tc>
        <w:tc>
          <w:tcPr>
            <w:tcW w:w="2200" w:type="dxa"/>
            <w:vAlign w:val="bottom"/>
            <w:tcBorders>
              <w:right w:val="single" w:sz="8" w:color="auto"/>
            </w:tcBorders>
          </w:tcPr>
          <w:p>
            <w:pPr>
              <w:spacing w:after="0"/>
              <w:rPr>
                <w:sz w:val="17"/>
                <w:szCs w:val="17"/>
                <w:color w:val="auto"/>
              </w:rPr>
            </w:pPr>
          </w:p>
        </w:tc>
        <w:tc>
          <w:tcPr>
            <w:tcW w:w="1580" w:type="dxa"/>
            <w:vAlign w:val="bottom"/>
            <w:tcBorders>
              <w:right w:val="single" w:sz="8" w:color="auto"/>
            </w:tcBorders>
          </w:tcPr>
          <w:p>
            <w:pPr>
              <w:spacing w:after="0"/>
              <w:rPr>
                <w:sz w:val="17"/>
                <w:szCs w:val="17"/>
                <w:color w:val="auto"/>
              </w:rPr>
            </w:pPr>
          </w:p>
        </w:tc>
        <w:tc>
          <w:tcPr>
            <w:tcW w:w="1580" w:type="dxa"/>
            <w:vAlign w:val="bottom"/>
            <w:tcBorders>
              <w:right w:val="single" w:sz="8" w:color="auto"/>
            </w:tcBorders>
          </w:tcPr>
          <w:p>
            <w:pPr>
              <w:spacing w:after="0"/>
              <w:rPr>
                <w:sz w:val="17"/>
                <w:szCs w:val="17"/>
                <w:color w:val="auto"/>
              </w:rPr>
            </w:pPr>
          </w:p>
        </w:tc>
        <w:tc>
          <w:tcPr>
            <w:tcW w:w="152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88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Relations Centers,</w:t>
            </w:r>
          </w:p>
        </w:tc>
        <w:tc>
          <w:tcPr>
            <w:tcW w:w="11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2"/>
              </w:rPr>
              <w:t>CCRC</w:t>
            </w:r>
          </w:p>
        </w:tc>
        <w:tc>
          <w:tcPr>
            <w:tcW w:w="136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3"/>
              </w:rPr>
              <w:t>Yes</w:t>
            </w:r>
          </w:p>
        </w:tc>
        <w:tc>
          <w:tcPr>
            <w:tcW w:w="22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7"/>
              </w:rPr>
              <w:t>Jan. 14, 2018</w:t>
            </w:r>
          </w:p>
        </w:tc>
        <w:tc>
          <w:tcPr>
            <w:tcW w:w="15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1"/>
              </w:rPr>
              <w:t>USD12.39</w:t>
            </w:r>
          </w:p>
        </w:tc>
        <w:tc>
          <w:tcPr>
            <w:tcW w:w="15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0"/>
              </w:rPr>
              <w:t>4.29%</w:t>
            </w:r>
          </w:p>
        </w:tc>
        <w:tc>
          <w:tcPr>
            <w:tcW w:w="15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0"/>
              </w:rPr>
              <w:t>USD4.98</w:t>
            </w:r>
          </w:p>
        </w:tc>
        <w:tc>
          <w:tcPr>
            <w:tcW w:w="0" w:type="dxa"/>
            <w:vAlign w:val="bottom"/>
          </w:tcPr>
          <w:p>
            <w:pPr>
              <w:spacing w:after="0"/>
              <w:rPr>
                <w:sz w:val="1"/>
                <w:szCs w:val="1"/>
                <w:color w:val="auto"/>
              </w:rPr>
            </w:pPr>
          </w:p>
        </w:tc>
      </w:tr>
      <w:tr>
        <w:trPr>
          <w:trHeight w:val="237"/>
        </w:trPr>
        <w:tc>
          <w:tcPr>
            <w:tcW w:w="18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Inc.</w:t>
            </w:r>
          </w:p>
        </w:tc>
        <w:tc>
          <w:tcPr>
            <w:tcW w:w="1120" w:type="dxa"/>
            <w:vAlign w:val="bottom"/>
            <w:tcBorders>
              <w:bottom w:val="single" w:sz="8" w:color="auto"/>
              <w:right w:val="single" w:sz="8" w:color="auto"/>
            </w:tcBorders>
          </w:tcPr>
          <w:p>
            <w:pPr>
              <w:spacing w:after="0"/>
              <w:rPr>
                <w:sz w:val="20"/>
                <w:szCs w:val="20"/>
                <w:color w:val="auto"/>
              </w:rPr>
            </w:pPr>
          </w:p>
        </w:tc>
        <w:tc>
          <w:tcPr>
            <w:tcW w:w="1360" w:type="dxa"/>
            <w:vAlign w:val="bottom"/>
            <w:tcBorders>
              <w:bottom w:val="single" w:sz="8" w:color="auto"/>
              <w:right w:val="single" w:sz="8" w:color="auto"/>
            </w:tcBorders>
          </w:tcPr>
          <w:p>
            <w:pPr>
              <w:spacing w:after="0"/>
              <w:rPr>
                <w:sz w:val="20"/>
                <w:szCs w:val="20"/>
                <w:color w:val="auto"/>
              </w:rPr>
            </w:pPr>
          </w:p>
        </w:tc>
        <w:tc>
          <w:tcPr>
            <w:tcW w:w="2200" w:type="dxa"/>
            <w:vAlign w:val="bottom"/>
            <w:tcBorders>
              <w:bottom w:val="single" w:sz="8" w:color="auto"/>
              <w:right w:val="single" w:sz="8" w:color="auto"/>
            </w:tcBorders>
          </w:tcPr>
          <w:p>
            <w:pPr>
              <w:spacing w:after="0"/>
              <w:rPr>
                <w:sz w:val="20"/>
                <w:szCs w:val="20"/>
                <w:color w:val="auto"/>
              </w:rPr>
            </w:pPr>
          </w:p>
        </w:tc>
        <w:tc>
          <w:tcPr>
            <w:tcW w:w="1580" w:type="dxa"/>
            <w:vAlign w:val="bottom"/>
            <w:tcBorders>
              <w:bottom w:val="single" w:sz="8" w:color="auto"/>
              <w:right w:val="single" w:sz="8" w:color="auto"/>
            </w:tcBorders>
          </w:tcPr>
          <w:p>
            <w:pPr>
              <w:spacing w:after="0"/>
              <w:rPr>
                <w:sz w:val="20"/>
                <w:szCs w:val="20"/>
                <w:color w:val="auto"/>
              </w:rPr>
            </w:pPr>
          </w:p>
        </w:tc>
        <w:tc>
          <w:tcPr>
            <w:tcW w:w="1580" w:type="dxa"/>
            <w:vAlign w:val="bottom"/>
            <w:tcBorders>
              <w:bottom w:val="single" w:sz="8" w:color="auto"/>
              <w:right w:val="single" w:sz="8" w:color="auto"/>
            </w:tcBorders>
          </w:tcPr>
          <w:p>
            <w:pPr>
              <w:spacing w:after="0"/>
              <w:rPr>
                <w:sz w:val="20"/>
                <w:szCs w:val="20"/>
                <w:color w:val="auto"/>
              </w:rPr>
            </w:pPr>
          </w:p>
        </w:tc>
        <w:tc>
          <w:tcPr>
            <w:tcW w:w="152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1880" w:type="dxa"/>
            <w:vAlign w:val="bottom"/>
            <w:tcBorders>
              <w:left w:val="single" w:sz="8" w:color="auto"/>
              <w:right w:val="single" w:sz="8" w:color="auto"/>
            </w:tcBorders>
          </w:tcPr>
          <w:p>
            <w:pPr>
              <w:ind w:left="40"/>
              <w:spacing w:after="0" w:line="201" w:lineRule="exact"/>
              <w:rPr>
                <w:sz w:val="20"/>
                <w:szCs w:val="20"/>
                <w:color w:val="auto"/>
              </w:rPr>
            </w:pPr>
            <w:r>
              <w:rPr>
                <w:rFonts w:ascii="Arial" w:cs="Arial" w:eastAsia="Arial" w:hAnsi="Arial"/>
                <w:sz w:val="18"/>
                <w:szCs w:val="18"/>
                <w:color w:val="auto"/>
              </w:rPr>
              <w:t>Sorrento</w:t>
            </w:r>
          </w:p>
        </w:tc>
        <w:tc>
          <w:tcPr>
            <w:tcW w:w="11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1"/>
              </w:rPr>
              <w:t>SRNE</w:t>
            </w:r>
          </w:p>
        </w:tc>
        <w:tc>
          <w:tcPr>
            <w:tcW w:w="136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83"/>
              </w:rPr>
              <w:t>Yes</w:t>
            </w:r>
          </w:p>
        </w:tc>
        <w:tc>
          <w:tcPr>
            <w:tcW w:w="22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89"/>
              </w:rPr>
              <w:t>Mar. 27, 2018</w:t>
            </w:r>
          </w:p>
        </w:tc>
        <w:tc>
          <w:tcPr>
            <w:tcW w:w="15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3"/>
              </w:rPr>
              <w:t>USD4.60</w:t>
            </w:r>
          </w:p>
        </w:tc>
        <w:tc>
          <w:tcPr>
            <w:tcW w:w="15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2"/>
              </w:rPr>
              <w:t>-26.98%</w:t>
            </w:r>
          </w:p>
        </w:tc>
        <w:tc>
          <w:tcPr>
            <w:tcW w:w="15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0"/>
              </w:rPr>
              <w:t>USD7.73</w:t>
            </w:r>
          </w:p>
        </w:tc>
        <w:tc>
          <w:tcPr>
            <w:tcW w:w="0" w:type="dxa"/>
            <w:vAlign w:val="bottom"/>
          </w:tcPr>
          <w:p>
            <w:pPr>
              <w:spacing w:after="0"/>
              <w:rPr>
                <w:sz w:val="1"/>
                <w:szCs w:val="1"/>
                <w:color w:val="auto"/>
              </w:rPr>
            </w:pPr>
          </w:p>
        </w:tc>
      </w:tr>
      <w:tr>
        <w:trPr>
          <w:trHeight w:val="122"/>
        </w:trPr>
        <w:tc>
          <w:tcPr>
            <w:tcW w:w="1880" w:type="dxa"/>
            <w:vAlign w:val="bottom"/>
            <w:tcBorders>
              <w:left w:val="single" w:sz="8" w:color="auto"/>
              <w:right w:val="single" w:sz="8" w:color="auto"/>
            </w:tcBorders>
            <w:vMerge w:val="restart"/>
          </w:tcPr>
          <w:p>
            <w:pPr>
              <w:ind w:left="40"/>
              <w:spacing w:after="0"/>
              <w:rPr>
                <w:sz w:val="20"/>
                <w:szCs w:val="20"/>
                <w:color w:val="auto"/>
              </w:rPr>
            </w:pPr>
            <w:r>
              <w:rPr>
                <w:rFonts w:ascii="Arial" w:cs="Arial" w:eastAsia="Arial" w:hAnsi="Arial"/>
                <w:sz w:val="18"/>
                <w:szCs w:val="18"/>
                <w:color w:val="auto"/>
              </w:rPr>
              <w:t>Therapeutics, Inc.</w:t>
            </w:r>
          </w:p>
        </w:tc>
        <w:tc>
          <w:tcPr>
            <w:tcW w:w="1120" w:type="dxa"/>
            <w:vAlign w:val="bottom"/>
            <w:tcBorders>
              <w:right w:val="single" w:sz="8" w:color="auto"/>
            </w:tcBorders>
            <w:vMerge w:val="continue"/>
          </w:tcPr>
          <w:p>
            <w:pPr>
              <w:spacing w:after="0"/>
              <w:rPr>
                <w:sz w:val="10"/>
                <w:szCs w:val="10"/>
                <w:color w:val="auto"/>
              </w:rPr>
            </w:pPr>
          </w:p>
        </w:tc>
        <w:tc>
          <w:tcPr>
            <w:tcW w:w="1360" w:type="dxa"/>
            <w:vAlign w:val="bottom"/>
            <w:tcBorders>
              <w:right w:val="single" w:sz="8" w:color="auto"/>
            </w:tcBorders>
            <w:vMerge w:val="continue"/>
          </w:tcPr>
          <w:p>
            <w:pPr>
              <w:spacing w:after="0"/>
              <w:rPr>
                <w:sz w:val="10"/>
                <w:szCs w:val="10"/>
                <w:color w:val="auto"/>
              </w:rPr>
            </w:pPr>
          </w:p>
        </w:tc>
        <w:tc>
          <w:tcPr>
            <w:tcW w:w="2200" w:type="dxa"/>
            <w:vAlign w:val="bottom"/>
            <w:tcBorders>
              <w:right w:val="single" w:sz="8" w:color="auto"/>
            </w:tcBorders>
            <w:vMerge w:val="continue"/>
          </w:tcPr>
          <w:p>
            <w:pPr>
              <w:spacing w:after="0"/>
              <w:rPr>
                <w:sz w:val="10"/>
                <w:szCs w:val="10"/>
                <w:color w:val="auto"/>
              </w:rPr>
            </w:pPr>
          </w:p>
        </w:tc>
        <w:tc>
          <w:tcPr>
            <w:tcW w:w="1580" w:type="dxa"/>
            <w:vAlign w:val="bottom"/>
            <w:tcBorders>
              <w:right w:val="single" w:sz="8" w:color="auto"/>
            </w:tcBorders>
            <w:vMerge w:val="continue"/>
          </w:tcPr>
          <w:p>
            <w:pPr>
              <w:spacing w:after="0"/>
              <w:rPr>
                <w:sz w:val="10"/>
                <w:szCs w:val="10"/>
                <w:color w:val="auto"/>
              </w:rPr>
            </w:pPr>
          </w:p>
        </w:tc>
        <w:tc>
          <w:tcPr>
            <w:tcW w:w="1580" w:type="dxa"/>
            <w:vAlign w:val="bottom"/>
            <w:tcBorders>
              <w:right w:val="single" w:sz="8" w:color="auto"/>
            </w:tcBorders>
            <w:vMerge w:val="continue"/>
          </w:tcPr>
          <w:p>
            <w:pPr>
              <w:spacing w:after="0"/>
              <w:rPr>
                <w:sz w:val="10"/>
                <w:szCs w:val="10"/>
                <w:color w:val="auto"/>
              </w:rPr>
            </w:pPr>
          </w:p>
        </w:tc>
        <w:tc>
          <w:tcPr>
            <w:tcW w:w="1520" w:type="dxa"/>
            <w:vAlign w:val="bottom"/>
            <w:tcBorders>
              <w:right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15"/>
        </w:trPr>
        <w:tc>
          <w:tcPr>
            <w:tcW w:w="1880" w:type="dxa"/>
            <w:vAlign w:val="bottom"/>
            <w:tcBorders>
              <w:left w:val="single" w:sz="8" w:color="auto"/>
              <w:bottom w:val="single" w:sz="8" w:color="auto"/>
              <w:right w:val="single" w:sz="8" w:color="auto"/>
            </w:tcBorders>
            <w:vMerge w:val="continue"/>
          </w:tcPr>
          <w:p>
            <w:pPr>
              <w:spacing w:after="0"/>
              <w:rPr>
                <w:sz w:val="10"/>
                <w:szCs w:val="10"/>
                <w:color w:val="auto"/>
              </w:rPr>
            </w:pPr>
          </w:p>
        </w:tc>
        <w:tc>
          <w:tcPr>
            <w:tcW w:w="1120" w:type="dxa"/>
            <w:vAlign w:val="bottom"/>
            <w:tcBorders>
              <w:bottom w:val="single" w:sz="8" w:color="auto"/>
              <w:right w:val="single" w:sz="8" w:color="auto"/>
            </w:tcBorders>
          </w:tcPr>
          <w:p>
            <w:pPr>
              <w:spacing w:after="0"/>
              <w:rPr>
                <w:sz w:val="10"/>
                <w:szCs w:val="10"/>
                <w:color w:val="auto"/>
              </w:rPr>
            </w:pPr>
          </w:p>
        </w:tc>
        <w:tc>
          <w:tcPr>
            <w:tcW w:w="1360" w:type="dxa"/>
            <w:vAlign w:val="bottom"/>
            <w:tcBorders>
              <w:bottom w:val="single" w:sz="8" w:color="auto"/>
              <w:right w:val="single" w:sz="8" w:color="auto"/>
            </w:tcBorders>
          </w:tcPr>
          <w:p>
            <w:pPr>
              <w:spacing w:after="0"/>
              <w:rPr>
                <w:sz w:val="10"/>
                <w:szCs w:val="10"/>
                <w:color w:val="auto"/>
              </w:rPr>
            </w:pPr>
          </w:p>
        </w:tc>
        <w:tc>
          <w:tcPr>
            <w:tcW w:w="2200" w:type="dxa"/>
            <w:vAlign w:val="bottom"/>
            <w:tcBorders>
              <w:bottom w:val="single" w:sz="8" w:color="auto"/>
              <w:right w:val="single" w:sz="8" w:color="auto"/>
            </w:tcBorders>
          </w:tcPr>
          <w:p>
            <w:pPr>
              <w:spacing w:after="0"/>
              <w:rPr>
                <w:sz w:val="10"/>
                <w:szCs w:val="10"/>
                <w:color w:val="auto"/>
              </w:rPr>
            </w:pPr>
          </w:p>
        </w:tc>
        <w:tc>
          <w:tcPr>
            <w:tcW w:w="1580" w:type="dxa"/>
            <w:vAlign w:val="bottom"/>
            <w:tcBorders>
              <w:bottom w:val="single" w:sz="8" w:color="auto"/>
              <w:right w:val="single" w:sz="8" w:color="auto"/>
            </w:tcBorders>
          </w:tcPr>
          <w:p>
            <w:pPr>
              <w:spacing w:after="0"/>
              <w:rPr>
                <w:sz w:val="10"/>
                <w:szCs w:val="10"/>
                <w:color w:val="auto"/>
              </w:rPr>
            </w:pPr>
          </w:p>
        </w:tc>
        <w:tc>
          <w:tcPr>
            <w:tcW w:w="1580" w:type="dxa"/>
            <w:vAlign w:val="bottom"/>
            <w:tcBorders>
              <w:bottom w:val="single" w:sz="8" w:color="auto"/>
              <w:right w:val="single" w:sz="8" w:color="auto"/>
            </w:tcBorders>
          </w:tcPr>
          <w:p>
            <w:pPr>
              <w:spacing w:after="0"/>
              <w:rPr>
                <w:sz w:val="10"/>
                <w:szCs w:val="10"/>
                <w:color w:val="auto"/>
              </w:rPr>
            </w:pPr>
          </w:p>
        </w:tc>
        <w:tc>
          <w:tcPr>
            <w:tcW w:w="1520" w:type="dxa"/>
            <w:vAlign w:val="bottom"/>
            <w:tcBorders>
              <w:bottom w:val="single" w:sz="8" w:color="auto"/>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202"/>
        </w:trPr>
        <w:tc>
          <w:tcPr>
            <w:tcW w:w="1880" w:type="dxa"/>
            <w:vAlign w:val="bottom"/>
            <w:tcBorders>
              <w:left w:val="single" w:sz="8" w:color="auto"/>
              <w:right w:val="single" w:sz="8" w:color="auto"/>
            </w:tcBorders>
          </w:tcPr>
          <w:p>
            <w:pPr>
              <w:ind w:left="40"/>
              <w:spacing w:after="0" w:line="201" w:lineRule="exact"/>
              <w:rPr>
                <w:sz w:val="20"/>
                <w:szCs w:val="20"/>
                <w:color w:val="auto"/>
              </w:rPr>
            </w:pPr>
            <w:r>
              <w:rPr>
                <w:rFonts w:ascii="Arial" w:cs="Arial" w:eastAsia="Arial" w:hAnsi="Arial"/>
                <w:sz w:val="18"/>
                <w:szCs w:val="18"/>
                <w:color w:val="auto"/>
              </w:rPr>
              <w:t>Remark</w:t>
            </w:r>
          </w:p>
        </w:tc>
        <w:tc>
          <w:tcPr>
            <w:tcW w:w="1120" w:type="dxa"/>
            <w:vAlign w:val="bottom"/>
            <w:tcBorders>
              <w:right w:val="single" w:sz="8" w:color="auto"/>
            </w:tcBorders>
          </w:tcPr>
          <w:p>
            <w:pPr>
              <w:spacing w:after="0"/>
              <w:rPr>
                <w:sz w:val="17"/>
                <w:szCs w:val="17"/>
                <w:color w:val="auto"/>
              </w:rPr>
            </w:pPr>
          </w:p>
        </w:tc>
        <w:tc>
          <w:tcPr>
            <w:tcW w:w="1360" w:type="dxa"/>
            <w:vAlign w:val="bottom"/>
            <w:tcBorders>
              <w:right w:val="single" w:sz="8" w:color="auto"/>
            </w:tcBorders>
          </w:tcPr>
          <w:p>
            <w:pPr>
              <w:spacing w:after="0"/>
              <w:rPr>
                <w:sz w:val="17"/>
                <w:szCs w:val="17"/>
                <w:color w:val="auto"/>
              </w:rPr>
            </w:pPr>
          </w:p>
        </w:tc>
        <w:tc>
          <w:tcPr>
            <w:tcW w:w="2200" w:type="dxa"/>
            <w:vAlign w:val="bottom"/>
            <w:tcBorders>
              <w:right w:val="single" w:sz="8" w:color="auto"/>
            </w:tcBorders>
          </w:tcPr>
          <w:p>
            <w:pPr>
              <w:spacing w:after="0"/>
              <w:rPr>
                <w:sz w:val="17"/>
                <w:szCs w:val="17"/>
                <w:color w:val="auto"/>
              </w:rPr>
            </w:pPr>
          </w:p>
        </w:tc>
        <w:tc>
          <w:tcPr>
            <w:tcW w:w="1580" w:type="dxa"/>
            <w:vAlign w:val="bottom"/>
            <w:tcBorders>
              <w:right w:val="single" w:sz="8" w:color="auto"/>
            </w:tcBorders>
          </w:tcPr>
          <w:p>
            <w:pPr>
              <w:spacing w:after="0"/>
              <w:rPr>
                <w:sz w:val="17"/>
                <w:szCs w:val="17"/>
                <w:color w:val="auto"/>
              </w:rPr>
            </w:pPr>
          </w:p>
        </w:tc>
        <w:tc>
          <w:tcPr>
            <w:tcW w:w="1580" w:type="dxa"/>
            <w:vAlign w:val="bottom"/>
            <w:tcBorders>
              <w:right w:val="single" w:sz="8" w:color="auto"/>
            </w:tcBorders>
          </w:tcPr>
          <w:p>
            <w:pPr>
              <w:spacing w:after="0"/>
              <w:rPr>
                <w:sz w:val="17"/>
                <w:szCs w:val="17"/>
                <w:color w:val="auto"/>
              </w:rPr>
            </w:pPr>
          </w:p>
        </w:tc>
        <w:tc>
          <w:tcPr>
            <w:tcW w:w="152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88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Holdings,</w:t>
            </w:r>
          </w:p>
        </w:tc>
        <w:tc>
          <w:tcPr>
            <w:tcW w:w="11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MARK</w:t>
            </w:r>
          </w:p>
        </w:tc>
        <w:tc>
          <w:tcPr>
            <w:tcW w:w="136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3"/>
              </w:rPr>
              <w:t>Yes</w:t>
            </w:r>
          </w:p>
        </w:tc>
        <w:tc>
          <w:tcPr>
            <w:tcW w:w="22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8"/>
              </w:rPr>
              <w:t>Feb. 6, 2018</w:t>
            </w:r>
          </w:p>
        </w:tc>
        <w:tc>
          <w:tcPr>
            <w:tcW w:w="15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3"/>
              </w:rPr>
              <w:t>USD6.95</w:t>
            </w:r>
          </w:p>
        </w:tc>
        <w:tc>
          <w:tcPr>
            <w:tcW w:w="15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2"/>
              </w:rPr>
              <w:t>-24.86%</w:t>
            </w:r>
          </w:p>
        </w:tc>
        <w:tc>
          <w:tcPr>
            <w:tcW w:w="15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0"/>
              </w:rPr>
              <w:t>USD1.18</w:t>
            </w:r>
          </w:p>
        </w:tc>
        <w:tc>
          <w:tcPr>
            <w:tcW w:w="0" w:type="dxa"/>
            <w:vAlign w:val="bottom"/>
          </w:tcPr>
          <w:p>
            <w:pPr>
              <w:spacing w:after="0"/>
              <w:rPr>
                <w:sz w:val="1"/>
                <w:szCs w:val="1"/>
                <w:color w:val="auto"/>
              </w:rPr>
            </w:pPr>
          </w:p>
        </w:tc>
      </w:tr>
      <w:tr>
        <w:trPr>
          <w:trHeight w:val="237"/>
        </w:trPr>
        <w:tc>
          <w:tcPr>
            <w:tcW w:w="18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Inc.</w:t>
            </w:r>
          </w:p>
        </w:tc>
        <w:tc>
          <w:tcPr>
            <w:tcW w:w="1120" w:type="dxa"/>
            <w:vAlign w:val="bottom"/>
            <w:tcBorders>
              <w:bottom w:val="single" w:sz="8" w:color="auto"/>
              <w:right w:val="single" w:sz="8" w:color="auto"/>
            </w:tcBorders>
          </w:tcPr>
          <w:p>
            <w:pPr>
              <w:spacing w:after="0"/>
              <w:rPr>
                <w:sz w:val="20"/>
                <w:szCs w:val="20"/>
                <w:color w:val="auto"/>
              </w:rPr>
            </w:pPr>
          </w:p>
        </w:tc>
        <w:tc>
          <w:tcPr>
            <w:tcW w:w="1360" w:type="dxa"/>
            <w:vAlign w:val="bottom"/>
            <w:tcBorders>
              <w:bottom w:val="single" w:sz="8" w:color="auto"/>
              <w:right w:val="single" w:sz="8" w:color="auto"/>
            </w:tcBorders>
          </w:tcPr>
          <w:p>
            <w:pPr>
              <w:spacing w:after="0"/>
              <w:rPr>
                <w:sz w:val="20"/>
                <w:szCs w:val="20"/>
                <w:color w:val="auto"/>
              </w:rPr>
            </w:pPr>
          </w:p>
        </w:tc>
        <w:tc>
          <w:tcPr>
            <w:tcW w:w="2200" w:type="dxa"/>
            <w:vAlign w:val="bottom"/>
            <w:tcBorders>
              <w:bottom w:val="single" w:sz="8" w:color="auto"/>
              <w:right w:val="single" w:sz="8" w:color="auto"/>
            </w:tcBorders>
          </w:tcPr>
          <w:p>
            <w:pPr>
              <w:spacing w:after="0"/>
              <w:rPr>
                <w:sz w:val="20"/>
                <w:szCs w:val="20"/>
                <w:color w:val="auto"/>
              </w:rPr>
            </w:pPr>
          </w:p>
        </w:tc>
        <w:tc>
          <w:tcPr>
            <w:tcW w:w="1580" w:type="dxa"/>
            <w:vAlign w:val="bottom"/>
            <w:tcBorders>
              <w:bottom w:val="single" w:sz="8" w:color="auto"/>
              <w:right w:val="single" w:sz="8" w:color="auto"/>
            </w:tcBorders>
          </w:tcPr>
          <w:p>
            <w:pPr>
              <w:spacing w:after="0"/>
              <w:rPr>
                <w:sz w:val="20"/>
                <w:szCs w:val="20"/>
                <w:color w:val="auto"/>
              </w:rPr>
            </w:pPr>
          </w:p>
        </w:tc>
        <w:tc>
          <w:tcPr>
            <w:tcW w:w="1580" w:type="dxa"/>
            <w:vAlign w:val="bottom"/>
            <w:tcBorders>
              <w:bottom w:val="single" w:sz="8" w:color="auto"/>
              <w:right w:val="single" w:sz="8" w:color="auto"/>
            </w:tcBorders>
          </w:tcPr>
          <w:p>
            <w:pPr>
              <w:spacing w:after="0"/>
              <w:rPr>
                <w:sz w:val="20"/>
                <w:szCs w:val="20"/>
                <w:color w:val="auto"/>
              </w:rPr>
            </w:pPr>
          </w:p>
        </w:tc>
        <w:tc>
          <w:tcPr>
            <w:tcW w:w="152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18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IP Group plc</w:t>
            </w:r>
          </w:p>
        </w:tc>
        <w:tc>
          <w:tcPr>
            <w:tcW w:w="11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0"/>
              </w:rPr>
              <w:t>IPO</w:t>
            </w:r>
          </w:p>
        </w:tc>
        <w:tc>
          <w:tcPr>
            <w:tcW w:w="13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3"/>
              </w:rPr>
              <w:t>Yes</w:t>
            </w:r>
          </w:p>
        </w:tc>
        <w:tc>
          <w:tcPr>
            <w:tcW w:w="22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9"/>
              </w:rPr>
              <w:t>Dec. 14, 2017</w:t>
            </w:r>
          </w:p>
        </w:tc>
        <w:tc>
          <w:tcPr>
            <w:tcW w:w="15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0"/>
              </w:rPr>
              <w:t>GBP145.00</w:t>
            </w:r>
          </w:p>
        </w:tc>
        <w:tc>
          <w:tcPr>
            <w:tcW w:w="15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1"/>
              </w:rPr>
              <w:t>-0.17%</w:t>
            </w:r>
          </w:p>
        </w:tc>
        <w:tc>
          <w:tcPr>
            <w:tcW w:w="15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9"/>
              </w:rPr>
              <w:t>GBP83.60</w:t>
            </w:r>
          </w:p>
        </w:tc>
        <w:tc>
          <w:tcPr>
            <w:tcW w:w="0" w:type="dxa"/>
            <w:vAlign w:val="bottom"/>
          </w:tcPr>
          <w:p>
            <w:pPr>
              <w:spacing w:after="0"/>
              <w:rPr>
                <w:sz w:val="1"/>
                <w:szCs w:val="1"/>
                <w:color w:val="auto"/>
              </w:rPr>
            </w:pPr>
          </w:p>
        </w:tc>
      </w:tr>
      <w:tr>
        <w:trPr>
          <w:trHeight w:val="202"/>
        </w:trPr>
        <w:tc>
          <w:tcPr>
            <w:tcW w:w="1880" w:type="dxa"/>
            <w:vAlign w:val="bottom"/>
            <w:tcBorders>
              <w:left w:val="single" w:sz="8" w:color="auto"/>
              <w:right w:val="single" w:sz="8" w:color="auto"/>
            </w:tcBorders>
          </w:tcPr>
          <w:p>
            <w:pPr>
              <w:ind w:left="40"/>
              <w:spacing w:after="0" w:line="201" w:lineRule="exact"/>
              <w:rPr>
                <w:sz w:val="20"/>
                <w:szCs w:val="20"/>
                <w:color w:val="auto"/>
              </w:rPr>
            </w:pPr>
            <w:r>
              <w:rPr>
                <w:rFonts w:ascii="Arial" w:cs="Arial" w:eastAsia="Arial" w:hAnsi="Arial"/>
                <w:sz w:val="18"/>
                <w:szCs w:val="18"/>
                <w:color w:val="auto"/>
              </w:rPr>
              <w:t>Harvey</w:t>
            </w:r>
          </w:p>
        </w:tc>
        <w:tc>
          <w:tcPr>
            <w:tcW w:w="1120" w:type="dxa"/>
            <w:vAlign w:val="bottom"/>
            <w:tcBorders>
              <w:right w:val="single" w:sz="8" w:color="auto"/>
            </w:tcBorders>
          </w:tcPr>
          <w:p>
            <w:pPr>
              <w:spacing w:after="0"/>
              <w:rPr>
                <w:sz w:val="17"/>
                <w:szCs w:val="17"/>
                <w:color w:val="auto"/>
              </w:rPr>
            </w:pPr>
          </w:p>
        </w:tc>
        <w:tc>
          <w:tcPr>
            <w:tcW w:w="1360" w:type="dxa"/>
            <w:vAlign w:val="bottom"/>
            <w:tcBorders>
              <w:right w:val="single" w:sz="8" w:color="auto"/>
            </w:tcBorders>
          </w:tcPr>
          <w:p>
            <w:pPr>
              <w:spacing w:after="0"/>
              <w:rPr>
                <w:sz w:val="17"/>
                <w:szCs w:val="17"/>
                <w:color w:val="auto"/>
              </w:rPr>
            </w:pPr>
          </w:p>
        </w:tc>
        <w:tc>
          <w:tcPr>
            <w:tcW w:w="2200" w:type="dxa"/>
            <w:vAlign w:val="bottom"/>
            <w:tcBorders>
              <w:right w:val="single" w:sz="8" w:color="auto"/>
            </w:tcBorders>
          </w:tcPr>
          <w:p>
            <w:pPr>
              <w:spacing w:after="0"/>
              <w:rPr>
                <w:sz w:val="17"/>
                <w:szCs w:val="17"/>
                <w:color w:val="auto"/>
              </w:rPr>
            </w:pPr>
          </w:p>
        </w:tc>
        <w:tc>
          <w:tcPr>
            <w:tcW w:w="1580" w:type="dxa"/>
            <w:vAlign w:val="bottom"/>
            <w:tcBorders>
              <w:right w:val="single" w:sz="8" w:color="auto"/>
            </w:tcBorders>
          </w:tcPr>
          <w:p>
            <w:pPr>
              <w:spacing w:after="0"/>
              <w:rPr>
                <w:sz w:val="17"/>
                <w:szCs w:val="17"/>
                <w:color w:val="auto"/>
              </w:rPr>
            </w:pPr>
          </w:p>
        </w:tc>
        <w:tc>
          <w:tcPr>
            <w:tcW w:w="1580" w:type="dxa"/>
            <w:vAlign w:val="bottom"/>
            <w:tcBorders>
              <w:right w:val="single" w:sz="8" w:color="auto"/>
            </w:tcBorders>
          </w:tcPr>
          <w:p>
            <w:pPr>
              <w:spacing w:after="0"/>
              <w:rPr>
                <w:sz w:val="17"/>
                <w:szCs w:val="17"/>
                <w:color w:val="auto"/>
              </w:rPr>
            </w:pPr>
          </w:p>
        </w:tc>
        <w:tc>
          <w:tcPr>
            <w:tcW w:w="152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88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Norman</w:t>
            </w:r>
          </w:p>
        </w:tc>
        <w:tc>
          <w:tcPr>
            <w:tcW w:w="11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rPr>
              <w:t>HVN</w:t>
            </w:r>
          </w:p>
        </w:tc>
        <w:tc>
          <w:tcPr>
            <w:tcW w:w="136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5"/>
              </w:rPr>
              <w:t>No</w:t>
            </w:r>
          </w:p>
        </w:tc>
        <w:tc>
          <w:tcPr>
            <w:tcW w:w="22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1"/>
              </w:rPr>
              <w:t>Apr. 4, 2017</w:t>
            </w:r>
          </w:p>
        </w:tc>
        <w:tc>
          <w:tcPr>
            <w:tcW w:w="15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3"/>
              </w:rPr>
              <w:t>USD4.27</w:t>
            </w:r>
          </w:p>
        </w:tc>
        <w:tc>
          <w:tcPr>
            <w:tcW w:w="15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1"/>
              </w:rPr>
              <w:t>-1.77%</w:t>
            </w:r>
          </w:p>
        </w:tc>
        <w:tc>
          <w:tcPr>
            <w:tcW w:w="15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85"/>
              </w:rPr>
              <w:t>4.61</w:t>
            </w:r>
          </w:p>
        </w:tc>
        <w:tc>
          <w:tcPr>
            <w:tcW w:w="0" w:type="dxa"/>
            <w:vAlign w:val="bottom"/>
          </w:tcPr>
          <w:p>
            <w:pPr>
              <w:spacing w:after="0"/>
              <w:rPr>
                <w:sz w:val="1"/>
                <w:szCs w:val="1"/>
                <w:color w:val="auto"/>
              </w:rPr>
            </w:pPr>
          </w:p>
        </w:tc>
      </w:tr>
      <w:tr>
        <w:trPr>
          <w:trHeight w:val="122"/>
        </w:trPr>
        <w:tc>
          <w:tcPr>
            <w:tcW w:w="1880" w:type="dxa"/>
            <w:vAlign w:val="bottom"/>
            <w:tcBorders>
              <w:left w:val="single" w:sz="8" w:color="auto"/>
              <w:right w:val="single" w:sz="8" w:color="auto"/>
            </w:tcBorders>
            <w:vMerge w:val="restart"/>
          </w:tcPr>
          <w:p>
            <w:pPr>
              <w:ind w:left="40"/>
              <w:spacing w:after="0"/>
              <w:rPr>
                <w:sz w:val="20"/>
                <w:szCs w:val="20"/>
                <w:color w:val="auto"/>
              </w:rPr>
            </w:pPr>
            <w:r>
              <w:rPr>
                <w:rFonts w:ascii="Arial" w:cs="Arial" w:eastAsia="Arial" w:hAnsi="Arial"/>
                <w:sz w:val="18"/>
                <w:szCs w:val="18"/>
                <w:color w:val="auto"/>
              </w:rPr>
              <w:t>Holdings</w:t>
            </w:r>
          </w:p>
        </w:tc>
        <w:tc>
          <w:tcPr>
            <w:tcW w:w="1120" w:type="dxa"/>
            <w:vAlign w:val="bottom"/>
            <w:tcBorders>
              <w:right w:val="single" w:sz="8" w:color="auto"/>
            </w:tcBorders>
            <w:vMerge w:val="continue"/>
          </w:tcPr>
          <w:p>
            <w:pPr>
              <w:spacing w:after="0"/>
              <w:rPr>
                <w:sz w:val="10"/>
                <w:szCs w:val="10"/>
                <w:color w:val="auto"/>
              </w:rPr>
            </w:pPr>
          </w:p>
        </w:tc>
        <w:tc>
          <w:tcPr>
            <w:tcW w:w="1360" w:type="dxa"/>
            <w:vAlign w:val="bottom"/>
            <w:tcBorders>
              <w:right w:val="single" w:sz="8" w:color="auto"/>
            </w:tcBorders>
            <w:vMerge w:val="continue"/>
          </w:tcPr>
          <w:p>
            <w:pPr>
              <w:spacing w:after="0"/>
              <w:rPr>
                <w:sz w:val="10"/>
                <w:szCs w:val="10"/>
                <w:color w:val="auto"/>
              </w:rPr>
            </w:pPr>
          </w:p>
        </w:tc>
        <w:tc>
          <w:tcPr>
            <w:tcW w:w="2200" w:type="dxa"/>
            <w:vAlign w:val="bottom"/>
            <w:tcBorders>
              <w:right w:val="single" w:sz="8" w:color="auto"/>
            </w:tcBorders>
            <w:vMerge w:val="continue"/>
          </w:tcPr>
          <w:p>
            <w:pPr>
              <w:spacing w:after="0"/>
              <w:rPr>
                <w:sz w:val="10"/>
                <w:szCs w:val="10"/>
                <w:color w:val="auto"/>
              </w:rPr>
            </w:pPr>
          </w:p>
        </w:tc>
        <w:tc>
          <w:tcPr>
            <w:tcW w:w="1580" w:type="dxa"/>
            <w:vAlign w:val="bottom"/>
            <w:tcBorders>
              <w:right w:val="single" w:sz="8" w:color="auto"/>
            </w:tcBorders>
            <w:vMerge w:val="continue"/>
          </w:tcPr>
          <w:p>
            <w:pPr>
              <w:spacing w:after="0"/>
              <w:rPr>
                <w:sz w:val="10"/>
                <w:szCs w:val="10"/>
                <w:color w:val="auto"/>
              </w:rPr>
            </w:pPr>
          </w:p>
        </w:tc>
        <w:tc>
          <w:tcPr>
            <w:tcW w:w="1580" w:type="dxa"/>
            <w:vAlign w:val="bottom"/>
            <w:tcBorders>
              <w:right w:val="single" w:sz="8" w:color="auto"/>
            </w:tcBorders>
            <w:vMerge w:val="continue"/>
          </w:tcPr>
          <w:p>
            <w:pPr>
              <w:spacing w:after="0"/>
              <w:rPr>
                <w:sz w:val="10"/>
                <w:szCs w:val="10"/>
                <w:color w:val="auto"/>
              </w:rPr>
            </w:pPr>
          </w:p>
        </w:tc>
        <w:tc>
          <w:tcPr>
            <w:tcW w:w="1520" w:type="dxa"/>
            <w:vAlign w:val="bottom"/>
            <w:tcBorders>
              <w:right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4"/>
        </w:trPr>
        <w:tc>
          <w:tcPr>
            <w:tcW w:w="1880" w:type="dxa"/>
            <w:vAlign w:val="bottom"/>
            <w:tcBorders>
              <w:left w:val="single" w:sz="8" w:color="auto"/>
              <w:right w:val="single" w:sz="8" w:color="auto"/>
            </w:tcBorders>
            <w:vMerge w:val="continue"/>
          </w:tcPr>
          <w:p>
            <w:pPr>
              <w:spacing w:after="0"/>
              <w:rPr>
                <w:sz w:val="8"/>
                <w:szCs w:val="8"/>
                <w:color w:val="auto"/>
              </w:rPr>
            </w:pPr>
          </w:p>
        </w:tc>
        <w:tc>
          <w:tcPr>
            <w:tcW w:w="1120" w:type="dxa"/>
            <w:vAlign w:val="bottom"/>
            <w:tcBorders>
              <w:right w:val="single" w:sz="8" w:color="auto"/>
            </w:tcBorders>
          </w:tcPr>
          <w:p>
            <w:pPr>
              <w:spacing w:after="0"/>
              <w:rPr>
                <w:sz w:val="8"/>
                <w:szCs w:val="8"/>
                <w:color w:val="auto"/>
              </w:rPr>
            </w:pPr>
          </w:p>
        </w:tc>
        <w:tc>
          <w:tcPr>
            <w:tcW w:w="1360" w:type="dxa"/>
            <w:vAlign w:val="bottom"/>
            <w:tcBorders>
              <w:right w:val="single" w:sz="8" w:color="auto"/>
            </w:tcBorders>
          </w:tcPr>
          <w:p>
            <w:pPr>
              <w:spacing w:after="0"/>
              <w:rPr>
                <w:sz w:val="8"/>
                <w:szCs w:val="8"/>
                <w:color w:val="auto"/>
              </w:rPr>
            </w:pPr>
          </w:p>
        </w:tc>
        <w:tc>
          <w:tcPr>
            <w:tcW w:w="2200" w:type="dxa"/>
            <w:vAlign w:val="bottom"/>
            <w:tcBorders>
              <w:right w:val="single" w:sz="8" w:color="auto"/>
            </w:tcBorders>
          </w:tcPr>
          <w:p>
            <w:pPr>
              <w:spacing w:after="0"/>
              <w:rPr>
                <w:sz w:val="8"/>
                <w:szCs w:val="8"/>
                <w:color w:val="auto"/>
              </w:rPr>
            </w:pPr>
          </w:p>
        </w:tc>
        <w:tc>
          <w:tcPr>
            <w:tcW w:w="1580" w:type="dxa"/>
            <w:vAlign w:val="bottom"/>
            <w:tcBorders>
              <w:right w:val="single" w:sz="8" w:color="auto"/>
            </w:tcBorders>
          </w:tcPr>
          <w:p>
            <w:pPr>
              <w:spacing w:after="0"/>
              <w:rPr>
                <w:sz w:val="8"/>
                <w:szCs w:val="8"/>
                <w:color w:val="auto"/>
              </w:rPr>
            </w:pPr>
          </w:p>
        </w:tc>
        <w:tc>
          <w:tcPr>
            <w:tcW w:w="1580" w:type="dxa"/>
            <w:vAlign w:val="bottom"/>
            <w:tcBorders>
              <w:right w:val="single" w:sz="8" w:color="auto"/>
            </w:tcBorders>
          </w:tcPr>
          <w:p>
            <w:pPr>
              <w:spacing w:after="0"/>
              <w:rPr>
                <w:sz w:val="8"/>
                <w:szCs w:val="8"/>
                <w:color w:val="auto"/>
              </w:rPr>
            </w:pPr>
          </w:p>
        </w:tc>
        <w:tc>
          <w:tcPr>
            <w:tcW w:w="1520" w:type="dxa"/>
            <w:vAlign w:val="bottom"/>
            <w:tcBorders>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237"/>
        </w:trPr>
        <w:tc>
          <w:tcPr>
            <w:tcW w:w="18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Limited</w:t>
            </w:r>
          </w:p>
        </w:tc>
        <w:tc>
          <w:tcPr>
            <w:tcW w:w="1120" w:type="dxa"/>
            <w:vAlign w:val="bottom"/>
            <w:tcBorders>
              <w:bottom w:val="single" w:sz="8" w:color="auto"/>
              <w:right w:val="single" w:sz="8" w:color="auto"/>
            </w:tcBorders>
          </w:tcPr>
          <w:p>
            <w:pPr>
              <w:spacing w:after="0"/>
              <w:rPr>
                <w:sz w:val="20"/>
                <w:szCs w:val="20"/>
                <w:color w:val="auto"/>
              </w:rPr>
            </w:pPr>
          </w:p>
        </w:tc>
        <w:tc>
          <w:tcPr>
            <w:tcW w:w="1360" w:type="dxa"/>
            <w:vAlign w:val="bottom"/>
            <w:tcBorders>
              <w:bottom w:val="single" w:sz="8" w:color="auto"/>
              <w:right w:val="single" w:sz="8" w:color="auto"/>
            </w:tcBorders>
          </w:tcPr>
          <w:p>
            <w:pPr>
              <w:spacing w:after="0"/>
              <w:rPr>
                <w:sz w:val="20"/>
                <w:szCs w:val="20"/>
                <w:color w:val="auto"/>
              </w:rPr>
            </w:pPr>
          </w:p>
        </w:tc>
        <w:tc>
          <w:tcPr>
            <w:tcW w:w="2200" w:type="dxa"/>
            <w:vAlign w:val="bottom"/>
            <w:tcBorders>
              <w:bottom w:val="single" w:sz="8" w:color="auto"/>
              <w:right w:val="single" w:sz="8" w:color="auto"/>
            </w:tcBorders>
          </w:tcPr>
          <w:p>
            <w:pPr>
              <w:spacing w:after="0"/>
              <w:rPr>
                <w:sz w:val="20"/>
                <w:szCs w:val="20"/>
                <w:color w:val="auto"/>
              </w:rPr>
            </w:pPr>
          </w:p>
        </w:tc>
        <w:tc>
          <w:tcPr>
            <w:tcW w:w="1580" w:type="dxa"/>
            <w:vAlign w:val="bottom"/>
            <w:tcBorders>
              <w:bottom w:val="single" w:sz="8" w:color="auto"/>
              <w:right w:val="single" w:sz="8" w:color="auto"/>
            </w:tcBorders>
          </w:tcPr>
          <w:p>
            <w:pPr>
              <w:spacing w:after="0"/>
              <w:rPr>
                <w:sz w:val="20"/>
                <w:szCs w:val="20"/>
                <w:color w:val="auto"/>
              </w:rPr>
            </w:pPr>
          </w:p>
        </w:tc>
        <w:tc>
          <w:tcPr>
            <w:tcW w:w="1580" w:type="dxa"/>
            <w:vAlign w:val="bottom"/>
            <w:tcBorders>
              <w:bottom w:val="single" w:sz="8" w:color="auto"/>
              <w:right w:val="single" w:sz="8" w:color="auto"/>
            </w:tcBorders>
          </w:tcPr>
          <w:p>
            <w:pPr>
              <w:spacing w:after="0"/>
              <w:rPr>
                <w:sz w:val="20"/>
                <w:szCs w:val="20"/>
                <w:color w:val="auto"/>
              </w:rPr>
            </w:pPr>
          </w:p>
        </w:tc>
        <w:tc>
          <w:tcPr>
            <w:tcW w:w="152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59"/>
        </w:trPr>
        <w:tc>
          <w:tcPr>
            <w:tcW w:w="3000" w:type="dxa"/>
            <w:vAlign w:val="bottom"/>
            <w:gridSpan w:val="2"/>
          </w:tcPr>
          <w:p>
            <w:pPr>
              <w:spacing w:after="0"/>
              <w:rPr>
                <w:sz w:val="20"/>
                <w:szCs w:val="20"/>
                <w:color w:val="auto"/>
              </w:rPr>
            </w:pPr>
            <w:r>
              <w:rPr>
                <w:rFonts w:ascii="Arial" w:cs="Arial" w:eastAsia="Arial" w:hAnsi="Arial"/>
                <w:sz w:val="18"/>
                <w:szCs w:val="18"/>
                <w:color w:val="auto"/>
              </w:rPr>
              <w:t>Source: JCAP and Yahoo Finance</w:t>
            </w:r>
          </w:p>
        </w:tc>
        <w:tc>
          <w:tcPr>
            <w:tcW w:w="1360" w:type="dxa"/>
            <w:vAlign w:val="bottom"/>
          </w:tcPr>
          <w:p>
            <w:pPr>
              <w:spacing w:after="0"/>
              <w:rPr>
                <w:sz w:val="24"/>
                <w:szCs w:val="24"/>
                <w:color w:val="auto"/>
              </w:rPr>
            </w:pPr>
          </w:p>
        </w:tc>
        <w:tc>
          <w:tcPr>
            <w:tcW w:w="22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Up to now, to our knowledge, none of the above-mentioned 16 companies has formally been accused of illegal activities, or has been asked to restate their financial position.</w:t>
      </w:r>
    </w:p>
    <w:p>
      <w:pPr>
        <w:spacing w:after="0" w:line="197" w:lineRule="exact"/>
        <w:rPr>
          <w:sz w:val="20"/>
          <w:szCs w:val="20"/>
          <w:color w:val="auto"/>
        </w:rPr>
      </w:pPr>
    </w:p>
    <w:p>
      <w:pPr>
        <w:jc w:val="both"/>
        <w:ind w:firstLine="324"/>
        <w:spacing w:after="0" w:line="275" w:lineRule="auto"/>
        <w:rPr>
          <w:sz w:val="20"/>
          <w:szCs w:val="20"/>
          <w:color w:val="auto"/>
        </w:rPr>
      </w:pPr>
      <w:r>
        <w:rPr>
          <w:rFonts w:ascii="Arial" w:cs="Arial" w:eastAsia="Arial" w:hAnsi="Arial"/>
          <w:sz w:val="17"/>
          <w:szCs w:val="17"/>
          <w:color w:val="auto"/>
        </w:rPr>
        <w:t>Among the 16 companies mentioned above, NOVAGOLD RESOURCES INC. filed a lawsuit on July 7, 2020, accusing JCAP of defamation. In such lawsuit it is pointed out that on May 28, 2020, JCAP released a “report” on NOVAGOLD RESOURCES INC. containing false and misleading statements, which was considered by NOVAGOLD RESOURCES, INC. as a “short sale and distortion” attack. At present, the lawsuit is still in its early stage, the judgment of which, according to U.S. legal counsel, is expected to take at least 9 months before it can be made. ACMR is monitoring the progress of the lawsuit and may consider protecting its legitimate rights and interests through legal channels.</w:t>
      </w:r>
    </w:p>
    <w:p>
      <w:pPr>
        <w:spacing w:after="0" w:line="34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8-4-1-6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0" w:name="page11"/>
    <w:bookmarkEnd w:id="10"/>
    <w:p>
      <w:pPr>
        <w:ind w:left="360"/>
        <w:spacing w:after="0"/>
        <w:rPr>
          <w:sz w:val="20"/>
          <w:szCs w:val="20"/>
          <w:color w:val="auto"/>
        </w:rPr>
      </w:pPr>
      <w:r>
        <w:rPr>
          <w:rFonts w:ascii="Arial" w:cs="Arial" w:eastAsia="Arial" w:hAnsi="Arial"/>
          <w:sz w:val="18"/>
          <w:szCs w:val="18"/>
          <w:b w:val="1"/>
          <w:bCs w:val="1"/>
          <w:color w:val="auto"/>
        </w:rPr>
        <w:t>Index of Verification in Response to the Short-sell Report</w:t>
      </w:r>
    </w:p>
    <w:p>
      <w:pPr>
        <w:spacing w:after="0" w:line="250" w:lineRule="exact"/>
        <w:rPr>
          <w:sz w:val="20"/>
          <w:szCs w:val="20"/>
          <w:color w:val="auto"/>
        </w:rPr>
      </w:pPr>
    </w:p>
    <w:tbl>
      <w:tblPr>
        <w:tblLayout w:type="fixed"/>
        <w:tblInd w:w="10" w:type="dxa"/>
        <w:tblCellMar>
          <w:top w:w="0" w:type="dxa"/>
          <w:left w:w="0" w:type="dxa"/>
          <w:bottom w:w="0" w:type="dxa"/>
          <w:right w:w="0" w:type="dxa"/>
        </w:tblCellMar>
      </w:tblPr>
      <w:tr>
        <w:trPr>
          <w:trHeight w:val="279"/>
        </w:trPr>
        <w:tc>
          <w:tcPr>
            <w:tcW w:w="720" w:type="dxa"/>
            <w:vAlign w:val="bottom"/>
            <w:tcBorders>
              <w:top w:val="single" w:sz="8" w:color="auto"/>
              <w:left w:val="single" w:sz="8" w:color="auto"/>
              <w:right w:val="single" w:sz="8" w:color="auto"/>
            </w:tcBorders>
          </w:tcPr>
          <w:p>
            <w:pPr>
              <w:spacing w:after="0"/>
              <w:rPr>
                <w:sz w:val="24"/>
                <w:szCs w:val="24"/>
                <w:color w:val="auto"/>
              </w:rPr>
            </w:pPr>
          </w:p>
        </w:tc>
        <w:tc>
          <w:tcPr>
            <w:tcW w:w="7180" w:type="dxa"/>
            <w:vAlign w:val="bottom"/>
            <w:tcBorders>
              <w:top w:val="single" w:sz="8" w:color="auto"/>
              <w:right w:val="single" w:sz="8" w:color="auto"/>
            </w:tcBorders>
          </w:tcPr>
          <w:p>
            <w:pPr>
              <w:spacing w:after="0"/>
              <w:rPr>
                <w:sz w:val="24"/>
                <w:szCs w:val="24"/>
                <w:color w:val="auto"/>
              </w:rPr>
            </w:pPr>
          </w:p>
        </w:tc>
        <w:tc>
          <w:tcPr>
            <w:tcW w:w="132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94"/>
              </w:rPr>
              <w:t>Short-</w:t>
            </w:r>
          </w:p>
        </w:tc>
        <w:tc>
          <w:tcPr>
            <w:tcW w:w="2020" w:type="dxa"/>
            <w:vAlign w:val="bottom"/>
            <w:tcBorders>
              <w:top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720" w:type="dxa"/>
            <w:vAlign w:val="bottom"/>
            <w:tcBorders>
              <w:left w:val="single" w:sz="8" w:color="auto"/>
              <w:right w:val="single" w:sz="8" w:color="auto"/>
            </w:tcBorders>
          </w:tcPr>
          <w:p>
            <w:pPr>
              <w:spacing w:after="0"/>
              <w:rPr>
                <w:sz w:val="18"/>
                <w:szCs w:val="18"/>
                <w:color w:val="auto"/>
              </w:rPr>
            </w:pPr>
          </w:p>
        </w:tc>
        <w:tc>
          <w:tcPr>
            <w:tcW w:w="7180" w:type="dxa"/>
            <w:vAlign w:val="bottom"/>
            <w:tcBorders>
              <w:right w:val="single" w:sz="8" w:color="auto"/>
            </w:tcBorders>
          </w:tcPr>
          <w:p>
            <w:pPr>
              <w:spacing w:after="0"/>
              <w:rPr>
                <w:sz w:val="18"/>
                <w:szCs w:val="18"/>
                <w:color w:val="auto"/>
              </w:rPr>
            </w:pPr>
          </w:p>
        </w:tc>
        <w:tc>
          <w:tcPr>
            <w:tcW w:w="132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w w:val="86"/>
              </w:rPr>
              <w:t>sell</w:t>
            </w:r>
          </w:p>
        </w:tc>
        <w:tc>
          <w:tcPr>
            <w:tcW w:w="2020" w:type="dxa"/>
            <w:vAlign w:val="bottom"/>
            <w:tcBorders>
              <w:right w:val="single" w:sz="8" w:color="auto"/>
            </w:tcBorders>
            <w:vMerge w:val="restart"/>
          </w:tcPr>
          <w:p>
            <w:pPr>
              <w:ind w:left="540"/>
              <w:spacing w:after="0"/>
              <w:rPr>
                <w:sz w:val="20"/>
                <w:szCs w:val="20"/>
                <w:color w:val="auto"/>
              </w:rPr>
            </w:pPr>
            <w:r>
              <w:rPr>
                <w:rFonts w:ascii="Arial" w:cs="Arial" w:eastAsia="Arial" w:hAnsi="Arial"/>
                <w:sz w:val="18"/>
                <w:szCs w:val="18"/>
                <w:b w:val="1"/>
                <w:bCs w:val="1"/>
                <w:color w:val="auto"/>
              </w:rPr>
              <w:t>Response to</w:t>
            </w:r>
          </w:p>
        </w:tc>
        <w:tc>
          <w:tcPr>
            <w:tcW w:w="0" w:type="dxa"/>
            <w:vAlign w:val="bottom"/>
          </w:tcPr>
          <w:p>
            <w:pPr>
              <w:spacing w:after="0"/>
              <w:rPr>
                <w:sz w:val="1"/>
                <w:szCs w:val="1"/>
                <w:color w:val="auto"/>
              </w:rPr>
            </w:pPr>
          </w:p>
        </w:tc>
      </w:tr>
      <w:tr>
        <w:trPr>
          <w:trHeight w:val="108"/>
        </w:trPr>
        <w:tc>
          <w:tcPr>
            <w:tcW w:w="72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18"/>
                <w:szCs w:val="18"/>
                <w:b w:val="1"/>
                <w:bCs w:val="1"/>
                <w:color w:val="auto"/>
                <w:w w:val="96"/>
              </w:rPr>
              <w:t>No.</w:t>
            </w:r>
          </w:p>
        </w:tc>
        <w:tc>
          <w:tcPr>
            <w:tcW w:w="7180" w:type="dxa"/>
            <w:vAlign w:val="bottom"/>
            <w:tcBorders>
              <w:right w:val="single" w:sz="8" w:color="auto"/>
            </w:tcBorders>
            <w:vMerge w:val="restart"/>
          </w:tcPr>
          <w:p>
            <w:pPr>
              <w:ind w:left="3180"/>
              <w:spacing w:after="0"/>
              <w:rPr>
                <w:sz w:val="20"/>
                <w:szCs w:val="20"/>
                <w:color w:val="auto"/>
              </w:rPr>
            </w:pPr>
            <w:r>
              <w:rPr>
                <w:rFonts w:ascii="Arial" w:cs="Arial" w:eastAsia="Arial" w:hAnsi="Arial"/>
                <w:sz w:val="18"/>
                <w:szCs w:val="18"/>
                <w:b w:val="1"/>
                <w:bCs w:val="1"/>
                <w:color w:val="auto"/>
              </w:rPr>
              <w:t>Challenge</w:t>
            </w:r>
          </w:p>
        </w:tc>
        <w:tc>
          <w:tcPr>
            <w:tcW w:w="13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b w:val="1"/>
                <w:bCs w:val="1"/>
                <w:color w:val="auto"/>
                <w:w w:val="93"/>
              </w:rPr>
              <w:t>Report</w:t>
            </w:r>
          </w:p>
        </w:tc>
        <w:tc>
          <w:tcPr>
            <w:tcW w:w="2020" w:type="dxa"/>
            <w:vAlign w:val="bottom"/>
            <w:tcBorders>
              <w:right w:val="single" w:sz="8" w:color="auto"/>
            </w:tcBorders>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720" w:type="dxa"/>
            <w:vAlign w:val="bottom"/>
            <w:tcBorders>
              <w:left w:val="single" w:sz="8" w:color="auto"/>
              <w:right w:val="single" w:sz="8" w:color="auto"/>
            </w:tcBorders>
            <w:vMerge w:val="continue"/>
          </w:tcPr>
          <w:p>
            <w:pPr>
              <w:spacing w:after="0"/>
              <w:rPr>
                <w:sz w:val="9"/>
                <w:szCs w:val="9"/>
                <w:color w:val="auto"/>
              </w:rPr>
            </w:pPr>
          </w:p>
        </w:tc>
        <w:tc>
          <w:tcPr>
            <w:tcW w:w="7180" w:type="dxa"/>
            <w:vAlign w:val="bottom"/>
            <w:tcBorders>
              <w:right w:val="single" w:sz="8" w:color="auto"/>
            </w:tcBorders>
            <w:vMerge w:val="continue"/>
          </w:tcPr>
          <w:p>
            <w:pPr>
              <w:spacing w:after="0"/>
              <w:rPr>
                <w:sz w:val="9"/>
                <w:szCs w:val="9"/>
                <w:color w:val="auto"/>
              </w:rPr>
            </w:pPr>
          </w:p>
        </w:tc>
        <w:tc>
          <w:tcPr>
            <w:tcW w:w="1320" w:type="dxa"/>
            <w:vAlign w:val="bottom"/>
            <w:tcBorders>
              <w:right w:val="single" w:sz="8" w:color="auto"/>
            </w:tcBorders>
            <w:vMerge w:val="continue"/>
          </w:tcPr>
          <w:p>
            <w:pPr>
              <w:spacing w:after="0"/>
              <w:rPr>
                <w:sz w:val="9"/>
                <w:szCs w:val="9"/>
                <w:color w:val="auto"/>
              </w:rPr>
            </w:pPr>
          </w:p>
        </w:tc>
        <w:tc>
          <w:tcPr>
            <w:tcW w:w="2020" w:type="dxa"/>
            <w:vAlign w:val="bottom"/>
            <w:tcBorders>
              <w:right w:val="single" w:sz="8" w:color="auto"/>
            </w:tcBorders>
            <w:vMerge w:val="restart"/>
          </w:tcPr>
          <w:p>
            <w:pPr>
              <w:ind w:left="480"/>
              <w:spacing w:after="0"/>
              <w:rPr>
                <w:sz w:val="20"/>
                <w:szCs w:val="20"/>
                <w:color w:val="auto"/>
              </w:rPr>
            </w:pPr>
            <w:r>
              <w:rPr>
                <w:rFonts w:ascii="Arial" w:cs="Arial" w:eastAsia="Arial" w:hAnsi="Arial"/>
                <w:sz w:val="18"/>
                <w:szCs w:val="18"/>
                <w:b w:val="1"/>
                <w:bCs w:val="1"/>
                <w:color w:val="auto"/>
              </w:rPr>
              <w:t>the Challenge</w:t>
            </w:r>
          </w:p>
        </w:tc>
        <w:tc>
          <w:tcPr>
            <w:tcW w:w="0" w:type="dxa"/>
            <w:vAlign w:val="bottom"/>
          </w:tcPr>
          <w:p>
            <w:pPr>
              <w:spacing w:after="0"/>
              <w:rPr>
                <w:sz w:val="1"/>
                <w:szCs w:val="1"/>
                <w:color w:val="auto"/>
              </w:rPr>
            </w:pPr>
          </w:p>
        </w:tc>
      </w:tr>
      <w:tr>
        <w:trPr>
          <w:trHeight w:val="126"/>
        </w:trPr>
        <w:tc>
          <w:tcPr>
            <w:tcW w:w="720" w:type="dxa"/>
            <w:vAlign w:val="bottom"/>
            <w:tcBorders>
              <w:left w:val="single" w:sz="8" w:color="auto"/>
              <w:right w:val="single" w:sz="8" w:color="auto"/>
            </w:tcBorders>
          </w:tcPr>
          <w:p>
            <w:pPr>
              <w:spacing w:after="0"/>
              <w:rPr>
                <w:sz w:val="10"/>
                <w:szCs w:val="10"/>
                <w:color w:val="auto"/>
              </w:rPr>
            </w:pPr>
          </w:p>
        </w:tc>
        <w:tc>
          <w:tcPr>
            <w:tcW w:w="7180" w:type="dxa"/>
            <w:vAlign w:val="bottom"/>
            <w:tcBorders>
              <w:right w:val="single" w:sz="8" w:color="auto"/>
            </w:tcBorders>
          </w:tcPr>
          <w:p>
            <w:pPr>
              <w:spacing w:after="0"/>
              <w:rPr>
                <w:sz w:val="10"/>
                <w:szCs w:val="10"/>
                <w:color w:val="auto"/>
              </w:rPr>
            </w:pPr>
          </w:p>
        </w:tc>
        <w:tc>
          <w:tcPr>
            <w:tcW w:w="13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b w:val="1"/>
                <w:bCs w:val="1"/>
                <w:color w:val="auto"/>
                <w:w w:val="88"/>
              </w:rPr>
              <w:t>Page</w:t>
            </w:r>
          </w:p>
        </w:tc>
        <w:tc>
          <w:tcPr>
            <w:tcW w:w="2020" w:type="dxa"/>
            <w:vAlign w:val="bottom"/>
            <w:tcBorders>
              <w:right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0"/>
        </w:trPr>
        <w:tc>
          <w:tcPr>
            <w:tcW w:w="720" w:type="dxa"/>
            <w:vAlign w:val="bottom"/>
            <w:tcBorders>
              <w:left w:val="single" w:sz="8" w:color="auto"/>
              <w:right w:val="single" w:sz="8" w:color="auto"/>
            </w:tcBorders>
          </w:tcPr>
          <w:p>
            <w:pPr>
              <w:spacing w:after="0"/>
              <w:rPr>
                <w:sz w:val="7"/>
                <w:szCs w:val="7"/>
                <w:color w:val="auto"/>
              </w:rPr>
            </w:pPr>
          </w:p>
        </w:tc>
        <w:tc>
          <w:tcPr>
            <w:tcW w:w="7180" w:type="dxa"/>
            <w:vAlign w:val="bottom"/>
            <w:tcBorders>
              <w:right w:val="single" w:sz="8" w:color="auto"/>
            </w:tcBorders>
          </w:tcPr>
          <w:p>
            <w:pPr>
              <w:spacing w:after="0"/>
              <w:rPr>
                <w:sz w:val="7"/>
                <w:szCs w:val="7"/>
                <w:color w:val="auto"/>
              </w:rPr>
            </w:pPr>
          </w:p>
        </w:tc>
        <w:tc>
          <w:tcPr>
            <w:tcW w:w="1320" w:type="dxa"/>
            <w:vAlign w:val="bottom"/>
            <w:tcBorders>
              <w:right w:val="single" w:sz="8" w:color="auto"/>
            </w:tcBorders>
            <w:vMerge w:val="continue"/>
          </w:tcPr>
          <w:p>
            <w:pPr>
              <w:spacing w:after="0"/>
              <w:rPr>
                <w:sz w:val="7"/>
                <w:szCs w:val="7"/>
                <w:color w:val="auto"/>
              </w:rPr>
            </w:pPr>
          </w:p>
        </w:tc>
        <w:tc>
          <w:tcPr>
            <w:tcW w:w="2020" w:type="dxa"/>
            <w:vAlign w:val="bottom"/>
            <w:tcBorders>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4"/>
        </w:trPr>
        <w:tc>
          <w:tcPr>
            <w:tcW w:w="720" w:type="dxa"/>
            <w:vAlign w:val="bottom"/>
            <w:tcBorders>
              <w:left w:val="single" w:sz="8" w:color="auto"/>
              <w:right w:val="single" w:sz="8" w:color="auto"/>
            </w:tcBorders>
          </w:tcPr>
          <w:p>
            <w:pPr>
              <w:spacing w:after="0"/>
              <w:rPr>
                <w:sz w:val="20"/>
                <w:szCs w:val="20"/>
                <w:color w:val="auto"/>
              </w:rPr>
            </w:pPr>
          </w:p>
        </w:tc>
        <w:tc>
          <w:tcPr>
            <w:tcW w:w="7180" w:type="dxa"/>
            <w:vAlign w:val="bottom"/>
            <w:tcBorders>
              <w:right w:val="single" w:sz="8" w:color="auto"/>
            </w:tcBorders>
          </w:tcPr>
          <w:p>
            <w:pPr>
              <w:spacing w:after="0"/>
              <w:rPr>
                <w:sz w:val="20"/>
                <w:szCs w:val="20"/>
                <w:color w:val="auto"/>
              </w:rPr>
            </w:pPr>
          </w:p>
        </w:tc>
        <w:tc>
          <w:tcPr>
            <w:tcW w:w="132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w w:val="94"/>
              </w:rPr>
              <w:t>Number</w:t>
            </w:r>
          </w:p>
        </w:tc>
        <w:tc>
          <w:tcPr>
            <w:tcW w:w="20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61"/>
        </w:trPr>
        <w:tc>
          <w:tcPr>
            <w:tcW w:w="720" w:type="dxa"/>
            <w:vAlign w:val="bottom"/>
            <w:tcBorders>
              <w:left w:val="single" w:sz="8" w:color="auto"/>
              <w:bottom w:val="single" w:sz="8" w:color="auto"/>
              <w:right w:val="single" w:sz="8" w:color="auto"/>
            </w:tcBorders>
          </w:tcPr>
          <w:p>
            <w:pPr>
              <w:spacing w:after="0"/>
              <w:rPr>
                <w:sz w:val="5"/>
                <w:szCs w:val="5"/>
                <w:color w:val="auto"/>
              </w:rPr>
            </w:pPr>
          </w:p>
        </w:tc>
        <w:tc>
          <w:tcPr>
            <w:tcW w:w="7180" w:type="dxa"/>
            <w:vAlign w:val="bottom"/>
            <w:tcBorders>
              <w:bottom w:val="single" w:sz="8" w:color="auto"/>
              <w:right w:val="single" w:sz="8" w:color="auto"/>
            </w:tcBorders>
          </w:tcPr>
          <w:p>
            <w:pPr>
              <w:spacing w:after="0"/>
              <w:rPr>
                <w:sz w:val="5"/>
                <w:szCs w:val="5"/>
                <w:color w:val="auto"/>
              </w:rPr>
            </w:pPr>
          </w:p>
        </w:tc>
        <w:tc>
          <w:tcPr>
            <w:tcW w:w="1320" w:type="dxa"/>
            <w:vAlign w:val="bottom"/>
            <w:tcBorders>
              <w:bottom w:val="single" w:sz="8" w:color="auto"/>
              <w:right w:val="single" w:sz="8" w:color="auto"/>
            </w:tcBorders>
          </w:tcPr>
          <w:p>
            <w:pPr>
              <w:spacing w:after="0"/>
              <w:rPr>
                <w:sz w:val="5"/>
                <w:szCs w:val="5"/>
                <w:color w:val="auto"/>
              </w:rPr>
            </w:pPr>
          </w:p>
        </w:tc>
        <w:tc>
          <w:tcPr>
            <w:tcW w:w="2020" w:type="dxa"/>
            <w:vAlign w:val="bottom"/>
            <w:tcBorders>
              <w:bottom w:val="single" w:sz="8" w:color="auto"/>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56"/>
        </w:trPr>
        <w:tc>
          <w:tcPr>
            <w:tcW w:w="720" w:type="dxa"/>
            <w:vAlign w:val="bottom"/>
            <w:tcBorders>
              <w:left w:val="single" w:sz="8" w:color="auto"/>
              <w:right w:val="single" w:sz="8" w:color="auto"/>
            </w:tcBorders>
          </w:tcPr>
          <w:p>
            <w:pPr>
              <w:spacing w:after="0"/>
              <w:rPr>
                <w:sz w:val="22"/>
                <w:szCs w:val="22"/>
                <w:color w:val="auto"/>
              </w:rPr>
            </w:pPr>
          </w:p>
        </w:tc>
        <w:tc>
          <w:tcPr>
            <w:tcW w:w="718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w w:val="93"/>
              </w:rPr>
              <w:t>ACMR is borrowing at high rates of interest, and the company is pushing to IPO substantially all</w:t>
            </w:r>
          </w:p>
        </w:tc>
        <w:tc>
          <w:tcPr>
            <w:tcW w:w="1320" w:type="dxa"/>
            <w:vAlign w:val="bottom"/>
            <w:tcBorders>
              <w:right w:val="single" w:sz="8" w:color="auto"/>
            </w:tcBorders>
          </w:tcPr>
          <w:p>
            <w:pPr>
              <w:spacing w:after="0"/>
              <w:rPr>
                <w:sz w:val="22"/>
                <w:szCs w:val="22"/>
                <w:color w:val="auto"/>
              </w:rPr>
            </w:pPr>
          </w:p>
        </w:tc>
        <w:tc>
          <w:tcPr>
            <w:tcW w:w="202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16"/>
        </w:trPr>
        <w:tc>
          <w:tcPr>
            <w:tcW w:w="72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18"/>
                <w:szCs w:val="18"/>
                <w:color w:val="auto"/>
                <w:w w:val="79"/>
              </w:rPr>
              <w:t>1</w:t>
            </w:r>
          </w:p>
        </w:tc>
        <w:tc>
          <w:tcPr>
            <w:tcW w:w="718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rPr>
              <w:t>the company assets in Shanghai in order to raise cash. This will significantly dilute U.S.</w:t>
            </w:r>
          </w:p>
        </w:tc>
        <w:tc>
          <w:tcPr>
            <w:tcW w:w="13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9"/>
              </w:rPr>
              <w:t>2</w:t>
            </w:r>
          </w:p>
        </w:tc>
        <w:tc>
          <w:tcPr>
            <w:tcW w:w="202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Other Challenge 17:</w:t>
            </w:r>
          </w:p>
        </w:tc>
        <w:tc>
          <w:tcPr>
            <w:tcW w:w="0" w:type="dxa"/>
            <w:vAlign w:val="bottom"/>
          </w:tcPr>
          <w:p>
            <w:pPr>
              <w:spacing w:after="0"/>
              <w:rPr>
                <w:sz w:val="1"/>
                <w:szCs w:val="1"/>
                <w:color w:val="auto"/>
              </w:rPr>
            </w:pPr>
          </w:p>
        </w:tc>
      </w:tr>
      <w:tr>
        <w:trPr>
          <w:trHeight w:val="122"/>
        </w:trPr>
        <w:tc>
          <w:tcPr>
            <w:tcW w:w="720" w:type="dxa"/>
            <w:vAlign w:val="bottom"/>
            <w:tcBorders>
              <w:left w:val="single" w:sz="8" w:color="auto"/>
              <w:right w:val="single" w:sz="8" w:color="auto"/>
            </w:tcBorders>
            <w:vMerge w:val="continue"/>
          </w:tcPr>
          <w:p>
            <w:pPr>
              <w:spacing w:after="0"/>
              <w:rPr>
                <w:sz w:val="10"/>
                <w:szCs w:val="10"/>
                <w:color w:val="auto"/>
              </w:rPr>
            </w:pPr>
          </w:p>
        </w:tc>
        <w:tc>
          <w:tcPr>
            <w:tcW w:w="7180" w:type="dxa"/>
            <w:vAlign w:val="bottom"/>
            <w:tcBorders>
              <w:right w:val="single" w:sz="8" w:color="auto"/>
            </w:tcBorders>
            <w:vMerge w:val="restart"/>
          </w:tcPr>
          <w:p>
            <w:pPr>
              <w:ind w:left="40"/>
              <w:spacing w:after="0"/>
              <w:rPr>
                <w:sz w:val="20"/>
                <w:szCs w:val="20"/>
                <w:color w:val="auto"/>
              </w:rPr>
            </w:pPr>
            <w:r>
              <w:rPr>
                <w:rFonts w:ascii="Arial" w:cs="Arial" w:eastAsia="Arial" w:hAnsi="Arial"/>
                <w:sz w:val="18"/>
                <w:szCs w:val="18"/>
                <w:color w:val="auto"/>
              </w:rPr>
              <w:t>investors.</w:t>
            </w:r>
          </w:p>
        </w:tc>
        <w:tc>
          <w:tcPr>
            <w:tcW w:w="1320" w:type="dxa"/>
            <w:vAlign w:val="bottom"/>
            <w:tcBorders>
              <w:right w:val="single" w:sz="8" w:color="auto"/>
            </w:tcBorders>
            <w:vMerge w:val="continue"/>
          </w:tcPr>
          <w:p>
            <w:pPr>
              <w:spacing w:after="0"/>
              <w:rPr>
                <w:sz w:val="10"/>
                <w:szCs w:val="10"/>
                <w:color w:val="auto"/>
              </w:rPr>
            </w:pPr>
          </w:p>
        </w:tc>
        <w:tc>
          <w:tcPr>
            <w:tcW w:w="2020" w:type="dxa"/>
            <w:vAlign w:val="bottom"/>
            <w:tcBorders>
              <w:right w:val="single" w:sz="8" w:color="auto"/>
            </w:tcBorders>
            <w:vMerge w:val="restart"/>
          </w:tcPr>
          <w:p>
            <w:pPr>
              <w:ind w:left="60"/>
              <w:spacing w:after="0"/>
              <w:rPr>
                <w:sz w:val="20"/>
                <w:szCs w:val="20"/>
                <w:color w:val="auto"/>
              </w:rPr>
            </w:pPr>
            <w:r>
              <w:rPr>
                <w:rFonts w:ascii="Arial" w:cs="Arial" w:eastAsia="Arial" w:hAnsi="Arial"/>
                <w:sz w:val="18"/>
                <w:szCs w:val="18"/>
                <w:color w:val="auto"/>
                <w:w w:val="99"/>
              </w:rPr>
              <w:t>About Other Challenges</w:t>
            </w:r>
          </w:p>
        </w:tc>
        <w:tc>
          <w:tcPr>
            <w:tcW w:w="0" w:type="dxa"/>
            <w:vAlign w:val="bottom"/>
          </w:tcPr>
          <w:p>
            <w:pPr>
              <w:spacing w:after="0"/>
              <w:rPr>
                <w:sz w:val="1"/>
                <w:szCs w:val="1"/>
                <w:color w:val="auto"/>
              </w:rPr>
            </w:pPr>
          </w:p>
        </w:tc>
      </w:tr>
      <w:tr>
        <w:trPr>
          <w:trHeight w:val="108"/>
        </w:trPr>
        <w:tc>
          <w:tcPr>
            <w:tcW w:w="720" w:type="dxa"/>
            <w:vAlign w:val="bottom"/>
            <w:tcBorders>
              <w:left w:val="single" w:sz="8" w:color="auto"/>
              <w:right w:val="single" w:sz="8" w:color="auto"/>
            </w:tcBorders>
          </w:tcPr>
          <w:p>
            <w:pPr>
              <w:spacing w:after="0"/>
              <w:rPr>
                <w:sz w:val="9"/>
                <w:szCs w:val="9"/>
                <w:color w:val="auto"/>
              </w:rPr>
            </w:pPr>
          </w:p>
        </w:tc>
        <w:tc>
          <w:tcPr>
            <w:tcW w:w="7180" w:type="dxa"/>
            <w:vAlign w:val="bottom"/>
            <w:tcBorders>
              <w:right w:val="single" w:sz="8" w:color="auto"/>
            </w:tcBorders>
            <w:vMerge w:val="continue"/>
          </w:tcPr>
          <w:p>
            <w:pPr>
              <w:spacing w:after="0"/>
              <w:rPr>
                <w:sz w:val="9"/>
                <w:szCs w:val="9"/>
                <w:color w:val="auto"/>
              </w:rPr>
            </w:pPr>
          </w:p>
        </w:tc>
        <w:tc>
          <w:tcPr>
            <w:tcW w:w="1320" w:type="dxa"/>
            <w:vAlign w:val="bottom"/>
            <w:tcBorders>
              <w:right w:val="single" w:sz="8" w:color="auto"/>
            </w:tcBorders>
          </w:tcPr>
          <w:p>
            <w:pPr>
              <w:spacing w:after="0"/>
              <w:rPr>
                <w:sz w:val="9"/>
                <w:szCs w:val="9"/>
                <w:color w:val="auto"/>
              </w:rPr>
            </w:pPr>
          </w:p>
        </w:tc>
        <w:tc>
          <w:tcPr>
            <w:tcW w:w="2020" w:type="dxa"/>
            <w:vAlign w:val="bottom"/>
            <w:tcBorders>
              <w:right w:val="single" w:sz="8" w:color="auto"/>
            </w:tcBorders>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77"/>
        </w:trPr>
        <w:tc>
          <w:tcPr>
            <w:tcW w:w="720" w:type="dxa"/>
            <w:vAlign w:val="bottom"/>
            <w:tcBorders>
              <w:left w:val="single" w:sz="8" w:color="auto"/>
              <w:bottom w:val="single" w:sz="8" w:color="auto"/>
              <w:right w:val="single" w:sz="8" w:color="auto"/>
            </w:tcBorders>
          </w:tcPr>
          <w:p>
            <w:pPr>
              <w:spacing w:after="0"/>
              <w:rPr>
                <w:sz w:val="24"/>
                <w:szCs w:val="24"/>
                <w:color w:val="auto"/>
              </w:rPr>
            </w:pPr>
          </w:p>
        </w:tc>
        <w:tc>
          <w:tcPr>
            <w:tcW w:w="7180" w:type="dxa"/>
            <w:vAlign w:val="bottom"/>
            <w:tcBorders>
              <w:bottom w:val="single" w:sz="8" w:color="auto"/>
              <w:right w:val="single" w:sz="8" w:color="auto"/>
            </w:tcBorders>
          </w:tcPr>
          <w:p>
            <w:pPr>
              <w:spacing w:after="0"/>
              <w:rPr>
                <w:sz w:val="24"/>
                <w:szCs w:val="24"/>
                <w:color w:val="auto"/>
              </w:rPr>
            </w:pPr>
          </w:p>
        </w:tc>
        <w:tc>
          <w:tcPr>
            <w:tcW w:w="1320" w:type="dxa"/>
            <w:vAlign w:val="bottom"/>
            <w:tcBorders>
              <w:bottom w:val="single" w:sz="8" w:color="auto"/>
              <w:right w:val="single" w:sz="8" w:color="auto"/>
            </w:tcBorders>
          </w:tcPr>
          <w:p>
            <w:pPr>
              <w:spacing w:after="0"/>
              <w:rPr>
                <w:sz w:val="24"/>
                <w:szCs w:val="24"/>
                <w:color w:val="auto"/>
              </w:rPr>
            </w:pPr>
          </w:p>
        </w:tc>
        <w:tc>
          <w:tcPr>
            <w:tcW w:w="202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56"/>
        </w:trPr>
        <w:tc>
          <w:tcPr>
            <w:tcW w:w="720" w:type="dxa"/>
            <w:vAlign w:val="bottom"/>
            <w:tcBorders>
              <w:left w:val="single" w:sz="8" w:color="auto"/>
              <w:right w:val="single" w:sz="8" w:color="auto"/>
            </w:tcBorders>
          </w:tcPr>
          <w:p>
            <w:pPr>
              <w:spacing w:after="0"/>
              <w:rPr>
                <w:sz w:val="22"/>
                <w:szCs w:val="22"/>
                <w:color w:val="auto"/>
              </w:rPr>
            </w:pPr>
          </w:p>
        </w:tc>
        <w:tc>
          <w:tcPr>
            <w:tcW w:w="718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w w:val="94"/>
              </w:rPr>
              <w:t>The team around ACMR is better known for stock promotion than for management. The former</w:t>
            </w:r>
          </w:p>
        </w:tc>
        <w:tc>
          <w:tcPr>
            <w:tcW w:w="1320" w:type="dxa"/>
            <w:vAlign w:val="bottom"/>
            <w:tcBorders>
              <w:right w:val="single" w:sz="8" w:color="auto"/>
            </w:tcBorders>
          </w:tcPr>
          <w:p>
            <w:pPr>
              <w:spacing w:after="0"/>
              <w:rPr>
                <w:sz w:val="22"/>
                <w:szCs w:val="22"/>
                <w:color w:val="auto"/>
              </w:rPr>
            </w:pPr>
          </w:p>
        </w:tc>
        <w:tc>
          <w:tcPr>
            <w:tcW w:w="202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16"/>
        </w:trPr>
        <w:tc>
          <w:tcPr>
            <w:tcW w:w="720" w:type="dxa"/>
            <w:vAlign w:val="bottom"/>
            <w:tcBorders>
              <w:left w:val="single" w:sz="8" w:color="auto"/>
              <w:right w:val="single" w:sz="8" w:color="auto"/>
            </w:tcBorders>
          </w:tcPr>
          <w:p>
            <w:pPr>
              <w:spacing w:after="0"/>
              <w:rPr>
                <w:sz w:val="18"/>
                <w:szCs w:val="18"/>
                <w:color w:val="auto"/>
              </w:rPr>
            </w:pPr>
          </w:p>
        </w:tc>
        <w:tc>
          <w:tcPr>
            <w:tcW w:w="718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w w:val="97"/>
              </w:rPr>
              <w:t>ACMR CFO, Xu Min, who left soon after the IPO to join China Online Education Group, was</w:t>
            </w:r>
          </w:p>
        </w:tc>
        <w:tc>
          <w:tcPr>
            <w:tcW w:w="1320" w:type="dxa"/>
            <w:vAlign w:val="bottom"/>
            <w:tcBorders>
              <w:right w:val="single" w:sz="8" w:color="auto"/>
            </w:tcBorders>
          </w:tcPr>
          <w:p>
            <w:pPr>
              <w:spacing w:after="0"/>
              <w:rPr>
                <w:sz w:val="18"/>
                <w:szCs w:val="18"/>
                <w:color w:val="auto"/>
              </w:rPr>
            </w:pPr>
          </w:p>
        </w:tc>
        <w:tc>
          <w:tcPr>
            <w:tcW w:w="202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20" w:type="dxa"/>
            <w:vAlign w:val="bottom"/>
            <w:tcBorders>
              <w:left w:val="single" w:sz="8" w:color="auto"/>
              <w:right w:val="single" w:sz="8" w:color="auto"/>
            </w:tcBorders>
          </w:tcPr>
          <w:p>
            <w:pPr>
              <w:spacing w:after="0"/>
              <w:rPr>
                <w:sz w:val="18"/>
                <w:szCs w:val="18"/>
                <w:color w:val="auto"/>
              </w:rPr>
            </w:pPr>
          </w:p>
        </w:tc>
        <w:tc>
          <w:tcPr>
            <w:tcW w:w="718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w w:val="97"/>
              </w:rPr>
              <w:t>previously CFO of well-known fraud UTStarcom.1 Before that, Xu was a research analyst at</w:t>
            </w:r>
          </w:p>
        </w:tc>
        <w:tc>
          <w:tcPr>
            <w:tcW w:w="1320" w:type="dxa"/>
            <w:vAlign w:val="bottom"/>
            <w:tcBorders>
              <w:right w:val="single" w:sz="8" w:color="auto"/>
            </w:tcBorders>
          </w:tcPr>
          <w:p>
            <w:pPr>
              <w:spacing w:after="0"/>
              <w:rPr>
                <w:sz w:val="18"/>
                <w:szCs w:val="18"/>
                <w:color w:val="auto"/>
              </w:rPr>
            </w:pPr>
          </w:p>
        </w:tc>
        <w:tc>
          <w:tcPr>
            <w:tcW w:w="202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20" w:type="dxa"/>
            <w:vAlign w:val="bottom"/>
            <w:tcBorders>
              <w:left w:val="single" w:sz="8" w:color="auto"/>
              <w:right w:val="single" w:sz="8" w:color="auto"/>
            </w:tcBorders>
          </w:tcPr>
          <w:p>
            <w:pPr>
              <w:spacing w:after="0"/>
              <w:rPr>
                <w:sz w:val="18"/>
                <w:szCs w:val="18"/>
                <w:color w:val="auto"/>
              </w:rPr>
            </w:pPr>
          </w:p>
        </w:tc>
        <w:tc>
          <w:tcPr>
            <w:tcW w:w="718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w w:val="99"/>
              </w:rPr>
              <w:t>Roth covering cleantech. Lisa Yilu Feng, CFO of the China subsidiary, formerly worked at</w:t>
            </w:r>
          </w:p>
        </w:tc>
        <w:tc>
          <w:tcPr>
            <w:tcW w:w="1320" w:type="dxa"/>
            <w:vAlign w:val="bottom"/>
            <w:tcBorders>
              <w:right w:val="single" w:sz="8" w:color="auto"/>
            </w:tcBorders>
          </w:tcPr>
          <w:p>
            <w:pPr>
              <w:spacing w:after="0"/>
              <w:rPr>
                <w:sz w:val="18"/>
                <w:szCs w:val="18"/>
                <w:color w:val="auto"/>
              </w:rPr>
            </w:pPr>
          </w:p>
        </w:tc>
        <w:tc>
          <w:tcPr>
            <w:tcW w:w="202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20" w:type="dxa"/>
            <w:vAlign w:val="bottom"/>
            <w:tcBorders>
              <w:left w:val="single" w:sz="8" w:color="auto"/>
              <w:right w:val="single" w:sz="8" w:color="auto"/>
            </w:tcBorders>
          </w:tcPr>
          <w:p>
            <w:pPr>
              <w:spacing w:after="0"/>
              <w:rPr>
                <w:sz w:val="18"/>
                <w:szCs w:val="18"/>
                <w:color w:val="auto"/>
              </w:rPr>
            </w:pPr>
          </w:p>
        </w:tc>
        <w:tc>
          <w:tcPr>
            <w:tcW w:w="718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w w:val="92"/>
              </w:rPr>
              <w:t>Lumenis, an Israeli company at which two top executives were charged with revenue accounting</w:t>
            </w:r>
          </w:p>
        </w:tc>
        <w:tc>
          <w:tcPr>
            <w:tcW w:w="1320" w:type="dxa"/>
            <w:vAlign w:val="bottom"/>
            <w:tcBorders>
              <w:right w:val="single" w:sz="8" w:color="auto"/>
            </w:tcBorders>
          </w:tcPr>
          <w:p>
            <w:pPr>
              <w:spacing w:after="0"/>
              <w:rPr>
                <w:sz w:val="18"/>
                <w:szCs w:val="18"/>
                <w:color w:val="auto"/>
              </w:rPr>
            </w:pPr>
          </w:p>
        </w:tc>
        <w:tc>
          <w:tcPr>
            <w:tcW w:w="2020" w:type="dxa"/>
            <w:vAlign w:val="bottom"/>
            <w:tcBorders>
              <w:right w:val="single" w:sz="8" w:color="auto"/>
            </w:tcBorders>
            <w:vMerge w:val="restart"/>
          </w:tcPr>
          <w:p>
            <w:pPr>
              <w:ind w:left="60"/>
              <w:spacing w:after="0"/>
              <w:rPr>
                <w:sz w:val="20"/>
                <w:szCs w:val="20"/>
                <w:color w:val="auto"/>
              </w:rPr>
            </w:pPr>
            <w:r>
              <w:rPr>
                <w:rFonts w:ascii="Arial" w:cs="Arial" w:eastAsia="Arial" w:hAnsi="Arial"/>
                <w:sz w:val="18"/>
                <w:szCs w:val="18"/>
                <w:color w:val="auto"/>
              </w:rPr>
              <w:t>Other Challenge 17:</w:t>
            </w:r>
          </w:p>
        </w:tc>
        <w:tc>
          <w:tcPr>
            <w:tcW w:w="0" w:type="dxa"/>
            <w:vAlign w:val="bottom"/>
          </w:tcPr>
          <w:p>
            <w:pPr>
              <w:spacing w:after="0"/>
              <w:rPr>
                <w:sz w:val="1"/>
                <w:szCs w:val="1"/>
                <w:color w:val="auto"/>
              </w:rPr>
            </w:pPr>
          </w:p>
        </w:tc>
      </w:tr>
      <w:tr>
        <w:trPr>
          <w:trHeight w:val="108"/>
        </w:trPr>
        <w:tc>
          <w:tcPr>
            <w:tcW w:w="72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18"/>
                <w:szCs w:val="18"/>
                <w:color w:val="auto"/>
                <w:w w:val="79"/>
              </w:rPr>
              <w:t>2</w:t>
            </w:r>
          </w:p>
        </w:tc>
        <w:tc>
          <w:tcPr>
            <w:tcW w:w="7180" w:type="dxa"/>
            <w:vAlign w:val="bottom"/>
            <w:tcBorders>
              <w:right w:val="single" w:sz="8" w:color="auto"/>
            </w:tcBorders>
            <w:vMerge w:val="restart"/>
          </w:tcPr>
          <w:p>
            <w:pPr>
              <w:ind w:left="40"/>
              <w:spacing w:after="0"/>
              <w:rPr>
                <w:sz w:val="20"/>
                <w:szCs w:val="20"/>
                <w:color w:val="auto"/>
              </w:rPr>
            </w:pPr>
            <w:r>
              <w:rPr>
                <w:rFonts w:ascii="Arial" w:cs="Arial" w:eastAsia="Arial" w:hAnsi="Arial"/>
                <w:sz w:val="18"/>
                <w:szCs w:val="18"/>
                <w:color w:val="auto"/>
              </w:rPr>
              <w:t>fraud to inflate sales.</w:t>
            </w:r>
          </w:p>
        </w:tc>
        <w:tc>
          <w:tcPr>
            <w:tcW w:w="13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2"/>
              </w:rPr>
              <w:t>3-4</w:t>
            </w:r>
          </w:p>
        </w:tc>
        <w:tc>
          <w:tcPr>
            <w:tcW w:w="2020" w:type="dxa"/>
            <w:vAlign w:val="bottom"/>
            <w:tcBorders>
              <w:right w:val="single" w:sz="8" w:color="auto"/>
            </w:tcBorders>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22"/>
        </w:trPr>
        <w:tc>
          <w:tcPr>
            <w:tcW w:w="720" w:type="dxa"/>
            <w:vAlign w:val="bottom"/>
            <w:tcBorders>
              <w:left w:val="single" w:sz="8" w:color="auto"/>
              <w:right w:val="single" w:sz="8" w:color="auto"/>
            </w:tcBorders>
            <w:vMerge w:val="continue"/>
          </w:tcPr>
          <w:p>
            <w:pPr>
              <w:spacing w:after="0"/>
              <w:rPr>
                <w:sz w:val="10"/>
                <w:szCs w:val="10"/>
                <w:color w:val="auto"/>
              </w:rPr>
            </w:pPr>
          </w:p>
        </w:tc>
        <w:tc>
          <w:tcPr>
            <w:tcW w:w="7180" w:type="dxa"/>
            <w:vAlign w:val="bottom"/>
            <w:tcBorders>
              <w:right w:val="single" w:sz="8" w:color="auto"/>
            </w:tcBorders>
            <w:vMerge w:val="continue"/>
          </w:tcPr>
          <w:p>
            <w:pPr>
              <w:spacing w:after="0"/>
              <w:rPr>
                <w:sz w:val="10"/>
                <w:szCs w:val="10"/>
                <w:color w:val="auto"/>
              </w:rPr>
            </w:pPr>
          </w:p>
        </w:tc>
        <w:tc>
          <w:tcPr>
            <w:tcW w:w="1320" w:type="dxa"/>
            <w:vAlign w:val="bottom"/>
            <w:tcBorders>
              <w:right w:val="single" w:sz="8" w:color="auto"/>
            </w:tcBorders>
            <w:vMerge w:val="continue"/>
          </w:tcPr>
          <w:p>
            <w:pPr>
              <w:spacing w:after="0"/>
              <w:rPr>
                <w:sz w:val="10"/>
                <w:szCs w:val="10"/>
                <w:color w:val="auto"/>
              </w:rPr>
            </w:pPr>
          </w:p>
        </w:tc>
        <w:tc>
          <w:tcPr>
            <w:tcW w:w="2020" w:type="dxa"/>
            <w:vAlign w:val="bottom"/>
            <w:tcBorders>
              <w:right w:val="single" w:sz="8" w:color="auto"/>
            </w:tcBorders>
            <w:vMerge w:val="restart"/>
          </w:tcPr>
          <w:p>
            <w:pPr>
              <w:ind w:left="60"/>
              <w:spacing w:after="0"/>
              <w:rPr>
                <w:sz w:val="20"/>
                <w:szCs w:val="20"/>
                <w:color w:val="auto"/>
              </w:rPr>
            </w:pPr>
            <w:r>
              <w:rPr>
                <w:rFonts w:ascii="Arial" w:cs="Arial" w:eastAsia="Arial" w:hAnsi="Arial"/>
                <w:sz w:val="18"/>
                <w:szCs w:val="18"/>
                <w:color w:val="auto"/>
                <w:w w:val="99"/>
              </w:rPr>
              <w:t>About Other Challenges</w:t>
            </w:r>
          </w:p>
        </w:tc>
        <w:tc>
          <w:tcPr>
            <w:tcW w:w="0" w:type="dxa"/>
            <w:vAlign w:val="bottom"/>
          </w:tcPr>
          <w:p>
            <w:pPr>
              <w:spacing w:after="0"/>
              <w:rPr>
                <w:sz w:val="1"/>
                <w:szCs w:val="1"/>
                <w:color w:val="auto"/>
              </w:rPr>
            </w:pPr>
          </w:p>
        </w:tc>
      </w:tr>
      <w:tr>
        <w:trPr>
          <w:trHeight w:val="108"/>
        </w:trPr>
        <w:tc>
          <w:tcPr>
            <w:tcW w:w="720" w:type="dxa"/>
            <w:vAlign w:val="bottom"/>
            <w:tcBorders>
              <w:left w:val="single" w:sz="8" w:color="auto"/>
              <w:right w:val="single" w:sz="8" w:color="auto"/>
            </w:tcBorders>
          </w:tcPr>
          <w:p>
            <w:pPr>
              <w:spacing w:after="0"/>
              <w:rPr>
                <w:sz w:val="9"/>
                <w:szCs w:val="9"/>
                <w:color w:val="auto"/>
              </w:rPr>
            </w:pPr>
          </w:p>
        </w:tc>
        <w:tc>
          <w:tcPr>
            <w:tcW w:w="7180" w:type="dxa"/>
            <w:vAlign w:val="bottom"/>
            <w:tcBorders>
              <w:right w:val="single" w:sz="8" w:color="auto"/>
            </w:tcBorders>
          </w:tcPr>
          <w:p>
            <w:pPr>
              <w:spacing w:after="0"/>
              <w:rPr>
                <w:sz w:val="9"/>
                <w:szCs w:val="9"/>
                <w:color w:val="auto"/>
              </w:rPr>
            </w:pPr>
          </w:p>
        </w:tc>
        <w:tc>
          <w:tcPr>
            <w:tcW w:w="1320" w:type="dxa"/>
            <w:vAlign w:val="bottom"/>
            <w:tcBorders>
              <w:right w:val="single" w:sz="8" w:color="auto"/>
            </w:tcBorders>
          </w:tcPr>
          <w:p>
            <w:pPr>
              <w:spacing w:after="0"/>
              <w:rPr>
                <w:sz w:val="9"/>
                <w:szCs w:val="9"/>
                <w:color w:val="auto"/>
              </w:rPr>
            </w:pPr>
          </w:p>
        </w:tc>
        <w:tc>
          <w:tcPr>
            <w:tcW w:w="2020" w:type="dxa"/>
            <w:vAlign w:val="bottom"/>
            <w:tcBorders>
              <w:right w:val="single" w:sz="8" w:color="auto"/>
            </w:tcBorders>
            <w:vMerge w:val="continue"/>
          </w:tcPr>
          <w:p>
            <w:pPr>
              <w:spacing w:after="0"/>
              <w:rPr>
                <w:sz w:val="9"/>
                <w:szCs w:val="9"/>
                <w:color w:val="auto"/>
              </w:rPr>
            </w:pPr>
          </w:p>
        </w:tc>
        <w:tc>
          <w:tcPr>
            <w:tcW w:w="0" w:type="dxa"/>
            <w:vAlign w:val="bottom"/>
          </w:tcPr>
          <w:p>
            <w:pPr>
              <w:spacing w:after="0"/>
              <w:rPr>
                <w:sz w:val="1"/>
                <w:szCs w:val="1"/>
                <w:color w:val="auto"/>
              </w:rPr>
            </w:pPr>
          </w:p>
        </w:tc>
      </w:tr>
      <w:tr>
        <w:trPr>
          <w:trHeight w:val="310"/>
        </w:trPr>
        <w:tc>
          <w:tcPr>
            <w:tcW w:w="720" w:type="dxa"/>
            <w:vAlign w:val="bottom"/>
            <w:tcBorders>
              <w:left w:val="single" w:sz="8" w:color="auto"/>
              <w:right w:val="single" w:sz="8" w:color="auto"/>
            </w:tcBorders>
          </w:tcPr>
          <w:p>
            <w:pPr>
              <w:spacing w:after="0"/>
              <w:rPr>
                <w:sz w:val="24"/>
                <w:szCs w:val="24"/>
                <w:color w:val="auto"/>
              </w:rPr>
            </w:pPr>
          </w:p>
        </w:tc>
        <w:tc>
          <w:tcPr>
            <w:tcW w:w="718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w w:val="97"/>
              </w:rPr>
              <w:t>The company’s auditor is Daniel Ho of BDO Shu Lun Pan. He has audited other companies</w:t>
            </w:r>
          </w:p>
        </w:tc>
        <w:tc>
          <w:tcPr>
            <w:tcW w:w="1320" w:type="dxa"/>
            <w:vAlign w:val="bottom"/>
            <w:tcBorders>
              <w:right w:val="single" w:sz="8" w:color="auto"/>
            </w:tcBorders>
          </w:tcPr>
          <w:p>
            <w:pPr>
              <w:spacing w:after="0"/>
              <w:rPr>
                <w:sz w:val="24"/>
                <w:szCs w:val="24"/>
                <w:color w:val="auto"/>
              </w:rPr>
            </w:pPr>
          </w:p>
        </w:tc>
        <w:tc>
          <w:tcPr>
            <w:tcW w:w="20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720" w:type="dxa"/>
            <w:vAlign w:val="bottom"/>
            <w:tcBorders>
              <w:left w:val="single" w:sz="8" w:color="auto"/>
              <w:right w:val="single" w:sz="8" w:color="auto"/>
            </w:tcBorders>
          </w:tcPr>
          <w:p>
            <w:pPr>
              <w:spacing w:after="0"/>
              <w:rPr>
                <w:sz w:val="18"/>
                <w:szCs w:val="18"/>
                <w:color w:val="auto"/>
              </w:rPr>
            </w:pPr>
          </w:p>
        </w:tc>
        <w:tc>
          <w:tcPr>
            <w:tcW w:w="718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w w:val="90"/>
              </w:rPr>
              <w:t>widely regarded as frauds such as Orient Paper, now a penny stock trading as IT Tech, and Origin</w:t>
            </w:r>
          </w:p>
        </w:tc>
        <w:tc>
          <w:tcPr>
            <w:tcW w:w="1320" w:type="dxa"/>
            <w:vAlign w:val="bottom"/>
            <w:tcBorders>
              <w:right w:val="single" w:sz="8" w:color="auto"/>
            </w:tcBorders>
          </w:tcPr>
          <w:p>
            <w:pPr>
              <w:spacing w:after="0"/>
              <w:rPr>
                <w:sz w:val="18"/>
                <w:szCs w:val="18"/>
                <w:color w:val="auto"/>
              </w:rPr>
            </w:pPr>
          </w:p>
        </w:tc>
        <w:tc>
          <w:tcPr>
            <w:tcW w:w="202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20" w:type="dxa"/>
            <w:vAlign w:val="bottom"/>
            <w:tcBorders>
              <w:left w:val="single" w:sz="8" w:color="auto"/>
              <w:right w:val="single" w:sz="8" w:color="auto"/>
            </w:tcBorders>
          </w:tcPr>
          <w:p>
            <w:pPr>
              <w:spacing w:after="0"/>
              <w:rPr>
                <w:sz w:val="20"/>
                <w:szCs w:val="20"/>
                <w:color w:val="auto"/>
              </w:rPr>
            </w:pPr>
          </w:p>
        </w:tc>
        <w:tc>
          <w:tcPr>
            <w:tcW w:w="718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rPr>
              <w:t>Agritech (SEED).</w:t>
            </w:r>
          </w:p>
        </w:tc>
        <w:tc>
          <w:tcPr>
            <w:tcW w:w="1320" w:type="dxa"/>
            <w:vAlign w:val="bottom"/>
            <w:tcBorders>
              <w:right w:val="single" w:sz="8" w:color="auto"/>
            </w:tcBorders>
          </w:tcPr>
          <w:p>
            <w:pPr>
              <w:spacing w:after="0"/>
              <w:rPr>
                <w:sz w:val="20"/>
                <w:szCs w:val="20"/>
                <w:color w:val="auto"/>
              </w:rPr>
            </w:pPr>
          </w:p>
        </w:tc>
        <w:tc>
          <w:tcPr>
            <w:tcW w:w="20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77"/>
        </w:trPr>
        <w:tc>
          <w:tcPr>
            <w:tcW w:w="720" w:type="dxa"/>
            <w:vAlign w:val="bottom"/>
            <w:tcBorders>
              <w:left w:val="single" w:sz="8" w:color="auto"/>
              <w:bottom w:val="single" w:sz="8" w:color="auto"/>
              <w:right w:val="single" w:sz="8" w:color="auto"/>
            </w:tcBorders>
          </w:tcPr>
          <w:p>
            <w:pPr>
              <w:spacing w:after="0"/>
              <w:rPr>
                <w:sz w:val="24"/>
                <w:szCs w:val="24"/>
                <w:color w:val="auto"/>
              </w:rPr>
            </w:pPr>
          </w:p>
        </w:tc>
        <w:tc>
          <w:tcPr>
            <w:tcW w:w="7180" w:type="dxa"/>
            <w:vAlign w:val="bottom"/>
            <w:tcBorders>
              <w:bottom w:val="single" w:sz="8" w:color="auto"/>
              <w:right w:val="single" w:sz="8" w:color="auto"/>
            </w:tcBorders>
          </w:tcPr>
          <w:p>
            <w:pPr>
              <w:spacing w:after="0"/>
              <w:rPr>
                <w:sz w:val="24"/>
                <w:szCs w:val="24"/>
                <w:color w:val="auto"/>
              </w:rPr>
            </w:pPr>
          </w:p>
        </w:tc>
        <w:tc>
          <w:tcPr>
            <w:tcW w:w="1320" w:type="dxa"/>
            <w:vAlign w:val="bottom"/>
            <w:tcBorders>
              <w:bottom w:val="single" w:sz="8" w:color="auto"/>
              <w:right w:val="single" w:sz="8" w:color="auto"/>
            </w:tcBorders>
          </w:tcPr>
          <w:p>
            <w:pPr>
              <w:spacing w:after="0"/>
              <w:rPr>
                <w:sz w:val="24"/>
                <w:szCs w:val="24"/>
                <w:color w:val="auto"/>
              </w:rPr>
            </w:pPr>
          </w:p>
        </w:tc>
        <w:tc>
          <w:tcPr>
            <w:tcW w:w="202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720" w:type="dxa"/>
            <w:vAlign w:val="bottom"/>
            <w:tcBorders>
              <w:left w:val="single" w:sz="8" w:color="auto"/>
              <w:right w:val="single" w:sz="8" w:color="auto"/>
            </w:tcBorders>
          </w:tcPr>
          <w:p>
            <w:pPr>
              <w:spacing w:after="0"/>
              <w:rPr>
                <w:sz w:val="23"/>
                <w:szCs w:val="23"/>
                <w:color w:val="auto"/>
              </w:rPr>
            </w:pPr>
          </w:p>
        </w:tc>
        <w:tc>
          <w:tcPr>
            <w:tcW w:w="718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rPr>
              <w:t>Hyped</w:t>
            </w:r>
          </w:p>
        </w:tc>
        <w:tc>
          <w:tcPr>
            <w:tcW w:w="1320" w:type="dxa"/>
            <w:vAlign w:val="bottom"/>
            <w:tcBorders>
              <w:right w:val="single" w:sz="8" w:color="auto"/>
            </w:tcBorders>
          </w:tcPr>
          <w:p>
            <w:pPr>
              <w:spacing w:after="0"/>
              <w:rPr>
                <w:sz w:val="23"/>
                <w:szCs w:val="23"/>
                <w:color w:val="auto"/>
              </w:rPr>
            </w:pPr>
          </w:p>
        </w:tc>
        <w:tc>
          <w:tcPr>
            <w:tcW w:w="202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418"/>
        </w:trPr>
        <w:tc>
          <w:tcPr>
            <w:tcW w:w="720" w:type="dxa"/>
            <w:vAlign w:val="bottom"/>
            <w:tcBorders>
              <w:left w:val="single" w:sz="8" w:color="auto"/>
              <w:right w:val="single" w:sz="8" w:color="auto"/>
            </w:tcBorders>
          </w:tcPr>
          <w:p>
            <w:pPr>
              <w:spacing w:after="0"/>
              <w:rPr>
                <w:sz w:val="24"/>
                <w:szCs w:val="24"/>
                <w:color w:val="auto"/>
              </w:rPr>
            </w:pPr>
          </w:p>
        </w:tc>
        <w:tc>
          <w:tcPr>
            <w:tcW w:w="718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w w:val="95"/>
              </w:rPr>
              <w:t>We think ACMR overstates the price of many of its machines by about 20%. The actual costs,</w:t>
            </w:r>
          </w:p>
        </w:tc>
        <w:tc>
          <w:tcPr>
            <w:tcW w:w="1320" w:type="dxa"/>
            <w:vAlign w:val="bottom"/>
            <w:tcBorders>
              <w:right w:val="single" w:sz="8" w:color="auto"/>
            </w:tcBorders>
          </w:tcPr>
          <w:p>
            <w:pPr>
              <w:spacing w:after="0"/>
              <w:rPr>
                <w:sz w:val="24"/>
                <w:szCs w:val="24"/>
                <w:color w:val="auto"/>
              </w:rPr>
            </w:pPr>
          </w:p>
        </w:tc>
        <w:tc>
          <w:tcPr>
            <w:tcW w:w="20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720" w:type="dxa"/>
            <w:vAlign w:val="bottom"/>
            <w:tcBorders>
              <w:left w:val="single" w:sz="8" w:color="auto"/>
              <w:right w:val="single" w:sz="8" w:color="auto"/>
            </w:tcBorders>
          </w:tcPr>
          <w:p>
            <w:pPr>
              <w:spacing w:after="0"/>
              <w:rPr>
                <w:sz w:val="18"/>
                <w:szCs w:val="18"/>
                <w:color w:val="auto"/>
              </w:rPr>
            </w:pPr>
          </w:p>
        </w:tc>
        <w:tc>
          <w:tcPr>
            <w:tcW w:w="718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w w:val="92"/>
              </w:rPr>
              <w:t>revenue, and profit are hidden when the company diverts revenue from over 90% of sales to five</w:t>
            </w:r>
          </w:p>
        </w:tc>
        <w:tc>
          <w:tcPr>
            <w:tcW w:w="1320" w:type="dxa"/>
            <w:vAlign w:val="bottom"/>
            <w:tcBorders>
              <w:right w:val="single" w:sz="8" w:color="auto"/>
            </w:tcBorders>
          </w:tcPr>
          <w:p>
            <w:pPr>
              <w:spacing w:after="0"/>
              <w:rPr>
                <w:sz w:val="18"/>
                <w:szCs w:val="18"/>
                <w:color w:val="auto"/>
              </w:rPr>
            </w:pPr>
          </w:p>
        </w:tc>
        <w:tc>
          <w:tcPr>
            <w:tcW w:w="202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2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18"/>
                <w:szCs w:val="18"/>
                <w:color w:val="auto"/>
                <w:w w:val="79"/>
              </w:rPr>
              <w:t>3</w:t>
            </w:r>
          </w:p>
        </w:tc>
        <w:tc>
          <w:tcPr>
            <w:tcW w:w="718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w w:val="92"/>
              </w:rPr>
              <w:t>on-paper-only companies. The company reports an average price of $3.6 mln for its single-wafer</w:t>
            </w:r>
          </w:p>
        </w:tc>
        <w:tc>
          <w:tcPr>
            <w:tcW w:w="13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9"/>
              </w:rPr>
              <w:t>4</w:t>
            </w:r>
          </w:p>
        </w:tc>
        <w:tc>
          <w:tcPr>
            <w:tcW w:w="202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w w:val="97"/>
              </w:rPr>
              <w:t>Core Challenge 1: About</w:t>
            </w:r>
          </w:p>
        </w:tc>
        <w:tc>
          <w:tcPr>
            <w:tcW w:w="0" w:type="dxa"/>
            <w:vAlign w:val="bottom"/>
          </w:tcPr>
          <w:p>
            <w:pPr>
              <w:spacing w:after="0"/>
              <w:rPr>
                <w:sz w:val="1"/>
                <w:szCs w:val="1"/>
                <w:color w:val="auto"/>
              </w:rPr>
            </w:pPr>
          </w:p>
        </w:tc>
      </w:tr>
      <w:tr>
        <w:trPr>
          <w:trHeight w:val="122"/>
        </w:trPr>
        <w:tc>
          <w:tcPr>
            <w:tcW w:w="720" w:type="dxa"/>
            <w:vAlign w:val="bottom"/>
            <w:tcBorders>
              <w:left w:val="single" w:sz="8" w:color="auto"/>
              <w:right w:val="single" w:sz="8" w:color="auto"/>
            </w:tcBorders>
            <w:vMerge w:val="continue"/>
          </w:tcPr>
          <w:p>
            <w:pPr>
              <w:spacing w:after="0"/>
              <w:rPr>
                <w:sz w:val="10"/>
                <w:szCs w:val="10"/>
                <w:color w:val="auto"/>
              </w:rPr>
            </w:pPr>
          </w:p>
        </w:tc>
        <w:tc>
          <w:tcPr>
            <w:tcW w:w="7180" w:type="dxa"/>
            <w:vAlign w:val="bottom"/>
            <w:tcBorders>
              <w:right w:val="single" w:sz="8" w:color="auto"/>
            </w:tcBorders>
            <w:vMerge w:val="restart"/>
          </w:tcPr>
          <w:p>
            <w:pPr>
              <w:ind w:left="40"/>
              <w:spacing w:after="0"/>
              <w:rPr>
                <w:sz w:val="20"/>
                <w:szCs w:val="20"/>
                <w:color w:val="auto"/>
              </w:rPr>
            </w:pPr>
            <w:r>
              <w:rPr>
                <w:rFonts w:ascii="Arial" w:cs="Arial" w:eastAsia="Arial" w:hAnsi="Arial"/>
                <w:sz w:val="18"/>
                <w:szCs w:val="18"/>
                <w:color w:val="auto"/>
                <w:w w:val="92"/>
              </w:rPr>
              <w:t>cleaning machines, while we estimate $2.8 mln per machine. One of the very few customers that</w:t>
            </w:r>
          </w:p>
        </w:tc>
        <w:tc>
          <w:tcPr>
            <w:tcW w:w="1320" w:type="dxa"/>
            <w:vAlign w:val="bottom"/>
            <w:tcBorders>
              <w:right w:val="single" w:sz="8" w:color="auto"/>
            </w:tcBorders>
            <w:vMerge w:val="continue"/>
          </w:tcPr>
          <w:p>
            <w:pPr>
              <w:spacing w:after="0"/>
              <w:rPr>
                <w:sz w:val="10"/>
                <w:szCs w:val="10"/>
                <w:color w:val="auto"/>
              </w:rPr>
            </w:pPr>
          </w:p>
        </w:tc>
        <w:tc>
          <w:tcPr>
            <w:tcW w:w="2020" w:type="dxa"/>
            <w:vAlign w:val="bottom"/>
            <w:tcBorders>
              <w:right w:val="single" w:sz="8" w:color="auto"/>
            </w:tcBorders>
            <w:vMerge w:val="restart"/>
          </w:tcPr>
          <w:p>
            <w:pPr>
              <w:ind w:left="60"/>
              <w:spacing w:after="0"/>
              <w:rPr>
                <w:sz w:val="20"/>
                <w:szCs w:val="20"/>
                <w:color w:val="auto"/>
              </w:rPr>
            </w:pPr>
            <w:r>
              <w:rPr>
                <w:rFonts w:ascii="Arial" w:cs="Arial" w:eastAsia="Arial" w:hAnsi="Arial"/>
                <w:sz w:val="18"/>
                <w:szCs w:val="18"/>
                <w:color w:val="auto"/>
              </w:rPr>
              <w:t>Equipment Price</w:t>
            </w:r>
          </w:p>
        </w:tc>
        <w:tc>
          <w:tcPr>
            <w:tcW w:w="0" w:type="dxa"/>
            <w:vAlign w:val="bottom"/>
          </w:tcPr>
          <w:p>
            <w:pPr>
              <w:spacing w:after="0"/>
              <w:rPr>
                <w:sz w:val="1"/>
                <w:szCs w:val="1"/>
                <w:color w:val="auto"/>
              </w:rPr>
            </w:pPr>
          </w:p>
        </w:tc>
      </w:tr>
      <w:tr>
        <w:trPr>
          <w:trHeight w:val="94"/>
        </w:trPr>
        <w:tc>
          <w:tcPr>
            <w:tcW w:w="720" w:type="dxa"/>
            <w:vAlign w:val="bottom"/>
            <w:tcBorders>
              <w:left w:val="single" w:sz="8" w:color="auto"/>
              <w:right w:val="single" w:sz="8" w:color="auto"/>
            </w:tcBorders>
          </w:tcPr>
          <w:p>
            <w:pPr>
              <w:spacing w:after="0"/>
              <w:rPr>
                <w:sz w:val="8"/>
                <w:szCs w:val="8"/>
                <w:color w:val="auto"/>
              </w:rPr>
            </w:pPr>
          </w:p>
        </w:tc>
        <w:tc>
          <w:tcPr>
            <w:tcW w:w="7180" w:type="dxa"/>
            <w:vAlign w:val="bottom"/>
            <w:tcBorders>
              <w:right w:val="single" w:sz="8" w:color="auto"/>
            </w:tcBorders>
            <w:vMerge w:val="continue"/>
          </w:tcPr>
          <w:p>
            <w:pPr>
              <w:spacing w:after="0"/>
              <w:rPr>
                <w:sz w:val="8"/>
                <w:szCs w:val="8"/>
                <w:color w:val="auto"/>
              </w:rPr>
            </w:pPr>
          </w:p>
        </w:tc>
        <w:tc>
          <w:tcPr>
            <w:tcW w:w="1320" w:type="dxa"/>
            <w:vAlign w:val="bottom"/>
            <w:tcBorders>
              <w:right w:val="single" w:sz="8" w:color="auto"/>
            </w:tcBorders>
          </w:tcPr>
          <w:p>
            <w:pPr>
              <w:spacing w:after="0"/>
              <w:rPr>
                <w:sz w:val="8"/>
                <w:szCs w:val="8"/>
                <w:color w:val="auto"/>
              </w:rPr>
            </w:pPr>
          </w:p>
        </w:tc>
        <w:tc>
          <w:tcPr>
            <w:tcW w:w="2020" w:type="dxa"/>
            <w:vAlign w:val="bottom"/>
            <w:tcBorders>
              <w:right w:val="single" w:sz="8" w:color="auto"/>
            </w:tcBorders>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720" w:type="dxa"/>
            <w:vAlign w:val="bottom"/>
            <w:tcBorders>
              <w:left w:val="single" w:sz="8" w:color="auto"/>
              <w:right w:val="single" w:sz="8" w:color="auto"/>
            </w:tcBorders>
          </w:tcPr>
          <w:p>
            <w:pPr>
              <w:spacing w:after="0"/>
              <w:rPr>
                <w:sz w:val="18"/>
                <w:szCs w:val="18"/>
                <w:color w:val="auto"/>
              </w:rPr>
            </w:pPr>
          </w:p>
        </w:tc>
        <w:tc>
          <w:tcPr>
            <w:tcW w:w="718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w w:val="92"/>
              </w:rPr>
              <w:t>did not go through a sales agency in 20194 told us within a narrow range what the company had</w:t>
            </w:r>
          </w:p>
        </w:tc>
        <w:tc>
          <w:tcPr>
            <w:tcW w:w="1320" w:type="dxa"/>
            <w:vAlign w:val="bottom"/>
            <w:tcBorders>
              <w:right w:val="single" w:sz="8" w:color="auto"/>
            </w:tcBorders>
          </w:tcPr>
          <w:p>
            <w:pPr>
              <w:spacing w:after="0"/>
              <w:rPr>
                <w:sz w:val="18"/>
                <w:szCs w:val="18"/>
                <w:color w:val="auto"/>
              </w:rPr>
            </w:pPr>
          </w:p>
        </w:tc>
        <w:tc>
          <w:tcPr>
            <w:tcW w:w="202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20" w:type="dxa"/>
            <w:vAlign w:val="bottom"/>
            <w:tcBorders>
              <w:left w:val="single" w:sz="8" w:color="auto"/>
              <w:right w:val="single" w:sz="8" w:color="auto"/>
            </w:tcBorders>
          </w:tcPr>
          <w:p>
            <w:pPr>
              <w:spacing w:after="0"/>
              <w:rPr>
                <w:sz w:val="18"/>
                <w:szCs w:val="18"/>
                <w:color w:val="auto"/>
              </w:rPr>
            </w:pPr>
          </w:p>
        </w:tc>
        <w:tc>
          <w:tcPr>
            <w:tcW w:w="718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w w:val="96"/>
              </w:rPr>
              <w:t>paid for two wafer-cleaning machines purchased in 2019. ACMR disclosures show prices 15-</w:t>
            </w:r>
          </w:p>
        </w:tc>
        <w:tc>
          <w:tcPr>
            <w:tcW w:w="1320" w:type="dxa"/>
            <w:vAlign w:val="bottom"/>
            <w:tcBorders>
              <w:right w:val="single" w:sz="8" w:color="auto"/>
            </w:tcBorders>
          </w:tcPr>
          <w:p>
            <w:pPr>
              <w:spacing w:after="0"/>
              <w:rPr>
                <w:sz w:val="18"/>
                <w:szCs w:val="18"/>
                <w:color w:val="auto"/>
              </w:rPr>
            </w:pPr>
          </w:p>
        </w:tc>
        <w:tc>
          <w:tcPr>
            <w:tcW w:w="202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20" w:type="dxa"/>
            <w:vAlign w:val="bottom"/>
            <w:tcBorders>
              <w:left w:val="single" w:sz="8" w:color="auto"/>
              <w:right w:val="single" w:sz="8" w:color="auto"/>
            </w:tcBorders>
          </w:tcPr>
          <w:p>
            <w:pPr>
              <w:spacing w:after="0"/>
              <w:rPr>
                <w:sz w:val="20"/>
                <w:szCs w:val="20"/>
                <w:color w:val="auto"/>
              </w:rPr>
            </w:pPr>
          </w:p>
        </w:tc>
        <w:tc>
          <w:tcPr>
            <w:tcW w:w="718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rPr>
              <w:t>22% higher than this customer reported to us.</w:t>
            </w:r>
          </w:p>
        </w:tc>
        <w:tc>
          <w:tcPr>
            <w:tcW w:w="1320" w:type="dxa"/>
            <w:vAlign w:val="bottom"/>
            <w:tcBorders>
              <w:right w:val="single" w:sz="8" w:color="auto"/>
            </w:tcBorders>
          </w:tcPr>
          <w:p>
            <w:pPr>
              <w:spacing w:after="0"/>
              <w:rPr>
                <w:sz w:val="20"/>
                <w:szCs w:val="20"/>
                <w:color w:val="auto"/>
              </w:rPr>
            </w:pPr>
          </w:p>
        </w:tc>
        <w:tc>
          <w:tcPr>
            <w:tcW w:w="20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77"/>
        </w:trPr>
        <w:tc>
          <w:tcPr>
            <w:tcW w:w="720" w:type="dxa"/>
            <w:vAlign w:val="bottom"/>
            <w:tcBorders>
              <w:left w:val="single" w:sz="8" w:color="auto"/>
              <w:bottom w:val="single" w:sz="8" w:color="auto"/>
              <w:right w:val="single" w:sz="8" w:color="auto"/>
            </w:tcBorders>
          </w:tcPr>
          <w:p>
            <w:pPr>
              <w:spacing w:after="0"/>
              <w:rPr>
                <w:sz w:val="24"/>
                <w:szCs w:val="24"/>
                <w:color w:val="auto"/>
              </w:rPr>
            </w:pPr>
          </w:p>
        </w:tc>
        <w:tc>
          <w:tcPr>
            <w:tcW w:w="7180" w:type="dxa"/>
            <w:vAlign w:val="bottom"/>
            <w:tcBorders>
              <w:bottom w:val="single" w:sz="8" w:color="auto"/>
              <w:right w:val="single" w:sz="8" w:color="auto"/>
            </w:tcBorders>
          </w:tcPr>
          <w:p>
            <w:pPr>
              <w:spacing w:after="0"/>
              <w:rPr>
                <w:sz w:val="24"/>
                <w:szCs w:val="24"/>
                <w:color w:val="auto"/>
              </w:rPr>
            </w:pPr>
          </w:p>
        </w:tc>
        <w:tc>
          <w:tcPr>
            <w:tcW w:w="1320" w:type="dxa"/>
            <w:vAlign w:val="bottom"/>
            <w:tcBorders>
              <w:bottom w:val="single" w:sz="8" w:color="auto"/>
              <w:right w:val="single" w:sz="8" w:color="auto"/>
            </w:tcBorders>
          </w:tcPr>
          <w:p>
            <w:pPr>
              <w:spacing w:after="0"/>
              <w:rPr>
                <w:sz w:val="24"/>
                <w:szCs w:val="24"/>
                <w:color w:val="auto"/>
              </w:rPr>
            </w:pPr>
          </w:p>
        </w:tc>
        <w:tc>
          <w:tcPr>
            <w:tcW w:w="202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720" w:type="dxa"/>
            <w:vAlign w:val="bottom"/>
            <w:tcBorders>
              <w:left w:val="single" w:sz="8" w:color="auto"/>
              <w:right w:val="single" w:sz="8" w:color="auto"/>
            </w:tcBorders>
          </w:tcPr>
          <w:p>
            <w:pPr>
              <w:spacing w:after="0"/>
              <w:rPr>
                <w:sz w:val="23"/>
                <w:szCs w:val="23"/>
                <w:color w:val="auto"/>
              </w:rPr>
            </w:pPr>
          </w:p>
        </w:tc>
        <w:tc>
          <w:tcPr>
            <w:tcW w:w="718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rPr>
              <w:t>Grossly overstated margins</w:t>
            </w:r>
          </w:p>
        </w:tc>
        <w:tc>
          <w:tcPr>
            <w:tcW w:w="1320" w:type="dxa"/>
            <w:vAlign w:val="bottom"/>
            <w:tcBorders>
              <w:right w:val="single" w:sz="8" w:color="auto"/>
            </w:tcBorders>
          </w:tcPr>
          <w:p>
            <w:pPr>
              <w:spacing w:after="0"/>
              <w:rPr>
                <w:sz w:val="23"/>
                <w:szCs w:val="23"/>
                <w:color w:val="auto"/>
              </w:rPr>
            </w:pPr>
          </w:p>
        </w:tc>
        <w:tc>
          <w:tcPr>
            <w:tcW w:w="202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432"/>
        </w:trPr>
        <w:tc>
          <w:tcPr>
            <w:tcW w:w="720" w:type="dxa"/>
            <w:vAlign w:val="bottom"/>
            <w:tcBorders>
              <w:left w:val="single" w:sz="8" w:color="auto"/>
              <w:right w:val="single" w:sz="8" w:color="auto"/>
            </w:tcBorders>
          </w:tcPr>
          <w:p>
            <w:pPr>
              <w:spacing w:after="0"/>
              <w:rPr>
                <w:sz w:val="24"/>
                <w:szCs w:val="24"/>
                <w:color w:val="auto"/>
              </w:rPr>
            </w:pPr>
          </w:p>
        </w:tc>
        <w:tc>
          <w:tcPr>
            <w:tcW w:w="718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w w:val="96"/>
              </w:rPr>
              <w:t>Not only is revenue overstated, but we have a mountain of evidence showing inflated profits.</w:t>
            </w:r>
          </w:p>
        </w:tc>
        <w:tc>
          <w:tcPr>
            <w:tcW w:w="1320" w:type="dxa"/>
            <w:vAlign w:val="bottom"/>
            <w:tcBorders>
              <w:right w:val="single" w:sz="8" w:color="auto"/>
            </w:tcBorders>
          </w:tcPr>
          <w:p>
            <w:pPr>
              <w:spacing w:after="0"/>
              <w:rPr>
                <w:sz w:val="24"/>
                <w:szCs w:val="24"/>
                <w:color w:val="auto"/>
              </w:rPr>
            </w:pPr>
          </w:p>
        </w:tc>
        <w:tc>
          <w:tcPr>
            <w:tcW w:w="20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418"/>
        </w:trPr>
        <w:tc>
          <w:tcPr>
            <w:tcW w:w="72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18"/>
                <w:szCs w:val="18"/>
                <w:color w:val="auto"/>
                <w:w w:val="79"/>
              </w:rPr>
              <w:t>4</w:t>
            </w:r>
          </w:p>
        </w:tc>
        <w:tc>
          <w:tcPr>
            <w:tcW w:w="718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w w:val="94"/>
              </w:rPr>
              <w:t>We believe that Screen Holdings, which commands roughly 40% of the world market for wafer-</w:t>
            </w:r>
          </w:p>
        </w:tc>
        <w:tc>
          <w:tcPr>
            <w:tcW w:w="13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2"/>
              </w:rPr>
              <w:t>4-5</w:t>
            </w:r>
          </w:p>
        </w:tc>
        <w:tc>
          <w:tcPr>
            <w:tcW w:w="202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w w:val="97"/>
              </w:rPr>
              <w:t>Core Challenge 2: About</w:t>
            </w:r>
          </w:p>
        </w:tc>
        <w:tc>
          <w:tcPr>
            <w:tcW w:w="0" w:type="dxa"/>
            <w:vAlign w:val="bottom"/>
          </w:tcPr>
          <w:p>
            <w:pPr>
              <w:spacing w:after="0"/>
              <w:rPr>
                <w:sz w:val="1"/>
                <w:szCs w:val="1"/>
                <w:color w:val="auto"/>
              </w:rPr>
            </w:pPr>
          </w:p>
        </w:tc>
      </w:tr>
      <w:tr>
        <w:trPr>
          <w:trHeight w:val="122"/>
        </w:trPr>
        <w:tc>
          <w:tcPr>
            <w:tcW w:w="720" w:type="dxa"/>
            <w:vAlign w:val="bottom"/>
            <w:tcBorders>
              <w:left w:val="single" w:sz="8" w:color="auto"/>
              <w:right w:val="single" w:sz="8" w:color="auto"/>
            </w:tcBorders>
            <w:vMerge w:val="continue"/>
          </w:tcPr>
          <w:p>
            <w:pPr>
              <w:spacing w:after="0"/>
              <w:rPr>
                <w:sz w:val="10"/>
                <w:szCs w:val="10"/>
                <w:color w:val="auto"/>
              </w:rPr>
            </w:pPr>
          </w:p>
        </w:tc>
        <w:tc>
          <w:tcPr>
            <w:tcW w:w="7180" w:type="dxa"/>
            <w:vAlign w:val="bottom"/>
            <w:tcBorders>
              <w:right w:val="single" w:sz="8" w:color="auto"/>
            </w:tcBorders>
            <w:vMerge w:val="restart"/>
          </w:tcPr>
          <w:p>
            <w:pPr>
              <w:ind w:left="40"/>
              <w:spacing w:after="0"/>
              <w:rPr>
                <w:sz w:val="20"/>
                <w:szCs w:val="20"/>
                <w:color w:val="auto"/>
              </w:rPr>
            </w:pPr>
            <w:r>
              <w:rPr>
                <w:rFonts w:ascii="Arial" w:cs="Arial" w:eastAsia="Arial" w:hAnsi="Arial"/>
                <w:sz w:val="18"/>
                <w:szCs w:val="18"/>
                <w:color w:val="auto"/>
                <w:w w:val="97"/>
              </w:rPr>
              <w:t>cleaning equipment, is the company most directly comparable to ACMR. Screen owns more</w:t>
            </w:r>
          </w:p>
        </w:tc>
        <w:tc>
          <w:tcPr>
            <w:tcW w:w="1320" w:type="dxa"/>
            <w:vAlign w:val="bottom"/>
            <w:tcBorders>
              <w:right w:val="single" w:sz="8" w:color="auto"/>
            </w:tcBorders>
            <w:vMerge w:val="continue"/>
          </w:tcPr>
          <w:p>
            <w:pPr>
              <w:spacing w:after="0"/>
              <w:rPr>
                <w:sz w:val="10"/>
                <w:szCs w:val="10"/>
                <w:color w:val="auto"/>
              </w:rPr>
            </w:pPr>
          </w:p>
        </w:tc>
        <w:tc>
          <w:tcPr>
            <w:tcW w:w="2020" w:type="dxa"/>
            <w:vAlign w:val="bottom"/>
            <w:tcBorders>
              <w:right w:val="single" w:sz="8" w:color="auto"/>
            </w:tcBorders>
            <w:vMerge w:val="restart"/>
          </w:tcPr>
          <w:p>
            <w:pPr>
              <w:ind w:left="60"/>
              <w:spacing w:after="0"/>
              <w:rPr>
                <w:sz w:val="20"/>
                <w:szCs w:val="20"/>
                <w:color w:val="auto"/>
              </w:rPr>
            </w:pPr>
            <w:r>
              <w:rPr>
                <w:rFonts w:ascii="Arial" w:cs="Arial" w:eastAsia="Arial" w:hAnsi="Arial"/>
                <w:sz w:val="18"/>
                <w:szCs w:val="18"/>
                <w:color w:val="auto"/>
              </w:rPr>
              <w:t>Gross Profit Margin</w:t>
            </w:r>
          </w:p>
        </w:tc>
        <w:tc>
          <w:tcPr>
            <w:tcW w:w="0" w:type="dxa"/>
            <w:vAlign w:val="bottom"/>
          </w:tcPr>
          <w:p>
            <w:pPr>
              <w:spacing w:after="0"/>
              <w:rPr>
                <w:sz w:val="1"/>
                <w:szCs w:val="1"/>
                <w:color w:val="auto"/>
              </w:rPr>
            </w:pPr>
          </w:p>
        </w:tc>
      </w:tr>
      <w:tr>
        <w:trPr>
          <w:trHeight w:val="94"/>
        </w:trPr>
        <w:tc>
          <w:tcPr>
            <w:tcW w:w="720" w:type="dxa"/>
            <w:vAlign w:val="bottom"/>
            <w:tcBorders>
              <w:left w:val="single" w:sz="8" w:color="auto"/>
              <w:right w:val="single" w:sz="8" w:color="auto"/>
            </w:tcBorders>
          </w:tcPr>
          <w:p>
            <w:pPr>
              <w:spacing w:after="0"/>
              <w:rPr>
                <w:sz w:val="8"/>
                <w:szCs w:val="8"/>
                <w:color w:val="auto"/>
              </w:rPr>
            </w:pPr>
          </w:p>
        </w:tc>
        <w:tc>
          <w:tcPr>
            <w:tcW w:w="7180" w:type="dxa"/>
            <w:vAlign w:val="bottom"/>
            <w:tcBorders>
              <w:right w:val="single" w:sz="8" w:color="auto"/>
            </w:tcBorders>
            <w:vMerge w:val="continue"/>
          </w:tcPr>
          <w:p>
            <w:pPr>
              <w:spacing w:after="0"/>
              <w:rPr>
                <w:sz w:val="8"/>
                <w:szCs w:val="8"/>
                <w:color w:val="auto"/>
              </w:rPr>
            </w:pPr>
          </w:p>
        </w:tc>
        <w:tc>
          <w:tcPr>
            <w:tcW w:w="1320" w:type="dxa"/>
            <w:vAlign w:val="bottom"/>
            <w:tcBorders>
              <w:right w:val="single" w:sz="8" w:color="auto"/>
            </w:tcBorders>
          </w:tcPr>
          <w:p>
            <w:pPr>
              <w:spacing w:after="0"/>
              <w:rPr>
                <w:sz w:val="8"/>
                <w:szCs w:val="8"/>
                <w:color w:val="auto"/>
              </w:rPr>
            </w:pPr>
          </w:p>
        </w:tc>
        <w:tc>
          <w:tcPr>
            <w:tcW w:w="2020" w:type="dxa"/>
            <w:vAlign w:val="bottom"/>
            <w:tcBorders>
              <w:right w:val="single" w:sz="8" w:color="auto"/>
            </w:tcBorders>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30"/>
        </w:trPr>
        <w:tc>
          <w:tcPr>
            <w:tcW w:w="720" w:type="dxa"/>
            <w:vAlign w:val="bottom"/>
            <w:tcBorders>
              <w:left w:val="single" w:sz="8" w:color="auto"/>
              <w:right w:val="single" w:sz="8" w:color="auto"/>
            </w:tcBorders>
          </w:tcPr>
          <w:p>
            <w:pPr>
              <w:spacing w:after="0"/>
              <w:rPr>
                <w:sz w:val="20"/>
                <w:szCs w:val="20"/>
                <w:color w:val="auto"/>
              </w:rPr>
            </w:pPr>
          </w:p>
        </w:tc>
        <w:tc>
          <w:tcPr>
            <w:tcW w:w="718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rPr>
              <w:t>technology and more manufacturing equipment. Screen reports gross margins of 23.7%.</w:t>
            </w:r>
          </w:p>
        </w:tc>
        <w:tc>
          <w:tcPr>
            <w:tcW w:w="1320" w:type="dxa"/>
            <w:vAlign w:val="bottom"/>
            <w:tcBorders>
              <w:right w:val="single" w:sz="8" w:color="auto"/>
            </w:tcBorders>
          </w:tcPr>
          <w:p>
            <w:pPr>
              <w:spacing w:after="0"/>
              <w:rPr>
                <w:sz w:val="20"/>
                <w:szCs w:val="20"/>
                <w:color w:val="auto"/>
              </w:rPr>
            </w:pPr>
          </w:p>
        </w:tc>
        <w:tc>
          <w:tcPr>
            <w:tcW w:w="20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18"/>
        </w:trPr>
        <w:tc>
          <w:tcPr>
            <w:tcW w:w="720" w:type="dxa"/>
            <w:vAlign w:val="bottom"/>
            <w:tcBorders>
              <w:left w:val="single" w:sz="8" w:color="auto"/>
              <w:right w:val="single" w:sz="8" w:color="auto"/>
            </w:tcBorders>
          </w:tcPr>
          <w:p>
            <w:pPr>
              <w:spacing w:after="0"/>
              <w:rPr>
                <w:sz w:val="24"/>
                <w:szCs w:val="24"/>
                <w:color w:val="auto"/>
              </w:rPr>
            </w:pPr>
          </w:p>
        </w:tc>
        <w:tc>
          <w:tcPr>
            <w:tcW w:w="718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w w:val="91"/>
              </w:rPr>
              <w:t>Screen (DNS) is 26x the size of ACMR and has more equipment and technology. It also has 40%</w:t>
            </w:r>
          </w:p>
        </w:tc>
        <w:tc>
          <w:tcPr>
            <w:tcW w:w="1320" w:type="dxa"/>
            <w:vAlign w:val="bottom"/>
            <w:tcBorders>
              <w:right w:val="single" w:sz="8" w:color="auto"/>
            </w:tcBorders>
          </w:tcPr>
          <w:p>
            <w:pPr>
              <w:spacing w:after="0"/>
              <w:rPr>
                <w:sz w:val="24"/>
                <w:szCs w:val="24"/>
                <w:color w:val="auto"/>
              </w:rPr>
            </w:pPr>
          </w:p>
        </w:tc>
        <w:tc>
          <w:tcPr>
            <w:tcW w:w="20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720" w:type="dxa"/>
            <w:vAlign w:val="bottom"/>
            <w:tcBorders>
              <w:left w:val="single" w:sz="8" w:color="auto"/>
              <w:right w:val="single" w:sz="8" w:color="auto"/>
            </w:tcBorders>
          </w:tcPr>
          <w:p>
            <w:pPr>
              <w:spacing w:after="0"/>
              <w:rPr>
                <w:sz w:val="20"/>
                <w:szCs w:val="20"/>
                <w:color w:val="auto"/>
              </w:rPr>
            </w:pPr>
          </w:p>
        </w:tc>
        <w:tc>
          <w:tcPr>
            <w:tcW w:w="718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w w:val="94"/>
              </w:rPr>
              <w:t>of the world market in the same product category. So why are ACMR’s gross margins double?</w:t>
            </w:r>
          </w:p>
        </w:tc>
        <w:tc>
          <w:tcPr>
            <w:tcW w:w="1320" w:type="dxa"/>
            <w:vAlign w:val="bottom"/>
            <w:tcBorders>
              <w:right w:val="single" w:sz="8" w:color="auto"/>
            </w:tcBorders>
          </w:tcPr>
          <w:p>
            <w:pPr>
              <w:spacing w:after="0"/>
              <w:rPr>
                <w:sz w:val="20"/>
                <w:szCs w:val="20"/>
                <w:color w:val="auto"/>
              </w:rPr>
            </w:pPr>
          </w:p>
        </w:tc>
        <w:tc>
          <w:tcPr>
            <w:tcW w:w="20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61"/>
        </w:trPr>
        <w:tc>
          <w:tcPr>
            <w:tcW w:w="720" w:type="dxa"/>
            <w:vAlign w:val="bottom"/>
            <w:tcBorders>
              <w:left w:val="single" w:sz="8" w:color="auto"/>
              <w:bottom w:val="single" w:sz="8" w:color="auto"/>
              <w:right w:val="single" w:sz="8" w:color="auto"/>
            </w:tcBorders>
          </w:tcPr>
          <w:p>
            <w:pPr>
              <w:spacing w:after="0"/>
              <w:rPr>
                <w:sz w:val="5"/>
                <w:szCs w:val="5"/>
                <w:color w:val="auto"/>
              </w:rPr>
            </w:pPr>
          </w:p>
        </w:tc>
        <w:tc>
          <w:tcPr>
            <w:tcW w:w="7180" w:type="dxa"/>
            <w:vAlign w:val="bottom"/>
            <w:tcBorders>
              <w:bottom w:val="single" w:sz="8" w:color="auto"/>
              <w:right w:val="single" w:sz="8" w:color="auto"/>
            </w:tcBorders>
          </w:tcPr>
          <w:p>
            <w:pPr>
              <w:spacing w:after="0"/>
              <w:rPr>
                <w:sz w:val="5"/>
                <w:szCs w:val="5"/>
                <w:color w:val="auto"/>
              </w:rPr>
            </w:pPr>
          </w:p>
        </w:tc>
        <w:tc>
          <w:tcPr>
            <w:tcW w:w="1320" w:type="dxa"/>
            <w:vAlign w:val="bottom"/>
            <w:tcBorders>
              <w:bottom w:val="single" w:sz="8" w:color="auto"/>
              <w:right w:val="single" w:sz="8" w:color="auto"/>
            </w:tcBorders>
          </w:tcPr>
          <w:p>
            <w:pPr>
              <w:spacing w:after="0"/>
              <w:rPr>
                <w:sz w:val="5"/>
                <w:szCs w:val="5"/>
                <w:color w:val="auto"/>
              </w:rPr>
            </w:pPr>
          </w:p>
        </w:tc>
        <w:tc>
          <w:tcPr>
            <w:tcW w:w="2020" w:type="dxa"/>
            <w:vAlign w:val="bottom"/>
            <w:tcBorders>
              <w:bottom w:val="single" w:sz="8" w:color="auto"/>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582"/>
        </w:trPr>
        <w:tc>
          <w:tcPr>
            <w:tcW w:w="720" w:type="dxa"/>
            <w:vAlign w:val="bottom"/>
          </w:tcPr>
          <w:p>
            <w:pPr>
              <w:spacing w:after="0"/>
              <w:rPr>
                <w:sz w:val="24"/>
                <w:szCs w:val="24"/>
                <w:color w:val="auto"/>
              </w:rPr>
            </w:pPr>
          </w:p>
        </w:tc>
        <w:tc>
          <w:tcPr>
            <w:tcW w:w="7180" w:type="dxa"/>
            <w:vAlign w:val="bottom"/>
          </w:tcPr>
          <w:p>
            <w:pPr>
              <w:ind w:left="4680"/>
              <w:spacing w:after="0"/>
              <w:rPr>
                <w:sz w:val="20"/>
                <w:szCs w:val="20"/>
                <w:color w:val="auto"/>
              </w:rPr>
            </w:pPr>
            <w:r>
              <w:rPr>
                <w:rFonts w:ascii="Arial" w:cs="Arial" w:eastAsia="Arial" w:hAnsi="Arial"/>
                <w:sz w:val="14"/>
                <w:szCs w:val="14"/>
                <w:color w:val="auto"/>
              </w:rPr>
              <w:t>8-4-1-7</w:t>
            </w:r>
          </w:p>
        </w:tc>
        <w:tc>
          <w:tcPr>
            <w:tcW w:w="1320" w:type="dxa"/>
            <w:vAlign w:val="bottom"/>
          </w:tcPr>
          <w:p>
            <w:pPr>
              <w:spacing w:after="0"/>
              <w:rPr>
                <w:sz w:val="24"/>
                <w:szCs w:val="24"/>
                <w:color w:val="auto"/>
              </w:rPr>
            </w:pPr>
          </w:p>
        </w:tc>
        <w:tc>
          <w:tcPr>
            <w:tcW w:w="2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6"/>
        </w:trPr>
        <w:tc>
          <w:tcPr>
            <w:tcW w:w="720" w:type="dxa"/>
            <w:vAlign w:val="bottom"/>
            <w:tcBorders>
              <w:bottom w:val="single" w:sz="8" w:color="auto"/>
            </w:tcBorders>
          </w:tcPr>
          <w:p>
            <w:pPr>
              <w:spacing w:after="0"/>
              <w:rPr>
                <w:sz w:val="4"/>
                <w:szCs w:val="4"/>
                <w:color w:val="auto"/>
              </w:rPr>
            </w:pPr>
          </w:p>
        </w:tc>
        <w:tc>
          <w:tcPr>
            <w:tcW w:w="7180" w:type="dxa"/>
            <w:vAlign w:val="bottom"/>
            <w:tcBorders>
              <w:bottom w:val="single" w:sz="8" w:color="auto"/>
            </w:tcBorders>
          </w:tcPr>
          <w:p>
            <w:pPr>
              <w:spacing w:after="0"/>
              <w:rPr>
                <w:sz w:val="4"/>
                <w:szCs w:val="4"/>
                <w:color w:val="auto"/>
              </w:rPr>
            </w:pPr>
          </w:p>
        </w:tc>
        <w:tc>
          <w:tcPr>
            <w:tcW w:w="1320" w:type="dxa"/>
            <w:vAlign w:val="bottom"/>
            <w:tcBorders>
              <w:bottom w:val="single" w:sz="8" w:color="auto"/>
            </w:tcBorders>
          </w:tcPr>
          <w:p>
            <w:pPr>
              <w:spacing w:after="0"/>
              <w:rPr>
                <w:sz w:val="4"/>
                <w:szCs w:val="4"/>
                <w:color w:val="auto"/>
              </w:rPr>
            </w:pPr>
          </w:p>
        </w:tc>
        <w:tc>
          <w:tcPr>
            <w:tcW w:w="202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121" w:right="339" w:bottom="1440" w:gutter="0" w:footer="0" w:header="0"/>
        </w:sectPr>
      </w:pPr>
    </w:p>
    <w:bookmarkStart w:id="11" w:name="page12"/>
    <w:bookmarkEnd w:id="11"/>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297"/>
        </w:trPr>
        <w:tc>
          <w:tcPr>
            <w:tcW w:w="720" w:type="dxa"/>
            <w:vAlign w:val="bottom"/>
            <w:tcBorders>
              <w:top w:val="single" w:sz="8" w:color="auto"/>
              <w:left w:val="single" w:sz="8" w:color="auto"/>
              <w:right w:val="single" w:sz="8" w:color="auto"/>
            </w:tcBorders>
          </w:tcPr>
          <w:p>
            <w:pPr>
              <w:spacing w:after="0"/>
              <w:rPr>
                <w:sz w:val="24"/>
                <w:szCs w:val="24"/>
                <w:color w:val="auto"/>
              </w:rPr>
            </w:pPr>
          </w:p>
        </w:tc>
        <w:tc>
          <w:tcPr>
            <w:tcW w:w="7180" w:type="dxa"/>
            <w:vAlign w:val="bottom"/>
            <w:tcBorders>
              <w:top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Building stuff without equipment</w:t>
            </w:r>
          </w:p>
        </w:tc>
        <w:tc>
          <w:tcPr>
            <w:tcW w:w="1320" w:type="dxa"/>
            <w:vAlign w:val="bottom"/>
            <w:tcBorders>
              <w:top w:val="single" w:sz="8" w:color="auto"/>
              <w:right w:val="single" w:sz="8" w:color="auto"/>
            </w:tcBorders>
          </w:tcPr>
          <w:p>
            <w:pPr>
              <w:spacing w:after="0"/>
              <w:rPr>
                <w:sz w:val="24"/>
                <w:szCs w:val="24"/>
                <w:color w:val="auto"/>
              </w:rPr>
            </w:pPr>
          </w:p>
        </w:tc>
        <w:tc>
          <w:tcPr>
            <w:tcW w:w="2020" w:type="dxa"/>
            <w:vAlign w:val="bottom"/>
            <w:tcBorders>
              <w:top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418"/>
        </w:trPr>
        <w:tc>
          <w:tcPr>
            <w:tcW w:w="720" w:type="dxa"/>
            <w:vAlign w:val="bottom"/>
            <w:tcBorders>
              <w:left w:val="single" w:sz="8" w:color="auto"/>
              <w:right w:val="single" w:sz="8" w:color="auto"/>
            </w:tcBorders>
          </w:tcPr>
          <w:p>
            <w:pPr>
              <w:spacing w:after="0"/>
              <w:rPr>
                <w:sz w:val="24"/>
                <w:szCs w:val="24"/>
                <w:color w:val="auto"/>
              </w:rPr>
            </w:pPr>
          </w:p>
        </w:tc>
        <w:tc>
          <w:tcPr>
            <w:tcW w:w="718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w w:val="96"/>
              </w:rPr>
              <w:t>The true nature of ACMR’s business is readily available for investors to see in the company’s</w:t>
            </w:r>
          </w:p>
        </w:tc>
        <w:tc>
          <w:tcPr>
            <w:tcW w:w="1320" w:type="dxa"/>
            <w:vAlign w:val="bottom"/>
            <w:tcBorders>
              <w:right w:val="single" w:sz="8" w:color="auto"/>
            </w:tcBorders>
          </w:tcPr>
          <w:p>
            <w:pPr>
              <w:spacing w:after="0"/>
              <w:rPr>
                <w:sz w:val="24"/>
                <w:szCs w:val="24"/>
                <w:color w:val="auto"/>
              </w:rPr>
            </w:pPr>
          </w:p>
        </w:tc>
        <w:tc>
          <w:tcPr>
            <w:tcW w:w="20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720" w:type="dxa"/>
            <w:vAlign w:val="bottom"/>
            <w:tcBorders>
              <w:left w:val="single" w:sz="8" w:color="auto"/>
              <w:right w:val="single" w:sz="8" w:color="auto"/>
            </w:tcBorders>
          </w:tcPr>
          <w:p>
            <w:pPr>
              <w:spacing w:after="0"/>
              <w:rPr>
                <w:sz w:val="18"/>
                <w:szCs w:val="18"/>
                <w:color w:val="auto"/>
              </w:rPr>
            </w:pPr>
          </w:p>
        </w:tc>
        <w:tc>
          <w:tcPr>
            <w:tcW w:w="718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w w:val="94"/>
              </w:rPr>
              <w:t>disclosures. ACMR has virtually no capital equipment. So-called “manufacturing equipment” at</w:t>
            </w:r>
          </w:p>
        </w:tc>
        <w:tc>
          <w:tcPr>
            <w:tcW w:w="1320" w:type="dxa"/>
            <w:vAlign w:val="bottom"/>
            <w:tcBorders>
              <w:right w:val="single" w:sz="8" w:color="auto"/>
            </w:tcBorders>
          </w:tcPr>
          <w:p>
            <w:pPr>
              <w:spacing w:after="0"/>
              <w:rPr>
                <w:sz w:val="18"/>
                <w:szCs w:val="18"/>
                <w:color w:val="auto"/>
              </w:rPr>
            </w:pPr>
          </w:p>
        </w:tc>
        <w:tc>
          <w:tcPr>
            <w:tcW w:w="202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20" w:type="dxa"/>
            <w:vAlign w:val="bottom"/>
            <w:tcBorders>
              <w:left w:val="single" w:sz="8" w:color="auto"/>
              <w:right w:val="single" w:sz="8" w:color="auto"/>
            </w:tcBorders>
          </w:tcPr>
          <w:p>
            <w:pPr>
              <w:spacing w:after="0"/>
              <w:rPr>
                <w:sz w:val="18"/>
                <w:szCs w:val="18"/>
                <w:color w:val="auto"/>
              </w:rPr>
            </w:pPr>
          </w:p>
        </w:tc>
        <w:tc>
          <w:tcPr>
            <w:tcW w:w="718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w w:val="90"/>
              </w:rPr>
              <w:t>cost on the balance sheet in Q2 2020 amounted to $3.9 mln. This equipment was actually reduced</w:t>
            </w:r>
          </w:p>
        </w:tc>
        <w:tc>
          <w:tcPr>
            <w:tcW w:w="1320" w:type="dxa"/>
            <w:vAlign w:val="bottom"/>
            <w:tcBorders>
              <w:right w:val="single" w:sz="8" w:color="auto"/>
            </w:tcBorders>
          </w:tcPr>
          <w:p>
            <w:pPr>
              <w:spacing w:after="0"/>
              <w:rPr>
                <w:sz w:val="18"/>
                <w:szCs w:val="18"/>
                <w:color w:val="auto"/>
              </w:rPr>
            </w:pPr>
          </w:p>
        </w:tc>
        <w:tc>
          <w:tcPr>
            <w:tcW w:w="202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20" w:type="dxa"/>
            <w:vAlign w:val="bottom"/>
            <w:tcBorders>
              <w:left w:val="single" w:sz="8" w:color="auto"/>
              <w:right w:val="single" w:sz="8" w:color="auto"/>
            </w:tcBorders>
          </w:tcPr>
          <w:p>
            <w:pPr>
              <w:spacing w:after="0"/>
              <w:rPr>
                <w:sz w:val="18"/>
                <w:szCs w:val="18"/>
                <w:color w:val="auto"/>
              </w:rPr>
            </w:pPr>
          </w:p>
        </w:tc>
        <w:tc>
          <w:tcPr>
            <w:tcW w:w="718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w w:val="91"/>
              </w:rPr>
              <w:t>in 2019 when production was supposed to “ramp.” The value of office equipment added since the</w:t>
            </w:r>
          </w:p>
        </w:tc>
        <w:tc>
          <w:tcPr>
            <w:tcW w:w="1320" w:type="dxa"/>
            <w:vAlign w:val="bottom"/>
            <w:tcBorders>
              <w:right w:val="single" w:sz="8" w:color="auto"/>
            </w:tcBorders>
          </w:tcPr>
          <w:p>
            <w:pPr>
              <w:spacing w:after="0"/>
              <w:rPr>
                <w:sz w:val="18"/>
                <w:szCs w:val="18"/>
                <w:color w:val="auto"/>
              </w:rPr>
            </w:pPr>
          </w:p>
        </w:tc>
        <w:tc>
          <w:tcPr>
            <w:tcW w:w="202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20" w:type="dxa"/>
            <w:vAlign w:val="bottom"/>
            <w:tcBorders>
              <w:left w:val="single" w:sz="8" w:color="auto"/>
              <w:right w:val="single" w:sz="8" w:color="auto"/>
            </w:tcBorders>
          </w:tcPr>
          <w:p>
            <w:pPr>
              <w:spacing w:after="0"/>
              <w:rPr>
                <w:sz w:val="18"/>
                <w:szCs w:val="18"/>
                <w:color w:val="auto"/>
              </w:rPr>
            </w:pPr>
          </w:p>
        </w:tc>
        <w:tc>
          <w:tcPr>
            <w:tcW w:w="718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w w:val="91"/>
              </w:rPr>
              <w:t>start of 2019 greatly exceeds the value of added manufacturing equipment. The company opened</w:t>
            </w:r>
          </w:p>
        </w:tc>
        <w:tc>
          <w:tcPr>
            <w:tcW w:w="1320" w:type="dxa"/>
            <w:vAlign w:val="bottom"/>
            <w:tcBorders>
              <w:right w:val="single" w:sz="8" w:color="auto"/>
            </w:tcBorders>
          </w:tcPr>
          <w:p>
            <w:pPr>
              <w:spacing w:after="0"/>
              <w:rPr>
                <w:sz w:val="18"/>
                <w:szCs w:val="18"/>
                <w:color w:val="auto"/>
              </w:rPr>
            </w:pPr>
          </w:p>
        </w:tc>
        <w:tc>
          <w:tcPr>
            <w:tcW w:w="202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20" w:type="dxa"/>
            <w:vAlign w:val="bottom"/>
            <w:tcBorders>
              <w:left w:val="single" w:sz="8" w:color="auto"/>
              <w:right w:val="single" w:sz="8" w:color="auto"/>
            </w:tcBorders>
          </w:tcPr>
          <w:p>
            <w:pPr>
              <w:spacing w:after="0"/>
              <w:rPr>
                <w:sz w:val="18"/>
                <w:szCs w:val="18"/>
                <w:color w:val="auto"/>
              </w:rPr>
            </w:pPr>
          </w:p>
        </w:tc>
        <w:tc>
          <w:tcPr>
            <w:tcW w:w="718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w w:val="92"/>
              </w:rPr>
              <w:t>a new factory in 2018, yet the amount spent on construction in progress during 2017 and 2018 is</w:t>
            </w:r>
          </w:p>
        </w:tc>
        <w:tc>
          <w:tcPr>
            <w:tcW w:w="1320" w:type="dxa"/>
            <w:vAlign w:val="bottom"/>
            <w:tcBorders>
              <w:right w:val="single" w:sz="8" w:color="auto"/>
            </w:tcBorders>
          </w:tcPr>
          <w:p>
            <w:pPr>
              <w:spacing w:after="0"/>
              <w:rPr>
                <w:sz w:val="18"/>
                <w:szCs w:val="18"/>
                <w:color w:val="auto"/>
              </w:rPr>
            </w:pPr>
          </w:p>
        </w:tc>
        <w:tc>
          <w:tcPr>
            <w:tcW w:w="202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20" w:type="dxa"/>
            <w:vAlign w:val="bottom"/>
            <w:tcBorders>
              <w:left w:val="single" w:sz="8" w:color="auto"/>
              <w:right w:val="single" w:sz="8" w:color="auto"/>
            </w:tcBorders>
          </w:tcPr>
          <w:p>
            <w:pPr>
              <w:spacing w:after="0"/>
              <w:rPr>
                <w:sz w:val="18"/>
                <w:szCs w:val="18"/>
                <w:color w:val="auto"/>
              </w:rPr>
            </w:pPr>
          </w:p>
        </w:tc>
        <w:tc>
          <w:tcPr>
            <w:tcW w:w="718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w w:val="94"/>
              </w:rPr>
              <w:t>negligible, and the depreciated PPE machinery values clearly show older machinery, not brand</w:t>
            </w:r>
          </w:p>
        </w:tc>
        <w:tc>
          <w:tcPr>
            <w:tcW w:w="1320" w:type="dxa"/>
            <w:vAlign w:val="bottom"/>
            <w:tcBorders>
              <w:right w:val="single" w:sz="8" w:color="auto"/>
            </w:tcBorders>
          </w:tcPr>
          <w:p>
            <w:pPr>
              <w:spacing w:after="0"/>
              <w:rPr>
                <w:sz w:val="18"/>
                <w:szCs w:val="18"/>
                <w:color w:val="auto"/>
              </w:rPr>
            </w:pPr>
          </w:p>
        </w:tc>
        <w:tc>
          <w:tcPr>
            <w:tcW w:w="202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20" w:type="dxa"/>
            <w:vAlign w:val="bottom"/>
            <w:tcBorders>
              <w:left w:val="single" w:sz="8" w:color="auto"/>
              <w:right w:val="single" w:sz="8" w:color="auto"/>
            </w:tcBorders>
          </w:tcPr>
          <w:p>
            <w:pPr>
              <w:spacing w:after="0"/>
              <w:rPr>
                <w:sz w:val="18"/>
                <w:szCs w:val="18"/>
                <w:color w:val="auto"/>
              </w:rPr>
            </w:pPr>
          </w:p>
        </w:tc>
        <w:tc>
          <w:tcPr>
            <w:tcW w:w="718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w w:val="91"/>
              </w:rPr>
              <w:t>new and still barely depreciated capital assets. By far the most valuable piece of equipment in the</w:t>
            </w:r>
          </w:p>
        </w:tc>
        <w:tc>
          <w:tcPr>
            <w:tcW w:w="1320" w:type="dxa"/>
            <w:vAlign w:val="bottom"/>
            <w:tcBorders>
              <w:right w:val="single" w:sz="8" w:color="auto"/>
            </w:tcBorders>
          </w:tcPr>
          <w:p>
            <w:pPr>
              <w:spacing w:after="0"/>
              <w:rPr>
                <w:sz w:val="18"/>
                <w:szCs w:val="18"/>
                <w:color w:val="auto"/>
              </w:rPr>
            </w:pPr>
          </w:p>
        </w:tc>
        <w:tc>
          <w:tcPr>
            <w:tcW w:w="202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20" w:type="dxa"/>
            <w:vAlign w:val="bottom"/>
            <w:tcBorders>
              <w:left w:val="single" w:sz="8" w:color="auto"/>
              <w:right w:val="single" w:sz="8" w:color="auto"/>
            </w:tcBorders>
            <w:vMerge w:val="restart"/>
          </w:tcPr>
          <w:p>
            <w:pPr>
              <w:jc w:val="right"/>
              <w:ind w:right="230"/>
              <w:spacing w:after="0"/>
              <w:rPr>
                <w:sz w:val="20"/>
                <w:szCs w:val="20"/>
                <w:color w:val="auto"/>
              </w:rPr>
            </w:pPr>
            <w:r>
              <w:rPr>
                <w:rFonts w:ascii="Arial" w:cs="Arial" w:eastAsia="Arial" w:hAnsi="Arial"/>
                <w:sz w:val="18"/>
                <w:szCs w:val="18"/>
                <w:color w:val="auto"/>
              </w:rPr>
              <w:t>5</w:t>
            </w:r>
          </w:p>
        </w:tc>
        <w:tc>
          <w:tcPr>
            <w:tcW w:w="718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rPr>
              <w:t>factory is for testing, not production.</w:t>
            </w:r>
          </w:p>
        </w:tc>
        <w:tc>
          <w:tcPr>
            <w:tcW w:w="13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2"/>
              </w:rPr>
              <w:t>5-8</w:t>
            </w:r>
          </w:p>
        </w:tc>
        <w:tc>
          <w:tcPr>
            <w:tcW w:w="2020" w:type="dxa"/>
            <w:vAlign w:val="bottom"/>
            <w:tcBorders>
              <w:right w:val="single" w:sz="8" w:color="auto"/>
            </w:tcBorders>
            <w:vMerge w:val="restart"/>
          </w:tcPr>
          <w:p>
            <w:pPr>
              <w:ind w:left="60"/>
              <w:spacing w:after="0"/>
              <w:rPr>
                <w:sz w:val="20"/>
                <w:szCs w:val="20"/>
                <w:color w:val="auto"/>
              </w:rPr>
            </w:pPr>
            <w:r>
              <w:rPr>
                <w:rFonts w:ascii="Arial" w:cs="Arial" w:eastAsia="Arial" w:hAnsi="Arial"/>
                <w:sz w:val="18"/>
                <w:szCs w:val="18"/>
                <w:color w:val="auto"/>
                <w:w w:val="94"/>
              </w:rPr>
              <w:t>Other Challenge 1: About</w:t>
            </w:r>
          </w:p>
        </w:tc>
        <w:tc>
          <w:tcPr>
            <w:tcW w:w="0" w:type="dxa"/>
            <w:vAlign w:val="bottom"/>
          </w:tcPr>
          <w:p>
            <w:pPr>
              <w:spacing w:after="0"/>
              <w:rPr>
                <w:sz w:val="1"/>
                <w:szCs w:val="1"/>
                <w:color w:val="auto"/>
              </w:rPr>
            </w:pPr>
          </w:p>
        </w:tc>
      </w:tr>
      <w:tr>
        <w:trPr>
          <w:trHeight w:val="94"/>
        </w:trPr>
        <w:tc>
          <w:tcPr>
            <w:tcW w:w="720" w:type="dxa"/>
            <w:vAlign w:val="bottom"/>
            <w:tcBorders>
              <w:left w:val="single" w:sz="8" w:color="auto"/>
              <w:right w:val="single" w:sz="8" w:color="auto"/>
            </w:tcBorders>
            <w:vMerge w:val="continue"/>
          </w:tcPr>
          <w:p>
            <w:pPr>
              <w:spacing w:after="0"/>
              <w:rPr>
                <w:sz w:val="8"/>
                <w:szCs w:val="8"/>
                <w:color w:val="auto"/>
              </w:rPr>
            </w:pPr>
          </w:p>
        </w:tc>
        <w:tc>
          <w:tcPr>
            <w:tcW w:w="7180" w:type="dxa"/>
            <w:vAlign w:val="bottom"/>
            <w:tcBorders>
              <w:right w:val="single" w:sz="8" w:color="auto"/>
            </w:tcBorders>
          </w:tcPr>
          <w:p>
            <w:pPr>
              <w:spacing w:after="0"/>
              <w:rPr>
                <w:sz w:val="8"/>
                <w:szCs w:val="8"/>
                <w:color w:val="auto"/>
              </w:rPr>
            </w:pPr>
          </w:p>
        </w:tc>
        <w:tc>
          <w:tcPr>
            <w:tcW w:w="1320" w:type="dxa"/>
            <w:vAlign w:val="bottom"/>
            <w:tcBorders>
              <w:right w:val="single" w:sz="8" w:color="auto"/>
            </w:tcBorders>
            <w:vMerge w:val="continue"/>
          </w:tcPr>
          <w:p>
            <w:pPr>
              <w:spacing w:after="0"/>
              <w:rPr>
                <w:sz w:val="8"/>
                <w:szCs w:val="8"/>
                <w:color w:val="auto"/>
              </w:rPr>
            </w:pPr>
          </w:p>
        </w:tc>
        <w:tc>
          <w:tcPr>
            <w:tcW w:w="2020" w:type="dxa"/>
            <w:vAlign w:val="bottom"/>
            <w:tcBorders>
              <w:right w:val="single" w:sz="8" w:color="auto"/>
            </w:tcBorders>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22"/>
        </w:trPr>
        <w:tc>
          <w:tcPr>
            <w:tcW w:w="720" w:type="dxa"/>
            <w:vAlign w:val="bottom"/>
            <w:tcBorders>
              <w:left w:val="single" w:sz="8" w:color="auto"/>
              <w:right w:val="single" w:sz="8" w:color="auto"/>
            </w:tcBorders>
            <w:vMerge w:val="continue"/>
          </w:tcPr>
          <w:p>
            <w:pPr>
              <w:spacing w:after="0"/>
              <w:rPr>
                <w:sz w:val="10"/>
                <w:szCs w:val="10"/>
                <w:color w:val="auto"/>
              </w:rPr>
            </w:pPr>
          </w:p>
        </w:tc>
        <w:tc>
          <w:tcPr>
            <w:tcW w:w="7180" w:type="dxa"/>
            <w:vAlign w:val="bottom"/>
            <w:tcBorders>
              <w:right w:val="single" w:sz="8" w:color="auto"/>
            </w:tcBorders>
            <w:vMerge w:val="restart"/>
          </w:tcPr>
          <w:p>
            <w:pPr>
              <w:ind w:left="40"/>
              <w:spacing w:after="0"/>
              <w:rPr>
                <w:sz w:val="20"/>
                <w:szCs w:val="20"/>
                <w:color w:val="auto"/>
              </w:rPr>
            </w:pPr>
            <w:r>
              <w:rPr>
                <w:rFonts w:ascii="Arial" w:cs="Arial" w:eastAsia="Arial" w:hAnsi="Arial"/>
                <w:sz w:val="18"/>
                <w:szCs w:val="18"/>
                <w:color w:val="auto"/>
              </w:rPr>
              <w:t>How do you build high-tech machines with $3.9 mln in manufacturing equipment at cost?</w:t>
            </w:r>
          </w:p>
        </w:tc>
        <w:tc>
          <w:tcPr>
            <w:tcW w:w="1320" w:type="dxa"/>
            <w:vAlign w:val="bottom"/>
            <w:tcBorders>
              <w:right w:val="single" w:sz="8" w:color="auto"/>
            </w:tcBorders>
            <w:vMerge w:val="continue"/>
          </w:tcPr>
          <w:p>
            <w:pPr>
              <w:spacing w:after="0"/>
              <w:rPr>
                <w:sz w:val="10"/>
                <w:szCs w:val="10"/>
                <w:color w:val="auto"/>
              </w:rPr>
            </w:pPr>
          </w:p>
        </w:tc>
        <w:tc>
          <w:tcPr>
            <w:tcW w:w="2020" w:type="dxa"/>
            <w:vAlign w:val="bottom"/>
            <w:tcBorders>
              <w:right w:val="single" w:sz="8" w:color="auto"/>
            </w:tcBorders>
            <w:vMerge w:val="restart"/>
          </w:tcPr>
          <w:p>
            <w:pPr>
              <w:ind w:left="60"/>
              <w:spacing w:after="0"/>
              <w:rPr>
                <w:sz w:val="20"/>
                <w:szCs w:val="20"/>
                <w:color w:val="auto"/>
              </w:rPr>
            </w:pPr>
            <w:r>
              <w:rPr>
                <w:rFonts w:ascii="Arial" w:cs="Arial" w:eastAsia="Arial" w:hAnsi="Arial"/>
                <w:sz w:val="18"/>
                <w:szCs w:val="18"/>
                <w:color w:val="auto"/>
              </w:rPr>
              <w:t>Fixed Assets</w:t>
            </w:r>
          </w:p>
        </w:tc>
        <w:tc>
          <w:tcPr>
            <w:tcW w:w="0" w:type="dxa"/>
            <w:vAlign w:val="bottom"/>
          </w:tcPr>
          <w:p>
            <w:pPr>
              <w:spacing w:after="0"/>
              <w:rPr>
                <w:sz w:val="1"/>
                <w:szCs w:val="1"/>
                <w:color w:val="auto"/>
              </w:rPr>
            </w:pPr>
          </w:p>
        </w:tc>
      </w:tr>
      <w:tr>
        <w:trPr>
          <w:trHeight w:val="108"/>
        </w:trPr>
        <w:tc>
          <w:tcPr>
            <w:tcW w:w="720" w:type="dxa"/>
            <w:vAlign w:val="bottom"/>
            <w:tcBorders>
              <w:left w:val="single" w:sz="8" w:color="auto"/>
              <w:right w:val="single" w:sz="8" w:color="auto"/>
            </w:tcBorders>
          </w:tcPr>
          <w:p>
            <w:pPr>
              <w:spacing w:after="0"/>
              <w:rPr>
                <w:sz w:val="9"/>
                <w:szCs w:val="9"/>
                <w:color w:val="auto"/>
              </w:rPr>
            </w:pPr>
          </w:p>
        </w:tc>
        <w:tc>
          <w:tcPr>
            <w:tcW w:w="7180" w:type="dxa"/>
            <w:vAlign w:val="bottom"/>
            <w:tcBorders>
              <w:right w:val="single" w:sz="8" w:color="auto"/>
            </w:tcBorders>
            <w:vMerge w:val="continue"/>
          </w:tcPr>
          <w:p>
            <w:pPr>
              <w:spacing w:after="0"/>
              <w:rPr>
                <w:sz w:val="9"/>
                <w:szCs w:val="9"/>
                <w:color w:val="auto"/>
              </w:rPr>
            </w:pPr>
          </w:p>
        </w:tc>
        <w:tc>
          <w:tcPr>
            <w:tcW w:w="1320" w:type="dxa"/>
            <w:vAlign w:val="bottom"/>
            <w:tcBorders>
              <w:right w:val="single" w:sz="8" w:color="auto"/>
            </w:tcBorders>
          </w:tcPr>
          <w:p>
            <w:pPr>
              <w:spacing w:after="0"/>
              <w:rPr>
                <w:sz w:val="9"/>
                <w:szCs w:val="9"/>
                <w:color w:val="auto"/>
              </w:rPr>
            </w:pPr>
          </w:p>
        </w:tc>
        <w:tc>
          <w:tcPr>
            <w:tcW w:w="2020" w:type="dxa"/>
            <w:vAlign w:val="bottom"/>
            <w:tcBorders>
              <w:right w:val="single" w:sz="8" w:color="auto"/>
            </w:tcBorders>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720" w:type="dxa"/>
            <w:vAlign w:val="bottom"/>
            <w:tcBorders>
              <w:left w:val="single" w:sz="8" w:color="auto"/>
              <w:right w:val="single" w:sz="8" w:color="auto"/>
            </w:tcBorders>
          </w:tcPr>
          <w:p>
            <w:pPr>
              <w:spacing w:after="0"/>
              <w:rPr>
                <w:sz w:val="9"/>
                <w:szCs w:val="9"/>
                <w:color w:val="auto"/>
              </w:rPr>
            </w:pPr>
          </w:p>
        </w:tc>
        <w:tc>
          <w:tcPr>
            <w:tcW w:w="7180" w:type="dxa"/>
            <w:vAlign w:val="bottom"/>
            <w:tcBorders>
              <w:right w:val="single" w:sz="8" w:color="auto"/>
            </w:tcBorders>
            <w:vMerge w:val="continue"/>
          </w:tcPr>
          <w:p>
            <w:pPr>
              <w:spacing w:after="0"/>
              <w:rPr>
                <w:sz w:val="9"/>
                <w:szCs w:val="9"/>
                <w:color w:val="auto"/>
              </w:rPr>
            </w:pPr>
          </w:p>
        </w:tc>
        <w:tc>
          <w:tcPr>
            <w:tcW w:w="1320" w:type="dxa"/>
            <w:vAlign w:val="bottom"/>
            <w:tcBorders>
              <w:right w:val="single" w:sz="8" w:color="auto"/>
            </w:tcBorders>
          </w:tcPr>
          <w:p>
            <w:pPr>
              <w:spacing w:after="0"/>
              <w:rPr>
                <w:sz w:val="9"/>
                <w:szCs w:val="9"/>
                <w:color w:val="auto"/>
              </w:rPr>
            </w:pPr>
          </w:p>
        </w:tc>
        <w:tc>
          <w:tcPr>
            <w:tcW w:w="2020" w:type="dxa"/>
            <w:vAlign w:val="bottom"/>
            <w:tcBorders>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418"/>
        </w:trPr>
        <w:tc>
          <w:tcPr>
            <w:tcW w:w="720" w:type="dxa"/>
            <w:vAlign w:val="bottom"/>
            <w:tcBorders>
              <w:left w:val="single" w:sz="8" w:color="auto"/>
              <w:right w:val="single" w:sz="8" w:color="auto"/>
            </w:tcBorders>
          </w:tcPr>
          <w:p>
            <w:pPr>
              <w:spacing w:after="0"/>
              <w:rPr>
                <w:sz w:val="24"/>
                <w:szCs w:val="24"/>
                <w:color w:val="auto"/>
              </w:rPr>
            </w:pPr>
          </w:p>
        </w:tc>
        <w:tc>
          <w:tcPr>
            <w:tcW w:w="718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w w:val="97"/>
              </w:rPr>
              <w:t>ACMR is building a new, 1 mln square foot production and R&amp;D base in the Lingang park in</w:t>
            </w:r>
          </w:p>
        </w:tc>
        <w:tc>
          <w:tcPr>
            <w:tcW w:w="1320" w:type="dxa"/>
            <w:vAlign w:val="bottom"/>
            <w:tcBorders>
              <w:right w:val="single" w:sz="8" w:color="auto"/>
            </w:tcBorders>
          </w:tcPr>
          <w:p>
            <w:pPr>
              <w:spacing w:after="0"/>
              <w:rPr>
                <w:sz w:val="24"/>
                <w:szCs w:val="24"/>
                <w:color w:val="auto"/>
              </w:rPr>
            </w:pPr>
          </w:p>
        </w:tc>
        <w:tc>
          <w:tcPr>
            <w:tcW w:w="20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720" w:type="dxa"/>
            <w:vAlign w:val="bottom"/>
            <w:tcBorders>
              <w:left w:val="single" w:sz="8" w:color="auto"/>
              <w:right w:val="single" w:sz="8" w:color="auto"/>
            </w:tcBorders>
          </w:tcPr>
          <w:p>
            <w:pPr>
              <w:spacing w:after="0"/>
              <w:rPr>
                <w:sz w:val="18"/>
                <w:szCs w:val="18"/>
                <w:color w:val="auto"/>
              </w:rPr>
            </w:pPr>
          </w:p>
        </w:tc>
        <w:tc>
          <w:tcPr>
            <w:tcW w:w="718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w w:val="97"/>
              </w:rPr>
              <w:t>Shanghai. Only 11% of the roughly $127 mln being invested is for “equipment and software</w:t>
            </w:r>
          </w:p>
        </w:tc>
        <w:tc>
          <w:tcPr>
            <w:tcW w:w="1320" w:type="dxa"/>
            <w:vAlign w:val="bottom"/>
            <w:tcBorders>
              <w:right w:val="single" w:sz="8" w:color="auto"/>
            </w:tcBorders>
          </w:tcPr>
          <w:p>
            <w:pPr>
              <w:spacing w:after="0"/>
              <w:rPr>
                <w:sz w:val="18"/>
                <w:szCs w:val="18"/>
                <w:color w:val="auto"/>
              </w:rPr>
            </w:pPr>
          </w:p>
        </w:tc>
        <w:tc>
          <w:tcPr>
            <w:tcW w:w="202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20" w:type="dxa"/>
            <w:vAlign w:val="bottom"/>
            <w:tcBorders>
              <w:left w:val="single" w:sz="8" w:color="auto"/>
              <w:right w:val="single" w:sz="8" w:color="auto"/>
            </w:tcBorders>
          </w:tcPr>
          <w:p>
            <w:pPr>
              <w:spacing w:after="0"/>
              <w:rPr>
                <w:sz w:val="18"/>
                <w:szCs w:val="18"/>
                <w:color w:val="auto"/>
              </w:rPr>
            </w:pPr>
          </w:p>
        </w:tc>
        <w:tc>
          <w:tcPr>
            <w:tcW w:w="718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w w:val="96"/>
              </w:rPr>
              <w:t>investment,” while a staggering 31%, or $40.9 mln, is for “raw materials for trial production.”7</w:t>
            </w:r>
          </w:p>
        </w:tc>
        <w:tc>
          <w:tcPr>
            <w:tcW w:w="1320" w:type="dxa"/>
            <w:vAlign w:val="bottom"/>
            <w:tcBorders>
              <w:right w:val="single" w:sz="8" w:color="auto"/>
            </w:tcBorders>
          </w:tcPr>
          <w:p>
            <w:pPr>
              <w:spacing w:after="0"/>
              <w:rPr>
                <w:sz w:val="18"/>
                <w:szCs w:val="18"/>
                <w:color w:val="auto"/>
              </w:rPr>
            </w:pPr>
          </w:p>
        </w:tc>
        <w:tc>
          <w:tcPr>
            <w:tcW w:w="202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20" w:type="dxa"/>
            <w:vAlign w:val="bottom"/>
            <w:tcBorders>
              <w:left w:val="single" w:sz="8" w:color="auto"/>
              <w:right w:val="single" w:sz="8" w:color="auto"/>
            </w:tcBorders>
          </w:tcPr>
          <w:p>
            <w:pPr>
              <w:spacing w:after="0"/>
              <w:rPr>
                <w:sz w:val="18"/>
                <w:szCs w:val="18"/>
                <w:color w:val="auto"/>
              </w:rPr>
            </w:pPr>
          </w:p>
        </w:tc>
        <w:tc>
          <w:tcPr>
            <w:tcW w:w="718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w w:val="95"/>
              </w:rPr>
              <w:t>We question why the company needs to capitalize such large amounts of otherwise inventory</w:t>
            </w:r>
          </w:p>
        </w:tc>
        <w:tc>
          <w:tcPr>
            <w:tcW w:w="1320" w:type="dxa"/>
            <w:vAlign w:val="bottom"/>
            <w:tcBorders>
              <w:right w:val="single" w:sz="8" w:color="auto"/>
            </w:tcBorders>
          </w:tcPr>
          <w:p>
            <w:pPr>
              <w:spacing w:after="0"/>
              <w:rPr>
                <w:sz w:val="18"/>
                <w:szCs w:val="18"/>
                <w:color w:val="auto"/>
              </w:rPr>
            </w:pPr>
          </w:p>
        </w:tc>
        <w:tc>
          <w:tcPr>
            <w:tcW w:w="202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20" w:type="dxa"/>
            <w:vAlign w:val="bottom"/>
            <w:tcBorders>
              <w:left w:val="single" w:sz="8" w:color="auto"/>
              <w:right w:val="single" w:sz="8" w:color="auto"/>
            </w:tcBorders>
          </w:tcPr>
          <w:p>
            <w:pPr>
              <w:spacing w:after="0"/>
              <w:rPr>
                <w:sz w:val="20"/>
                <w:szCs w:val="20"/>
                <w:color w:val="auto"/>
              </w:rPr>
            </w:pPr>
          </w:p>
        </w:tc>
        <w:tc>
          <w:tcPr>
            <w:tcW w:w="718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w w:val="96"/>
              </w:rPr>
              <w:t>costs for “trial” production when it already has an apparently established production process.</w:t>
            </w:r>
          </w:p>
        </w:tc>
        <w:tc>
          <w:tcPr>
            <w:tcW w:w="1320" w:type="dxa"/>
            <w:vAlign w:val="bottom"/>
            <w:tcBorders>
              <w:right w:val="single" w:sz="8" w:color="auto"/>
            </w:tcBorders>
          </w:tcPr>
          <w:p>
            <w:pPr>
              <w:spacing w:after="0"/>
              <w:rPr>
                <w:sz w:val="20"/>
                <w:szCs w:val="20"/>
                <w:color w:val="auto"/>
              </w:rPr>
            </w:pPr>
          </w:p>
        </w:tc>
        <w:tc>
          <w:tcPr>
            <w:tcW w:w="20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18"/>
        </w:trPr>
        <w:tc>
          <w:tcPr>
            <w:tcW w:w="720" w:type="dxa"/>
            <w:vAlign w:val="bottom"/>
            <w:tcBorders>
              <w:left w:val="single" w:sz="8" w:color="auto"/>
              <w:right w:val="single" w:sz="8" w:color="auto"/>
            </w:tcBorders>
          </w:tcPr>
          <w:p>
            <w:pPr>
              <w:spacing w:after="0"/>
              <w:rPr>
                <w:sz w:val="24"/>
                <w:szCs w:val="24"/>
                <w:color w:val="auto"/>
              </w:rPr>
            </w:pPr>
          </w:p>
        </w:tc>
        <w:tc>
          <w:tcPr>
            <w:tcW w:w="718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w w:val="94"/>
              </w:rPr>
              <w:t>ACMR is spending nearly 3x as much on “materials for trial production” in the new facility as on</w:t>
            </w:r>
          </w:p>
        </w:tc>
        <w:tc>
          <w:tcPr>
            <w:tcW w:w="1320" w:type="dxa"/>
            <w:vAlign w:val="bottom"/>
            <w:tcBorders>
              <w:right w:val="single" w:sz="8" w:color="auto"/>
            </w:tcBorders>
          </w:tcPr>
          <w:p>
            <w:pPr>
              <w:spacing w:after="0"/>
              <w:rPr>
                <w:sz w:val="24"/>
                <w:szCs w:val="24"/>
                <w:color w:val="auto"/>
              </w:rPr>
            </w:pPr>
          </w:p>
        </w:tc>
        <w:tc>
          <w:tcPr>
            <w:tcW w:w="20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720" w:type="dxa"/>
            <w:vAlign w:val="bottom"/>
            <w:tcBorders>
              <w:left w:val="single" w:sz="8" w:color="auto"/>
              <w:right w:val="single" w:sz="8" w:color="auto"/>
            </w:tcBorders>
          </w:tcPr>
          <w:p>
            <w:pPr>
              <w:spacing w:after="0"/>
              <w:rPr>
                <w:sz w:val="20"/>
                <w:szCs w:val="20"/>
                <w:color w:val="auto"/>
              </w:rPr>
            </w:pPr>
          </w:p>
        </w:tc>
        <w:tc>
          <w:tcPr>
            <w:tcW w:w="718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rPr>
              <w:t>manufacturing equipment and software.</w:t>
            </w:r>
          </w:p>
        </w:tc>
        <w:tc>
          <w:tcPr>
            <w:tcW w:w="1320" w:type="dxa"/>
            <w:vAlign w:val="bottom"/>
            <w:tcBorders>
              <w:right w:val="single" w:sz="8" w:color="auto"/>
            </w:tcBorders>
          </w:tcPr>
          <w:p>
            <w:pPr>
              <w:spacing w:after="0"/>
              <w:rPr>
                <w:sz w:val="20"/>
                <w:szCs w:val="20"/>
                <w:color w:val="auto"/>
              </w:rPr>
            </w:pPr>
          </w:p>
        </w:tc>
        <w:tc>
          <w:tcPr>
            <w:tcW w:w="20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77"/>
        </w:trPr>
        <w:tc>
          <w:tcPr>
            <w:tcW w:w="720" w:type="dxa"/>
            <w:vAlign w:val="bottom"/>
            <w:tcBorders>
              <w:left w:val="single" w:sz="8" w:color="auto"/>
              <w:bottom w:val="single" w:sz="8" w:color="auto"/>
              <w:right w:val="single" w:sz="8" w:color="auto"/>
            </w:tcBorders>
          </w:tcPr>
          <w:p>
            <w:pPr>
              <w:spacing w:after="0"/>
              <w:rPr>
                <w:sz w:val="24"/>
                <w:szCs w:val="24"/>
                <w:color w:val="auto"/>
              </w:rPr>
            </w:pPr>
          </w:p>
        </w:tc>
        <w:tc>
          <w:tcPr>
            <w:tcW w:w="7180" w:type="dxa"/>
            <w:vAlign w:val="bottom"/>
            <w:tcBorders>
              <w:bottom w:val="single" w:sz="8" w:color="auto"/>
              <w:right w:val="single" w:sz="8" w:color="auto"/>
            </w:tcBorders>
          </w:tcPr>
          <w:p>
            <w:pPr>
              <w:spacing w:after="0"/>
              <w:rPr>
                <w:sz w:val="24"/>
                <w:szCs w:val="24"/>
                <w:color w:val="auto"/>
              </w:rPr>
            </w:pPr>
          </w:p>
        </w:tc>
        <w:tc>
          <w:tcPr>
            <w:tcW w:w="1320" w:type="dxa"/>
            <w:vAlign w:val="bottom"/>
            <w:tcBorders>
              <w:bottom w:val="single" w:sz="8" w:color="auto"/>
              <w:right w:val="single" w:sz="8" w:color="auto"/>
            </w:tcBorders>
          </w:tcPr>
          <w:p>
            <w:pPr>
              <w:spacing w:after="0"/>
              <w:rPr>
                <w:sz w:val="24"/>
                <w:szCs w:val="24"/>
                <w:color w:val="auto"/>
              </w:rPr>
            </w:pPr>
          </w:p>
        </w:tc>
        <w:tc>
          <w:tcPr>
            <w:tcW w:w="202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56"/>
        </w:trPr>
        <w:tc>
          <w:tcPr>
            <w:tcW w:w="720" w:type="dxa"/>
            <w:vAlign w:val="bottom"/>
            <w:tcBorders>
              <w:left w:val="single" w:sz="8" w:color="auto"/>
              <w:right w:val="single" w:sz="8" w:color="auto"/>
            </w:tcBorders>
          </w:tcPr>
          <w:p>
            <w:pPr>
              <w:spacing w:after="0"/>
              <w:rPr>
                <w:sz w:val="22"/>
                <w:szCs w:val="22"/>
                <w:color w:val="auto"/>
              </w:rPr>
            </w:pPr>
          </w:p>
        </w:tc>
        <w:tc>
          <w:tcPr>
            <w:tcW w:w="718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w w:val="98"/>
              </w:rPr>
              <w:t>Wafer-cleaning technology is a mature and low-margin area, and ACMR has opted to be a</w:t>
            </w:r>
          </w:p>
        </w:tc>
        <w:tc>
          <w:tcPr>
            <w:tcW w:w="1320" w:type="dxa"/>
            <w:vAlign w:val="bottom"/>
            <w:tcBorders>
              <w:right w:val="single" w:sz="8" w:color="auto"/>
            </w:tcBorders>
          </w:tcPr>
          <w:p>
            <w:pPr>
              <w:spacing w:after="0"/>
              <w:rPr>
                <w:sz w:val="22"/>
                <w:szCs w:val="22"/>
                <w:color w:val="auto"/>
              </w:rPr>
            </w:pPr>
          </w:p>
        </w:tc>
        <w:tc>
          <w:tcPr>
            <w:tcW w:w="202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16"/>
        </w:trPr>
        <w:tc>
          <w:tcPr>
            <w:tcW w:w="720" w:type="dxa"/>
            <w:vAlign w:val="bottom"/>
            <w:tcBorders>
              <w:left w:val="single" w:sz="8" w:color="auto"/>
              <w:right w:val="single" w:sz="8" w:color="auto"/>
            </w:tcBorders>
          </w:tcPr>
          <w:p>
            <w:pPr>
              <w:spacing w:after="0"/>
              <w:rPr>
                <w:sz w:val="18"/>
                <w:szCs w:val="18"/>
                <w:color w:val="auto"/>
              </w:rPr>
            </w:pPr>
          </w:p>
        </w:tc>
        <w:tc>
          <w:tcPr>
            <w:tcW w:w="718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w w:val="92"/>
              </w:rPr>
              <w:t>provider of complete equipment sets rather than a technological innovator. Single-wafer cleaning</w:t>
            </w:r>
          </w:p>
        </w:tc>
        <w:tc>
          <w:tcPr>
            <w:tcW w:w="1320" w:type="dxa"/>
            <w:vAlign w:val="bottom"/>
            <w:tcBorders>
              <w:right w:val="single" w:sz="8" w:color="auto"/>
            </w:tcBorders>
          </w:tcPr>
          <w:p>
            <w:pPr>
              <w:spacing w:after="0"/>
              <w:rPr>
                <w:sz w:val="18"/>
                <w:szCs w:val="18"/>
                <w:color w:val="auto"/>
              </w:rPr>
            </w:pPr>
          </w:p>
        </w:tc>
        <w:tc>
          <w:tcPr>
            <w:tcW w:w="202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20" w:type="dxa"/>
            <w:vAlign w:val="bottom"/>
            <w:tcBorders>
              <w:left w:val="single" w:sz="8" w:color="auto"/>
              <w:right w:val="single" w:sz="8" w:color="auto"/>
            </w:tcBorders>
          </w:tcPr>
          <w:p>
            <w:pPr>
              <w:spacing w:after="0"/>
              <w:rPr>
                <w:sz w:val="18"/>
                <w:szCs w:val="18"/>
                <w:color w:val="auto"/>
              </w:rPr>
            </w:pPr>
          </w:p>
        </w:tc>
        <w:tc>
          <w:tcPr>
            <w:tcW w:w="718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w w:val="97"/>
              </w:rPr>
              <w:t>technology: “is actually the simplest part of the industry and the equipment is so simple,” an</w:t>
            </w:r>
          </w:p>
        </w:tc>
        <w:tc>
          <w:tcPr>
            <w:tcW w:w="1320" w:type="dxa"/>
            <w:vAlign w:val="bottom"/>
            <w:tcBorders>
              <w:right w:val="single" w:sz="8" w:color="auto"/>
            </w:tcBorders>
          </w:tcPr>
          <w:p>
            <w:pPr>
              <w:spacing w:after="0"/>
              <w:rPr>
                <w:sz w:val="18"/>
                <w:szCs w:val="18"/>
                <w:color w:val="auto"/>
              </w:rPr>
            </w:pPr>
          </w:p>
        </w:tc>
        <w:tc>
          <w:tcPr>
            <w:tcW w:w="2020" w:type="dxa"/>
            <w:vAlign w:val="bottom"/>
            <w:tcBorders>
              <w:right w:val="single" w:sz="8" w:color="auto"/>
            </w:tcBorders>
            <w:vMerge w:val="restart"/>
          </w:tcPr>
          <w:p>
            <w:pPr>
              <w:ind w:left="60"/>
              <w:spacing w:after="0"/>
              <w:rPr>
                <w:sz w:val="20"/>
                <w:szCs w:val="20"/>
                <w:color w:val="auto"/>
              </w:rPr>
            </w:pPr>
            <w:r>
              <w:rPr>
                <w:rFonts w:ascii="Arial" w:cs="Arial" w:eastAsia="Arial" w:hAnsi="Arial"/>
                <w:sz w:val="18"/>
                <w:szCs w:val="18"/>
                <w:color w:val="auto"/>
              </w:rPr>
              <w:t>Other Comments in the</w:t>
            </w:r>
          </w:p>
        </w:tc>
        <w:tc>
          <w:tcPr>
            <w:tcW w:w="0" w:type="dxa"/>
            <w:vAlign w:val="bottom"/>
          </w:tcPr>
          <w:p>
            <w:pPr>
              <w:spacing w:after="0"/>
              <w:rPr>
                <w:sz w:val="1"/>
                <w:szCs w:val="1"/>
                <w:color w:val="auto"/>
              </w:rPr>
            </w:pPr>
          </w:p>
        </w:tc>
      </w:tr>
      <w:tr>
        <w:trPr>
          <w:trHeight w:val="108"/>
        </w:trPr>
        <w:tc>
          <w:tcPr>
            <w:tcW w:w="720" w:type="dxa"/>
            <w:vAlign w:val="bottom"/>
            <w:tcBorders>
              <w:left w:val="single" w:sz="8" w:color="auto"/>
              <w:right w:val="single" w:sz="8" w:color="auto"/>
            </w:tcBorders>
            <w:vMerge w:val="restart"/>
          </w:tcPr>
          <w:p>
            <w:pPr>
              <w:jc w:val="right"/>
              <w:ind w:right="230"/>
              <w:spacing w:after="0"/>
              <w:rPr>
                <w:sz w:val="20"/>
                <w:szCs w:val="20"/>
                <w:color w:val="auto"/>
              </w:rPr>
            </w:pPr>
            <w:r>
              <w:rPr>
                <w:rFonts w:ascii="Arial" w:cs="Arial" w:eastAsia="Arial" w:hAnsi="Arial"/>
                <w:sz w:val="18"/>
                <w:szCs w:val="18"/>
                <w:color w:val="auto"/>
              </w:rPr>
              <w:t>6</w:t>
            </w:r>
          </w:p>
        </w:tc>
        <w:tc>
          <w:tcPr>
            <w:tcW w:w="7180" w:type="dxa"/>
            <w:vAlign w:val="bottom"/>
            <w:tcBorders>
              <w:right w:val="single" w:sz="8" w:color="auto"/>
            </w:tcBorders>
            <w:vMerge w:val="restart"/>
          </w:tcPr>
          <w:p>
            <w:pPr>
              <w:ind w:left="40"/>
              <w:spacing w:after="0"/>
              <w:rPr>
                <w:sz w:val="20"/>
                <w:szCs w:val="20"/>
                <w:color w:val="auto"/>
              </w:rPr>
            </w:pPr>
            <w:r>
              <w:rPr>
                <w:rFonts w:ascii="Arial" w:cs="Arial" w:eastAsia="Arial" w:hAnsi="Arial"/>
                <w:sz w:val="18"/>
                <w:szCs w:val="18"/>
                <w:color w:val="auto"/>
                <w:w w:val="93"/>
              </w:rPr>
              <w:t>industry expert told us in a phone call. “And so low tech that Applied, Lam, Tokyo Electron don’t</w:t>
            </w:r>
          </w:p>
        </w:tc>
        <w:tc>
          <w:tcPr>
            <w:tcW w:w="13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9"/>
              </w:rPr>
              <w:t>8</w:t>
            </w:r>
          </w:p>
        </w:tc>
        <w:tc>
          <w:tcPr>
            <w:tcW w:w="2020" w:type="dxa"/>
            <w:vAlign w:val="bottom"/>
            <w:tcBorders>
              <w:right w:val="single" w:sz="8" w:color="auto"/>
            </w:tcBorders>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720" w:type="dxa"/>
            <w:vAlign w:val="bottom"/>
            <w:tcBorders>
              <w:left w:val="single" w:sz="8" w:color="auto"/>
              <w:right w:val="single" w:sz="8" w:color="auto"/>
            </w:tcBorders>
            <w:vMerge w:val="continue"/>
          </w:tcPr>
          <w:p>
            <w:pPr>
              <w:spacing w:after="0"/>
              <w:rPr>
                <w:sz w:val="9"/>
                <w:szCs w:val="9"/>
                <w:color w:val="auto"/>
              </w:rPr>
            </w:pPr>
          </w:p>
        </w:tc>
        <w:tc>
          <w:tcPr>
            <w:tcW w:w="7180" w:type="dxa"/>
            <w:vAlign w:val="bottom"/>
            <w:tcBorders>
              <w:right w:val="single" w:sz="8" w:color="auto"/>
            </w:tcBorders>
            <w:vMerge w:val="continue"/>
          </w:tcPr>
          <w:p>
            <w:pPr>
              <w:spacing w:after="0"/>
              <w:rPr>
                <w:sz w:val="9"/>
                <w:szCs w:val="9"/>
                <w:color w:val="auto"/>
              </w:rPr>
            </w:pPr>
          </w:p>
        </w:tc>
        <w:tc>
          <w:tcPr>
            <w:tcW w:w="1320" w:type="dxa"/>
            <w:vAlign w:val="bottom"/>
            <w:tcBorders>
              <w:right w:val="single" w:sz="8" w:color="auto"/>
            </w:tcBorders>
            <w:vMerge w:val="continue"/>
          </w:tcPr>
          <w:p>
            <w:pPr>
              <w:spacing w:after="0"/>
              <w:rPr>
                <w:sz w:val="9"/>
                <w:szCs w:val="9"/>
                <w:color w:val="auto"/>
              </w:rPr>
            </w:pPr>
          </w:p>
        </w:tc>
        <w:tc>
          <w:tcPr>
            <w:tcW w:w="2020" w:type="dxa"/>
            <w:vAlign w:val="bottom"/>
            <w:tcBorders>
              <w:right w:val="single" w:sz="8" w:color="auto"/>
            </w:tcBorders>
            <w:vMerge w:val="restart"/>
          </w:tcPr>
          <w:p>
            <w:pPr>
              <w:ind w:left="60"/>
              <w:spacing w:after="0"/>
              <w:rPr>
                <w:sz w:val="20"/>
                <w:szCs w:val="20"/>
                <w:color w:val="auto"/>
              </w:rPr>
            </w:pPr>
            <w:r>
              <w:rPr>
                <w:rFonts w:ascii="Arial" w:cs="Arial" w:eastAsia="Arial" w:hAnsi="Arial"/>
                <w:sz w:val="18"/>
                <w:szCs w:val="18"/>
                <w:color w:val="auto"/>
              </w:rPr>
              <w:t>Short-sell Report</w:t>
            </w:r>
          </w:p>
        </w:tc>
        <w:tc>
          <w:tcPr>
            <w:tcW w:w="0" w:type="dxa"/>
            <w:vAlign w:val="bottom"/>
          </w:tcPr>
          <w:p>
            <w:pPr>
              <w:spacing w:after="0"/>
              <w:rPr>
                <w:sz w:val="1"/>
                <w:szCs w:val="1"/>
                <w:color w:val="auto"/>
              </w:rPr>
            </w:pPr>
          </w:p>
        </w:tc>
      </w:tr>
      <w:tr>
        <w:trPr>
          <w:trHeight w:val="122"/>
        </w:trPr>
        <w:tc>
          <w:tcPr>
            <w:tcW w:w="720" w:type="dxa"/>
            <w:vAlign w:val="bottom"/>
            <w:tcBorders>
              <w:left w:val="single" w:sz="8" w:color="auto"/>
              <w:right w:val="single" w:sz="8" w:color="auto"/>
            </w:tcBorders>
          </w:tcPr>
          <w:p>
            <w:pPr>
              <w:spacing w:after="0"/>
              <w:rPr>
                <w:sz w:val="10"/>
                <w:szCs w:val="10"/>
                <w:color w:val="auto"/>
              </w:rPr>
            </w:pPr>
          </w:p>
        </w:tc>
        <w:tc>
          <w:tcPr>
            <w:tcW w:w="7180" w:type="dxa"/>
            <w:vAlign w:val="bottom"/>
            <w:tcBorders>
              <w:right w:val="single" w:sz="8" w:color="auto"/>
            </w:tcBorders>
            <w:vMerge w:val="restart"/>
          </w:tcPr>
          <w:p>
            <w:pPr>
              <w:ind w:left="40"/>
              <w:spacing w:after="0"/>
              <w:rPr>
                <w:sz w:val="20"/>
                <w:szCs w:val="20"/>
                <w:color w:val="auto"/>
              </w:rPr>
            </w:pPr>
            <w:r>
              <w:rPr>
                <w:rFonts w:ascii="Arial" w:cs="Arial" w:eastAsia="Arial" w:hAnsi="Arial"/>
                <w:sz w:val="18"/>
                <w:szCs w:val="18"/>
                <w:color w:val="auto"/>
                <w:w w:val="96"/>
              </w:rPr>
              <w:t>bother with it because it’s low tech. The technology really hasn’t changed a hell of a lot in 40</w:t>
            </w:r>
          </w:p>
        </w:tc>
        <w:tc>
          <w:tcPr>
            <w:tcW w:w="1320" w:type="dxa"/>
            <w:vAlign w:val="bottom"/>
            <w:tcBorders>
              <w:right w:val="single" w:sz="8" w:color="auto"/>
            </w:tcBorders>
          </w:tcPr>
          <w:p>
            <w:pPr>
              <w:spacing w:after="0"/>
              <w:rPr>
                <w:sz w:val="10"/>
                <w:szCs w:val="10"/>
                <w:color w:val="auto"/>
              </w:rPr>
            </w:pPr>
          </w:p>
        </w:tc>
        <w:tc>
          <w:tcPr>
            <w:tcW w:w="2020" w:type="dxa"/>
            <w:vAlign w:val="bottom"/>
            <w:tcBorders>
              <w:right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4"/>
        </w:trPr>
        <w:tc>
          <w:tcPr>
            <w:tcW w:w="720" w:type="dxa"/>
            <w:vAlign w:val="bottom"/>
            <w:tcBorders>
              <w:left w:val="single" w:sz="8" w:color="auto"/>
              <w:right w:val="single" w:sz="8" w:color="auto"/>
            </w:tcBorders>
          </w:tcPr>
          <w:p>
            <w:pPr>
              <w:spacing w:after="0"/>
              <w:rPr>
                <w:sz w:val="8"/>
                <w:szCs w:val="8"/>
                <w:color w:val="auto"/>
              </w:rPr>
            </w:pPr>
          </w:p>
        </w:tc>
        <w:tc>
          <w:tcPr>
            <w:tcW w:w="7180" w:type="dxa"/>
            <w:vAlign w:val="bottom"/>
            <w:tcBorders>
              <w:right w:val="single" w:sz="8" w:color="auto"/>
            </w:tcBorders>
            <w:vMerge w:val="continue"/>
          </w:tcPr>
          <w:p>
            <w:pPr>
              <w:spacing w:after="0"/>
              <w:rPr>
                <w:sz w:val="8"/>
                <w:szCs w:val="8"/>
                <w:color w:val="auto"/>
              </w:rPr>
            </w:pPr>
          </w:p>
        </w:tc>
        <w:tc>
          <w:tcPr>
            <w:tcW w:w="1320" w:type="dxa"/>
            <w:vAlign w:val="bottom"/>
            <w:tcBorders>
              <w:right w:val="single" w:sz="8" w:color="auto"/>
            </w:tcBorders>
          </w:tcPr>
          <w:p>
            <w:pPr>
              <w:spacing w:after="0"/>
              <w:rPr>
                <w:sz w:val="8"/>
                <w:szCs w:val="8"/>
                <w:color w:val="auto"/>
              </w:rPr>
            </w:pPr>
          </w:p>
        </w:tc>
        <w:tc>
          <w:tcPr>
            <w:tcW w:w="2020" w:type="dxa"/>
            <w:vAlign w:val="bottom"/>
            <w:tcBorders>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230"/>
        </w:trPr>
        <w:tc>
          <w:tcPr>
            <w:tcW w:w="720" w:type="dxa"/>
            <w:vAlign w:val="bottom"/>
            <w:tcBorders>
              <w:left w:val="single" w:sz="8" w:color="auto"/>
              <w:right w:val="single" w:sz="8" w:color="auto"/>
            </w:tcBorders>
          </w:tcPr>
          <w:p>
            <w:pPr>
              <w:spacing w:after="0"/>
              <w:rPr>
                <w:sz w:val="20"/>
                <w:szCs w:val="20"/>
                <w:color w:val="auto"/>
              </w:rPr>
            </w:pPr>
          </w:p>
        </w:tc>
        <w:tc>
          <w:tcPr>
            <w:tcW w:w="718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rPr>
              <w:t>years.”</w:t>
            </w:r>
          </w:p>
        </w:tc>
        <w:tc>
          <w:tcPr>
            <w:tcW w:w="1320" w:type="dxa"/>
            <w:vAlign w:val="bottom"/>
            <w:tcBorders>
              <w:right w:val="single" w:sz="8" w:color="auto"/>
            </w:tcBorders>
          </w:tcPr>
          <w:p>
            <w:pPr>
              <w:spacing w:after="0"/>
              <w:rPr>
                <w:sz w:val="20"/>
                <w:szCs w:val="20"/>
                <w:color w:val="auto"/>
              </w:rPr>
            </w:pPr>
          </w:p>
        </w:tc>
        <w:tc>
          <w:tcPr>
            <w:tcW w:w="20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77"/>
        </w:trPr>
        <w:tc>
          <w:tcPr>
            <w:tcW w:w="720" w:type="dxa"/>
            <w:vAlign w:val="bottom"/>
            <w:tcBorders>
              <w:left w:val="single" w:sz="8" w:color="auto"/>
              <w:bottom w:val="single" w:sz="8" w:color="auto"/>
              <w:right w:val="single" w:sz="8" w:color="auto"/>
            </w:tcBorders>
          </w:tcPr>
          <w:p>
            <w:pPr>
              <w:spacing w:after="0"/>
              <w:rPr>
                <w:sz w:val="24"/>
                <w:szCs w:val="24"/>
                <w:color w:val="auto"/>
              </w:rPr>
            </w:pPr>
          </w:p>
        </w:tc>
        <w:tc>
          <w:tcPr>
            <w:tcW w:w="7180" w:type="dxa"/>
            <w:vAlign w:val="bottom"/>
            <w:tcBorders>
              <w:bottom w:val="single" w:sz="8" w:color="auto"/>
              <w:right w:val="single" w:sz="8" w:color="auto"/>
            </w:tcBorders>
          </w:tcPr>
          <w:p>
            <w:pPr>
              <w:spacing w:after="0"/>
              <w:rPr>
                <w:sz w:val="24"/>
                <w:szCs w:val="24"/>
                <w:color w:val="auto"/>
              </w:rPr>
            </w:pPr>
          </w:p>
        </w:tc>
        <w:tc>
          <w:tcPr>
            <w:tcW w:w="1320" w:type="dxa"/>
            <w:vAlign w:val="bottom"/>
            <w:tcBorders>
              <w:bottom w:val="single" w:sz="8" w:color="auto"/>
              <w:right w:val="single" w:sz="8" w:color="auto"/>
            </w:tcBorders>
          </w:tcPr>
          <w:p>
            <w:pPr>
              <w:spacing w:after="0"/>
              <w:rPr>
                <w:sz w:val="24"/>
                <w:szCs w:val="24"/>
                <w:color w:val="auto"/>
              </w:rPr>
            </w:pPr>
          </w:p>
        </w:tc>
        <w:tc>
          <w:tcPr>
            <w:tcW w:w="202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56"/>
        </w:trPr>
        <w:tc>
          <w:tcPr>
            <w:tcW w:w="720" w:type="dxa"/>
            <w:vAlign w:val="bottom"/>
            <w:tcBorders>
              <w:left w:val="single" w:sz="8" w:color="auto"/>
              <w:right w:val="single" w:sz="8" w:color="auto"/>
            </w:tcBorders>
          </w:tcPr>
          <w:p>
            <w:pPr>
              <w:spacing w:after="0"/>
              <w:rPr>
                <w:sz w:val="22"/>
                <w:szCs w:val="22"/>
                <w:color w:val="auto"/>
              </w:rPr>
            </w:pPr>
          </w:p>
        </w:tc>
        <w:tc>
          <w:tcPr>
            <w:tcW w:w="718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w w:val="95"/>
              </w:rPr>
              <w:t>We find this puzzling: why does ACMR require a guarantee from its CEO for some $25 mln in</w:t>
            </w:r>
          </w:p>
        </w:tc>
        <w:tc>
          <w:tcPr>
            <w:tcW w:w="1320" w:type="dxa"/>
            <w:vAlign w:val="bottom"/>
            <w:tcBorders>
              <w:right w:val="single" w:sz="8" w:color="auto"/>
            </w:tcBorders>
          </w:tcPr>
          <w:p>
            <w:pPr>
              <w:spacing w:after="0"/>
              <w:rPr>
                <w:sz w:val="22"/>
                <w:szCs w:val="22"/>
                <w:color w:val="auto"/>
              </w:rPr>
            </w:pPr>
          </w:p>
        </w:tc>
        <w:tc>
          <w:tcPr>
            <w:tcW w:w="202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16"/>
        </w:trPr>
        <w:tc>
          <w:tcPr>
            <w:tcW w:w="720" w:type="dxa"/>
            <w:vAlign w:val="bottom"/>
            <w:tcBorders>
              <w:left w:val="single" w:sz="8" w:color="auto"/>
              <w:right w:val="single" w:sz="8" w:color="auto"/>
            </w:tcBorders>
          </w:tcPr>
          <w:p>
            <w:pPr>
              <w:spacing w:after="0"/>
              <w:rPr>
                <w:sz w:val="18"/>
                <w:szCs w:val="18"/>
                <w:color w:val="auto"/>
              </w:rPr>
            </w:pPr>
          </w:p>
        </w:tc>
        <w:tc>
          <w:tcPr>
            <w:tcW w:w="718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w w:val="92"/>
              </w:rPr>
              <w:t>loans, when the company in Q2 had $86.4 mln in cash? If ACMR prefers not to use its cash, why</w:t>
            </w:r>
          </w:p>
        </w:tc>
        <w:tc>
          <w:tcPr>
            <w:tcW w:w="1320" w:type="dxa"/>
            <w:vAlign w:val="bottom"/>
            <w:tcBorders>
              <w:right w:val="single" w:sz="8" w:color="auto"/>
            </w:tcBorders>
          </w:tcPr>
          <w:p>
            <w:pPr>
              <w:spacing w:after="0"/>
              <w:rPr>
                <w:sz w:val="18"/>
                <w:szCs w:val="18"/>
                <w:color w:val="auto"/>
              </w:rPr>
            </w:pPr>
          </w:p>
        </w:tc>
        <w:tc>
          <w:tcPr>
            <w:tcW w:w="202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20" w:type="dxa"/>
            <w:vAlign w:val="bottom"/>
            <w:tcBorders>
              <w:left w:val="single" w:sz="8" w:color="auto"/>
              <w:right w:val="single" w:sz="8" w:color="auto"/>
            </w:tcBorders>
          </w:tcPr>
          <w:p>
            <w:pPr>
              <w:spacing w:after="0"/>
              <w:rPr>
                <w:sz w:val="18"/>
                <w:szCs w:val="18"/>
                <w:color w:val="auto"/>
              </w:rPr>
            </w:pPr>
          </w:p>
        </w:tc>
        <w:tc>
          <w:tcPr>
            <w:tcW w:w="718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w w:val="91"/>
              </w:rPr>
              <w:t>not collateralize offshore dollars for Renminbi? Moreover, these loans are clearly labelled as lines</w:t>
            </w:r>
          </w:p>
        </w:tc>
        <w:tc>
          <w:tcPr>
            <w:tcW w:w="1320" w:type="dxa"/>
            <w:vAlign w:val="bottom"/>
            <w:tcBorders>
              <w:right w:val="single" w:sz="8" w:color="auto"/>
            </w:tcBorders>
          </w:tcPr>
          <w:p>
            <w:pPr>
              <w:spacing w:after="0"/>
              <w:rPr>
                <w:sz w:val="18"/>
                <w:szCs w:val="18"/>
                <w:color w:val="auto"/>
              </w:rPr>
            </w:pPr>
          </w:p>
        </w:tc>
        <w:tc>
          <w:tcPr>
            <w:tcW w:w="202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20" w:type="dxa"/>
            <w:vAlign w:val="bottom"/>
            <w:tcBorders>
              <w:left w:val="single" w:sz="8" w:color="auto"/>
              <w:right w:val="single" w:sz="8" w:color="auto"/>
            </w:tcBorders>
          </w:tcPr>
          <w:p>
            <w:pPr>
              <w:spacing w:after="0"/>
              <w:rPr>
                <w:sz w:val="18"/>
                <w:szCs w:val="18"/>
                <w:color w:val="auto"/>
              </w:rPr>
            </w:pPr>
          </w:p>
        </w:tc>
        <w:tc>
          <w:tcPr>
            <w:tcW w:w="718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w w:val="94"/>
              </w:rPr>
              <w:t>of credit, not long-term loans for past capital expenditure, for example. With all that cash in the</w:t>
            </w:r>
          </w:p>
        </w:tc>
        <w:tc>
          <w:tcPr>
            <w:tcW w:w="1320" w:type="dxa"/>
            <w:vAlign w:val="bottom"/>
            <w:tcBorders>
              <w:right w:val="single" w:sz="8" w:color="auto"/>
            </w:tcBorders>
          </w:tcPr>
          <w:p>
            <w:pPr>
              <w:spacing w:after="0"/>
              <w:rPr>
                <w:sz w:val="18"/>
                <w:szCs w:val="18"/>
                <w:color w:val="auto"/>
              </w:rPr>
            </w:pPr>
          </w:p>
        </w:tc>
        <w:tc>
          <w:tcPr>
            <w:tcW w:w="202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20" w:type="dxa"/>
            <w:vAlign w:val="bottom"/>
            <w:tcBorders>
              <w:left w:val="single" w:sz="8" w:color="auto"/>
              <w:right w:val="single" w:sz="8" w:color="auto"/>
            </w:tcBorders>
          </w:tcPr>
          <w:p>
            <w:pPr>
              <w:spacing w:after="0"/>
              <w:rPr>
                <w:sz w:val="20"/>
                <w:szCs w:val="20"/>
                <w:color w:val="auto"/>
              </w:rPr>
            </w:pPr>
          </w:p>
        </w:tc>
        <w:tc>
          <w:tcPr>
            <w:tcW w:w="718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rPr>
              <w:t>bank, why does the company need “lines of credit”, 13 of them?</w:t>
            </w:r>
          </w:p>
        </w:tc>
        <w:tc>
          <w:tcPr>
            <w:tcW w:w="1320" w:type="dxa"/>
            <w:vAlign w:val="bottom"/>
            <w:tcBorders>
              <w:right w:val="single" w:sz="8" w:color="auto"/>
            </w:tcBorders>
          </w:tcPr>
          <w:p>
            <w:pPr>
              <w:spacing w:after="0"/>
              <w:rPr>
                <w:sz w:val="20"/>
                <w:szCs w:val="20"/>
                <w:color w:val="auto"/>
              </w:rPr>
            </w:pPr>
          </w:p>
        </w:tc>
        <w:tc>
          <w:tcPr>
            <w:tcW w:w="2020" w:type="dxa"/>
            <w:vAlign w:val="bottom"/>
            <w:tcBorders>
              <w:right w:val="single" w:sz="8" w:color="auto"/>
            </w:tcBorders>
            <w:vMerge w:val="restart"/>
          </w:tcPr>
          <w:p>
            <w:pPr>
              <w:ind w:left="60"/>
              <w:spacing w:after="0"/>
              <w:rPr>
                <w:sz w:val="20"/>
                <w:szCs w:val="20"/>
                <w:color w:val="auto"/>
              </w:rPr>
            </w:pPr>
            <w:r>
              <w:rPr>
                <w:rFonts w:ascii="Arial" w:cs="Arial" w:eastAsia="Arial" w:hAnsi="Arial"/>
                <w:sz w:val="18"/>
                <w:szCs w:val="18"/>
                <w:color w:val="auto"/>
                <w:w w:val="94"/>
              </w:rPr>
              <w:t>Other Challenge 2: About</w:t>
            </w:r>
          </w:p>
        </w:tc>
        <w:tc>
          <w:tcPr>
            <w:tcW w:w="0" w:type="dxa"/>
            <w:vAlign w:val="bottom"/>
          </w:tcPr>
          <w:p>
            <w:pPr>
              <w:spacing w:after="0"/>
              <w:rPr>
                <w:sz w:val="1"/>
                <w:szCs w:val="1"/>
                <w:color w:val="auto"/>
              </w:rPr>
            </w:pPr>
          </w:p>
        </w:tc>
      </w:tr>
      <w:tr>
        <w:trPr>
          <w:trHeight w:val="202"/>
        </w:trPr>
        <w:tc>
          <w:tcPr>
            <w:tcW w:w="720" w:type="dxa"/>
            <w:vAlign w:val="bottom"/>
            <w:tcBorders>
              <w:left w:val="single" w:sz="8" w:color="auto"/>
              <w:right w:val="single" w:sz="8" w:color="auto"/>
            </w:tcBorders>
          </w:tcPr>
          <w:p>
            <w:pPr>
              <w:spacing w:after="0"/>
              <w:rPr>
                <w:sz w:val="17"/>
                <w:szCs w:val="17"/>
                <w:color w:val="auto"/>
              </w:rPr>
            </w:pPr>
          </w:p>
        </w:tc>
        <w:tc>
          <w:tcPr>
            <w:tcW w:w="7180" w:type="dxa"/>
            <w:vAlign w:val="bottom"/>
            <w:tcBorders>
              <w:right w:val="single" w:sz="8" w:color="auto"/>
            </w:tcBorders>
          </w:tcPr>
          <w:p>
            <w:pPr>
              <w:spacing w:after="0"/>
              <w:rPr>
                <w:sz w:val="17"/>
                <w:szCs w:val="17"/>
                <w:color w:val="auto"/>
              </w:rPr>
            </w:pPr>
          </w:p>
        </w:tc>
        <w:tc>
          <w:tcPr>
            <w:tcW w:w="1320" w:type="dxa"/>
            <w:vAlign w:val="bottom"/>
            <w:tcBorders>
              <w:right w:val="single" w:sz="8" w:color="auto"/>
            </w:tcBorders>
          </w:tcPr>
          <w:p>
            <w:pPr>
              <w:spacing w:after="0"/>
              <w:rPr>
                <w:sz w:val="17"/>
                <w:szCs w:val="17"/>
                <w:color w:val="auto"/>
              </w:rPr>
            </w:pPr>
          </w:p>
        </w:tc>
        <w:tc>
          <w:tcPr>
            <w:tcW w:w="2020" w:type="dxa"/>
            <w:vAlign w:val="bottom"/>
            <w:tcBorders>
              <w:right w:val="single" w:sz="8" w:color="auto"/>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720" w:type="dxa"/>
            <w:vAlign w:val="bottom"/>
            <w:tcBorders>
              <w:left w:val="single" w:sz="8" w:color="auto"/>
              <w:right w:val="single" w:sz="8" w:color="auto"/>
            </w:tcBorders>
          </w:tcPr>
          <w:p>
            <w:pPr>
              <w:jc w:val="right"/>
              <w:ind w:right="230"/>
              <w:spacing w:after="0"/>
              <w:rPr>
                <w:sz w:val="20"/>
                <w:szCs w:val="20"/>
                <w:color w:val="auto"/>
              </w:rPr>
            </w:pPr>
            <w:r>
              <w:rPr>
                <w:rFonts w:ascii="Arial" w:cs="Arial" w:eastAsia="Arial" w:hAnsi="Arial"/>
                <w:sz w:val="18"/>
                <w:szCs w:val="18"/>
                <w:color w:val="auto"/>
              </w:rPr>
              <w:t>7</w:t>
            </w:r>
          </w:p>
        </w:tc>
        <w:tc>
          <w:tcPr>
            <w:tcW w:w="718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rPr>
              <w:t>Cash is missing in the STAR IPO company accounts vs the U.S. GAAP accounts.</w:t>
            </w:r>
          </w:p>
        </w:tc>
        <w:tc>
          <w:tcPr>
            <w:tcW w:w="13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8"/>
              </w:rPr>
              <w:t>8-11</w:t>
            </w:r>
          </w:p>
        </w:tc>
        <w:tc>
          <w:tcPr>
            <w:tcW w:w="202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Guarantee and Bank</w:t>
            </w:r>
          </w:p>
        </w:tc>
        <w:tc>
          <w:tcPr>
            <w:tcW w:w="0" w:type="dxa"/>
            <w:vAlign w:val="bottom"/>
          </w:tcPr>
          <w:p>
            <w:pPr>
              <w:spacing w:after="0"/>
              <w:rPr>
                <w:sz w:val="1"/>
                <w:szCs w:val="1"/>
                <w:color w:val="auto"/>
              </w:rPr>
            </w:pPr>
          </w:p>
        </w:tc>
      </w:tr>
      <w:tr>
        <w:trPr>
          <w:trHeight w:val="230"/>
        </w:trPr>
        <w:tc>
          <w:tcPr>
            <w:tcW w:w="720" w:type="dxa"/>
            <w:vAlign w:val="bottom"/>
            <w:tcBorders>
              <w:left w:val="single" w:sz="8" w:color="auto"/>
              <w:right w:val="single" w:sz="8" w:color="auto"/>
            </w:tcBorders>
          </w:tcPr>
          <w:p>
            <w:pPr>
              <w:spacing w:after="0"/>
              <w:rPr>
                <w:sz w:val="20"/>
                <w:szCs w:val="20"/>
                <w:color w:val="auto"/>
              </w:rPr>
            </w:pPr>
          </w:p>
        </w:tc>
        <w:tc>
          <w:tcPr>
            <w:tcW w:w="7180" w:type="dxa"/>
            <w:vAlign w:val="bottom"/>
            <w:tcBorders>
              <w:right w:val="single" w:sz="8" w:color="auto"/>
            </w:tcBorders>
            <w:vMerge w:val="restart"/>
          </w:tcPr>
          <w:p>
            <w:pPr>
              <w:ind w:left="40"/>
              <w:spacing w:after="0"/>
              <w:rPr>
                <w:sz w:val="20"/>
                <w:szCs w:val="20"/>
                <w:color w:val="auto"/>
              </w:rPr>
            </w:pPr>
            <w:r>
              <w:rPr>
                <w:rFonts w:ascii="Arial" w:cs="Arial" w:eastAsia="Arial" w:hAnsi="Arial"/>
                <w:sz w:val="18"/>
                <w:szCs w:val="18"/>
                <w:color w:val="auto"/>
                <w:w w:val="96"/>
              </w:rPr>
              <w:t>That gap may be explained by cash in the Caymans company that belongs to the U.S.-listed</w:t>
            </w:r>
          </w:p>
        </w:tc>
        <w:tc>
          <w:tcPr>
            <w:tcW w:w="1320" w:type="dxa"/>
            <w:vAlign w:val="bottom"/>
            <w:tcBorders>
              <w:right w:val="single" w:sz="8" w:color="auto"/>
            </w:tcBorders>
          </w:tcPr>
          <w:p>
            <w:pPr>
              <w:spacing w:after="0"/>
              <w:rPr>
                <w:sz w:val="20"/>
                <w:szCs w:val="20"/>
                <w:color w:val="auto"/>
              </w:rPr>
            </w:pPr>
          </w:p>
        </w:tc>
        <w:tc>
          <w:tcPr>
            <w:tcW w:w="202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Loan</w:t>
            </w:r>
          </w:p>
        </w:tc>
        <w:tc>
          <w:tcPr>
            <w:tcW w:w="0" w:type="dxa"/>
            <w:vAlign w:val="bottom"/>
          </w:tcPr>
          <w:p>
            <w:pPr>
              <w:spacing w:after="0"/>
              <w:rPr>
                <w:sz w:val="1"/>
                <w:szCs w:val="1"/>
                <w:color w:val="auto"/>
              </w:rPr>
            </w:pPr>
          </w:p>
        </w:tc>
      </w:tr>
      <w:tr>
        <w:trPr>
          <w:trHeight w:val="202"/>
        </w:trPr>
        <w:tc>
          <w:tcPr>
            <w:tcW w:w="720" w:type="dxa"/>
            <w:vAlign w:val="bottom"/>
            <w:tcBorders>
              <w:left w:val="single" w:sz="8" w:color="auto"/>
              <w:right w:val="single" w:sz="8" w:color="auto"/>
            </w:tcBorders>
          </w:tcPr>
          <w:p>
            <w:pPr>
              <w:spacing w:after="0"/>
              <w:rPr>
                <w:sz w:val="17"/>
                <w:szCs w:val="17"/>
                <w:color w:val="auto"/>
              </w:rPr>
            </w:pPr>
          </w:p>
        </w:tc>
        <w:tc>
          <w:tcPr>
            <w:tcW w:w="7180" w:type="dxa"/>
            <w:vAlign w:val="bottom"/>
            <w:tcBorders>
              <w:right w:val="single" w:sz="8" w:color="auto"/>
            </w:tcBorders>
            <w:vMerge w:val="continue"/>
          </w:tcPr>
          <w:p>
            <w:pPr>
              <w:spacing w:after="0"/>
              <w:rPr>
                <w:sz w:val="17"/>
                <w:szCs w:val="17"/>
                <w:color w:val="auto"/>
              </w:rPr>
            </w:pPr>
          </w:p>
        </w:tc>
        <w:tc>
          <w:tcPr>
            <w:tcW w:w="1320" w:type="dxa"/>
            <w:vAlign w:val="bottom"/>
            <w:tcBorders>
              <w:right w:val="single" w:sz="8" w:color="auto"/>
            </w:tcBorders>
          </w:tcPr>
          <w:p>
            <w:pPr>
              <w:spacing w:after="0"/>
              <w:rPr>
                <w:sz w:val="17"/>
                <w:szCs w:val="17"/>
                <w:color w:val="auto"/>
              </w:rPr>
            </w:pPr>
          </w:p>
        </w:tc>
        <w:tc>
          <w:tcPr>
            <w:tcW w:w="202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720" w:type="dxa"/>
            <w:vAlign w:val="bottom"/>
            <w:tcBorders>
              <w:left w:val="single" w:sz="8" w:color="auto"/>
              <w:right w:val="single" w:sz="8" w:color="auto"/>
            </w:tcBorders>
          </w:tcPr>
          <w:p>
            <w:pPr>
              <w:spacing w:after="0"/>
              <w:rPr>
                <w:sz w:val="18"/>
                <w:szCs w:val="18"/>
                <w:color w:val="auto"/>
              </w:rPr>
            </w:pPr>
          </w:p>
        </w:tc>
        <w:tc>
          <w:tcPr>
            <w:tcW w:w="718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w w:val="95"/>
              </w:rPr>
              <w:t>entity. But we question why the cash is there when the company is taking out large short-term</w:t>
            </w:r>
          </w:p>
        </w:tc>
        <w:tc>
          <w:tcPr>
            <w:tcW w:w="1320" w:type="dxa"/>
            <w:vAlign w:val="bottom"/>
            <w:tcBorders>
              <w:right w:val="single" w:sz="8" w:color="auto"/>
            </w:tcBorders>
          </w:tcPr>
          <w:p>
            <w:pPr>
              <w:spacing w:after="0"/>
              <w:rPr>
                <w:sz w:val="18"/>
                <w:szCs w:val="18"/>
                <w:color w:val="auto"/>
              </w:rPr>
            </w:pPr>
          </w:p>
        </w:tc>
        <w:tc>
          <w:tcPr>
            <w:tcW w:w="202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20" w:type="dxa"/>
            <w:vAlign w:val="bottom"/>
            <w:tcBorders>
              <w:left w:val="single" w:sz="8" w:color="auto"/>
              <w:right w:val="single" w:sz="8" w:color="auto"/>
            </w:tcBorders>
          </w:tcPr>
          <w:p>
            <w:pPr>
              <w:spacing w:after="0"/>
              <w:rPr>
                <w:sz w:val="18"/>
                <w:szCs w:val="18"/>
                <w:color w:val="auto"/>
              </w:rPr>
            </w:pPr>
          </w:p>
        </w:tc>
        <w:tc>
          <w:tcPr>
            <w:tcW w:w="718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rPr>
              <w:t>lines of credit on mainland China and whether the balance can be properly audited in the</w:t>
            </w:r>
          </w:p>
        </w:tc>
        <w:tc>
          <w:tcPr>
            <w:tcW w:w="1320" w:type="dxa"/>
            <w:vAlign w:val="bottom"/>
            <w:tcBorders>
              <w:right w:val="single" w:sz="8" w:color="auto"/>
            </w:tcBorders>
          </w:tcPr>
          <w:p>
            <w:pPr>
              <w:spacing w:after="0"/>
              <w:rPr>
                <w:sz w:val="18"/>
                <w:szCs w:val="18"/>
                <w:color w:val="auto"/>
              </w:rPr>
            </w:pPr>
          </w:p>
        </w:tc>
        <w:tc>
          <w:tcPr>
            <w:tcW w:w="202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20" w:type="dxa"/>
            <w:vAlign w:val="bottom"/>
            <w:tcBorders>
              <w:left w:val="single" w:sz="8" w:color="auto"/>
              <w:right w:val="single" w:sz="8" w:color="auto"/>
            </w:tcBorders>
          </w:tcPr>
          <w:p>
            <w:pPr>
              <w:spacing w:after="0"/>
              <w:rPr>
                <w:sz w:val="20"/>
                <w:szCs w:val="20"/>
                <w:color w:val="auto"/>
              </w:rPr>
            </w:pPr>
          </w:p>
        </w:tc>
        <w:tc>
          <w:tcPr>
            <w:tcW w:w="718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rPr>
              <w:t>Caymans.</w:t>
            </w:r>
          </w:p>
        </w:tc>
        <w:tc>
          <w:tcPr>
            <w:tcW w:w="1320" w:type="dxa"/>
            <w:vAlign w:val="bottom"/>
            <w:tcBorders>
              <w:right w:val="single" w:sz="8" w:color="auto"/>
            </w:tcBorders>
          </w:tcPr>
          <w:p>
            <w:pPr>
              <w:spacing w:after="0"/>
              <w:rPr>
                <w:sz w:val="20"/>
                <w:szCs w:val="20"/>
                <w:color w:val="auto"/>
              </w:rPr>
            </w:pPr>
          </w:p>
        </w:tc>
        <w:tc>
          <w:tcPr>
            <w:tcW w:w="20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77"/>
        </w:trPr>
        <w:tc>
          <w:tcPr>
            <w:tcW w:w="720" w:type="dxa"/>
            <w:vAlign w:val="bottom"/>
            <w:tcBorders>
              <w:left w:val="single" w:sz="8" w:color="auto"/>
              <w:bottom w:val="single" w:sz="8" w:color="auto"/>
              <w:right w:val="single" w:sz="8" w:color="auto"/>
            </w:tcBorders>
          </w:tcPr>
          <w:p>
            <w:pPr>
              <w:spacing w:after="0"/>
              <w:rPr>
                <w:sz w:val="24"/>
                <w:szCs w:val="24"/>
                <w:color w:val="auto"/>
              </w:rPr>
            </w:pPr>
          </w:p>
        </w:tc>
        <w:tc>
          <w:tcPr>
            <w:tcW w:w="7180" w:type="dxa"/>
            <w:vAlign w:val="bottom"/>
            <w:tcBorders>
              <w:bottom w:val="single" w:sz="8" w:color="auto"/>
              <w:right w:val="single" w:sz="8" w:color="auto"/>
            </w:tcBorders>
          </w:tcPr>
          <w:p>
            <w:pPr>
              <w:spacing w:after="0"/>
              <w:rPr>
                <w:sz w:val="24"/>
                <w:szCs w:val="24"/>
                <w:color w:val="auto"/>
              </w:rPr>
            </w:pPr>
          </w:p>
        </w:tc>
        <w:tc>
          <w:tcPr>
            <w:tcW w:w="1320" w:type="dxa"/>
            <w:vAlign w:val="bottom"/>
            <w:tcBorders>
              <w:bottom w:val="single" w:sz="8" w:color="auto"/>
              <w:right w:val="single" w:sz="8" w:color="auto"/>
            </w:tcBorders>
          </w:tcPr>
          <w:p>
            <w:pPr>
              <w:spacing w:after="0"/>
              <w:rPr>
                <w:sz w:val="24"/>
                <w:szCs w:val="24"/>
                <w:color w:val="auto"/>
              </w:rPr>
            </w:pPr>
          </w:p>
        </w:tc>
        <w:tc>
          <w:tcPr>
            <w:tcW w:w="202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582"/>
        </w:trPr>
        <w:tc>
          <w:tcPr>
            <w:tcW w:w="720" w:type="dxa"/>
            <w:vAlign w:val="bottom"/>
          </w:tcPr>
          <w:p>
            <w:pPr>
              <w:spacing w:after="0"/>
              <w:rPr>
                <w:sz w:val="24"/>
                <w:szCs w:val="24"/>
                <w:color w:val="auto"/>
              </w:rPr>
            </w:pPr>
          </w:p>
        </w:tc>
        <w:tc>
          <w:tcPr>
            <w:tcW w:w="7180" w:type="dxa"/>
            <w:vAlign w:val="bottom"/>
          </w:tcPr>
          <w:p>
            <w:pPr>
              <w:ind w:left="4680"/>
              <w:spacing w:after="0"/>
              <w:rPr>
                <w:sz w:val="20"/>
                <w:szCs w:val="20"/>
                <w:color w:val="auto"/>
              </w:rPr>
            </w:pPr>
            <w:r>
              <w:rPr>
                <w:rFonts w:ascii="Arial" w:cs="Arial" w:eastAsia="Arial" w:hAnsi="Arial"/>
                <w:sz w:val="14"/>
                <w:szCs w:val="14"/>
                <w:color w:val="auto"/>
              </w:rPr>
              <w:t>8-4-1-8</w:t>
            </w:r>
          </w:p>
        </w:tc>
        <w:tc>
          <w:tcPr>
            <w:tcW w:w="1320" w:type="dxa"/>
            <w:vAlign w:val="bottom"/>
          </w:tcPr>
          <w:p>
            <w:pPr>
              <w:spacing w:after="0"/>
              <w:rPr>
                <w:sz w:val="24"/>
                <w:szCs w:val="24"/>
                <w:color w:val="auto"/>
              </w:rPr>
            </w:pPr>
          </w:p>
        </w:tc>
        <w:tc>
          <w:tcPr>
            <w:tcW w:w="2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6"/>
        </w:trPr>
        <w:tc>
          <w:tcPr>
            <w:tcW w:w="720" w:type="dxa"/>
            <w:vAlign w:val="bottom"/>
            <w:tcBorders>
              <w:bottom w:val="single" w:sz="8" w:color="auto"/>
            </w:tcBorders>
          </w:tcPr>
          <w:p>
            <w:pPr>
              <w:spacing w:after="0"/>
              <w:rPr>
                <w:sz w:val="4"/>
                <w:szCs w:val="4"/>
                <w:color w:val="auto"/>
              </w:rPr>
            </w:pPr>
          </w:p>
        </w:tc>
        <w:tc>
          <w:tcPr>
            <w:tcW w:w="7180" w:type="dxa"/>
            <w:vAlign w:val="bottom"/>
            <w:tcBorders>
              <w:bottom w:val="single" w:sz="8" w:color="auto"/>
            </w:tcBorders>
          </w:tcPr>
          <w:p>
            <w:pPr>
              <w:spacing w:after="0"/>
              <w:rPr>
                <w:sz w:val="4"/>
                <w:szCs w:val="4"/>
                <w:color w:val="auto"/>
              </w:rPr>
            </w:pPr>
          </w:p>
        </w:tc>
        <w:tc>
          <w:tcPr>
            <w:tcW w:w="1320" w:type="dxa"/>
            <w:vAlign w:val="bottom"/>
            <w:tcBorders>
              <w:bottom w:val="single" w:sz="8" w:color="auto"/>
            </w:tcBorders>
          </w:tcPr>
          <w:p>
            <w:pPr>
              <w:spacing w:after="0"/>
              <w:rPr>
                <w:sz w:val="4"/>
                <w:szCs w:val="4"/>
                <w:color w:val="auto"/>
              </w:rPr>
            </w:pPr>
          </w:p>
        </w:tc>
        <w:tc>
          <w:tcPr>
            <w:tcW w:w="202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120" w:right="339" w:bottom="1440" w:gutter="0" w:footer="0" w:header="0"/>
        </w:sectPr>
      </w:pPr>
    </w:p>
    <w:bookmarkStart w:id="12" w:name="page13"/>
    <w:bookmarkEnd w:id="12"/>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297"/>
        </w:trPr>
        <w:tc>
          <w:tcPr>
            <w:tcW w:w="720" w:type="dxa"/>
            <w:vAlign w:val="bottom"/>
            <w:tcBorders>
              <w:top w:val="single" w:sz="8" w:color="auto"/>
              <w:left w:val="single" w:sz="8" w:color="auto"/>
              <w:right w:val="single" w:sz="8" w:color="auto"/>
            </w:tcBorders>
          </w:tcPr>
          <w:p>
            <w:pPr>
              <w:spacing w:after="0"/>
              <w:rPr>
                <w:sz w:val="24"/>
                <w:szCs w:val="24"/>
                <w:color w:val="auto"/>
              </w:rPr>
            </w:pPr>
          </w:p>
        </w:tc>
        <w:tc>
          <w:tcPr>
            <w:tcW w:w="7180" w:type="dxa"/>
            <w:vAlign w:val="bottom"/>
            <w:tcBorders>
              <w:top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We suspect that a chunk of cash may be missing from the STAR IPO group.</w:t>
            </w:r>
          </w:p>
        </w:tc>
        <w:tc>
          <w:tcPr>
            <w:tcW w:w="1320" w:type="dxa"/>
            <w:vAlign w:val="bottom"/>
            <w:tcBorders>
              <w:top w:val="single" w:sz="8" w:color="auto"/>
              <w:right w:val="single" w:sz="8" w:color="auto"/>
            </w:tcBorders>
          </w:tcPr>
          <w:p>
            <w:pPr>
              <w:spacing w:after="0"/>
              <w:rPr>
                <w:sz w:val="24"/>
                <w:szCs w:val="24"/>
                <w:color w:val="auto"/>
              </w:rPr>
            </w:pPr>
          </w:p>
        </w:tc>
        <w:tc>
          <w:tcPr>
            <w:tcW w:w="2020" w:type="dxa"/>
            <w:vAlign w:val="bottom"/>
            <w:tcBorders>
              <w:top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418"/>
        </w:trPr>
        <w:tc>
          <w:tcPr>
            <w:tcW w:w="720" w:type="dxa"/>
            <w:vAlign w:val="bottom"/>
            <w:tcBorders>
              <w:left w:val="single" w:sz="8" w:color="auto"/>
              <w:right w:val="single" w:sz="8" w:color="auto"/>
            </w:tcBorders>
          </w:tcPr>
          <w:p>
            <w:pPr>
              <w:spacing w:after="0"/>
              <w:rPr>
                <w:sz w:val="24"/>
                <w:szCs w:val="24"/>
                <w:color w:val="auto"/>
              </w:rPr>
            </w:pPr>
          </w:p>
        </w:tc>
        <w:tc>
          <w:tcPr>
            <w:tcW w:w="718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w w:val="97"/>
              </w:rPr>
              <w:t>We suspect that a chunk of cash may be missing from the STAR IPO group. The IPO group</w:t>
            </w:r>
          </w:p>
        </w:tc>
        <w:tc>
          <w:tcPr>
            <w:tcW w:w="1320" w:type="dxa"/>
            <w:vAlign w:val="bottom"/>
            <w:tcBorders>
              <w:right w:val="single" w:sz="8" w:color="auto"/>
            </w:tcBorders>
          </w:tcPr>
          <w:p>
            <w:pPr>
              <w:spacing w:after="0"/>
              <w:rPr>
                <w:sz w:val="24"/>
                <w:szCs w:val="24"/>
                <w:color w:val="auto"/>
              </w:rPr>
            </w:pPr>
          </w:p>
        </w:tc>
        <w:tc>
          <w:tcPr>
            <w:tcW w:w="20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720" w:type="dxa"/>
            <w:vAlign w:val="bottom"/>
            <w:tcBorders>
              <w:left w:val="single" w:sz="8" w:color="auto"/>
              <w:right w:val="single" w:sz="8" w:color="auto"/>
            </w:tcBorders>
          </w:tcPr>
          <w:p>
            <w:pPr>
              <w:spacing w:after="0"/>
              <w:rPr>
                <w:sz w:val="20"/>
                <w:szCs w:val="20"/>
                <w:color w:val="auto"/>
              </w:rPr>
            </w:pPr>
          </w:p>
        </w:tc>
        <w:tc>
          <w:tcPr>
            <w:tcW w:w="718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rPr>
              <w:t>includes in its account cash deposited overseas:</w:t>
            </w:r>
          </w:p>
        </w:tc>
        <w:tc>
          <w:tcPr>
            <w:tcW w:w="1320" w:type="dxa"/>
            <w:vAlign w:val="bottom"/>
            <w:tcBorders>
              <w:right w:val="single" w:sz="8" w:color="auto"/>
            </w:tcBorders>
          </w:tcPr>
          <w:p>
            <w:pPr>
              <w:spacing w:after="0"/>
              <w:rPr>
                <w:sz w:val="20"/>
                <w:szCs w:val="20"/>
                <w:color w:val="auto"/>
              </w:rPr>
            </w:pPr>
          </w:p>
        </w:tc>
        <w:tc>
          <w:tcPr>
            <w:tcW w:w="20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18"/>
        </w:trPr>
        <w:tc>
          <w:tcPr>
            <w:tcW w:w="720" w:type="dxa"/>
            <w:vAlign w:val="bottom"/>
            <w:tcBorders>
              <w:left w:val="single" w:sz="8" w:color="auto"/>
              <w:right w:val="single" w:sz="8" w:color="auto"/>
            </w:tcBorders>
          </w:tcPr>
          <w:p>
            <w:pPr>
              <w:spacing w:after="0"/>
              <w:rPr>
                <w:sz w:val="24"/>
                <w:szCs w:val="24"/>
                <w:color w:val="auto"/>
              </w:rPr>
            </w:pPr>
          </w:p>
        </w:tc>
        <w:tc>
          <w:tcPr>
            <w:tcW w:w="718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w w:val="93"/>
              </w:rPr>
              <w:t>The Shanghai company has most of the sales and COGS. The Hong Kong company exists as a</w:t>
            </w:r>
          </w:p>
        </w:tc>
        <w:tc>
          <w:tcPr>
            <w:tcW w:w="1320" w:type="dxa"/>
            <w:vAlign w:val="bottom"/>
            <w:tcBorders>
              <w:right w:val="single" w:sz="8" w:color="auto"/>
            </w:tcBorders>
          </w:tcPr>
          <w:p>
            <w:pPr>
              <w:spacing w:after="0"/>
              <w:rPr>
                <w:sz w:val="24"/>
                <w:szCs w:val="24"/>
                <w:color w:val="auto"/>
              </w:rPr>
            </w:pPr>
          </w:p>
        </w:tc>
        <w:tc>
          <w:tcPr>
            <w:tcW w:w="20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720" w:type="dxa"/>
            <w:vAlign w:val="bottom"/>
            <w:tcBorders>
              <w:left w:val="single" w:sz="8" w:color="auto"/>
              <w:right w:val="single" w:sz="8" w:color="auto"/>
            </w:tcBorders>
          </w:tcPr>
          <w:p>
            <w:pPr>
              <w:spacing w:after="0"/>
              <w:rPr>
                <w:sz w:val="18"/>
                <w:szCs w:val="18"/>
                <w:color w:val="auto"/>
              </w:rPr>
            </w:pPr>
          </w:p>
        </w:tc>
        <w:tc>
          <w:tcPr>
            <w:tcW w:w="718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w w:val="93"/>
              </w:rPr>
              <w:t>convenience for processing payments in U.S. dollars; its net income should be moved promptly</w:t>
            </w:r>
          </w:p>
        </w:tc>
        <w:tc>
          <w:tcPr>
            <w:tcW w:w="1320" w:type="dxa"/>
            <w:vAlign w:val="bottom"/>
            <w:tcBorders>
              <w:right w:val="single" w:sz="8" w:color="auto"/>
            </w:tcBorders>
          </w:tcPr>
          <w:p>
            <w:pPr>
              <w:spacing w:after="0"/>
              <w:rPr>
                <w:sz w:val="18"/>
                <w:szCs w:val="18"/>
                <w:color w:val="auto"/>
              </w:rPr>
            </w:pPr>
          </w:p>
        </w:tc>
        <w:tc>
          <w:tcPr>
            <w:tcW w:w="202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20" w:type="dxa"/>
            <w:vAlign w:val="bottom"/>
            <w:tcBorders>
              <w:left w:val="single" w:sz="8" w:color="auto"/>
              <w:right w:val="single" w:sz="8" w:color="auto"/>
            </w:tcBorders>
          </w:tcPr>
          <w:p>
            <w:pPr>
              <w:spacing w:after="0"/>
              <w:rPr>
                <w:sz w:val="18"/>
                <w:szCs w:val="18"/>
                <w:color w:val="auto"/>
              </w:rPr>
            </w:pPr>
          </w:p>
        </w:tc>
        <w:tc>
          <w:tcPr>
            <w:tcW w:w="718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w w:val="91"/>
              </w:rPr>
              <w:t>to the Shanghai accounts. But the Shanghai company shows negative operating cash flows, while</w:t>
            </w:r>
          </w:p>
        </w:tc>
        <w:tc>
          <w:tcPr>
            <w:tcW w:w="1320" w:type="dxa"/>
            <w:vAlign w:val="bottom"/>
            <w:tcBorders>
              <w:right w:val="single" w:sz="8" w:color="auto"/>
            </w:tcBorders>
          </w:tcPr>
          <w:p>
            <w:pPr>
              <w:spacing w:after="0"/>
              <w:rPr>
                <w:sz w:val="18"/>
                <w:szCs w:val="18"/>
                <w:color w:val="auto"/>
              </w:rPr>
            </w:pPr>
          </w:p>
        </w:tc>
        <w:tc>
          <w:tcPr>
            <w:tcW w:w="202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20" w:type="dxa"/>
            <w:vAlign w:val="bottom"/>
            <w:tcBorders>
              <w:left w:val="single" w:sz="8" w:color="auto"/>
              <w:right w:val="single" w:sz="8" w:color="auto"/>
            </w:tcBorders>
          </w:tcPr>
          <w:p>
            <w:pPr>
              <w:spacing w:after="0"/>
              <w:rPr>
                <w:sz w:val="18"/>
                <w:szCs w:val="18"/>
                <w:color w:val="auto"/>
              </w:rPr>
            </w:pPr>
          </w:p>
        </w:tc>
        <w:tc>
          <w:tcPr>
            <w:tcW w:w="718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w w:val="98"/>
              </w:rPr>
              <w:t>the consolidated STAR IPO group shows big positive operating cash flows. That difference</w:t>
            </w:r>
          </w:p>
        </w:tc>
        <w:tc>
          <w:tcPr>
            <w:tcW w:w="1320" w:type="dxa"/>
            <w:vAlign w:val="bottom"/>
            <w:tcBorders>
              <w:right w:val="single" w:sz="8" w:color="auto"/>
            </w:tcBorders>
          </w:tcPr>
          <w:p>
            <w:pPr>
              <w:spacing w:after="0"/>
              <w:rPr>
                <w:sz w:val="18"/>
                <w:szCs w:val="18"/>
                <w:color w:val="auto"/>
              </w:rPr>
            </w:pPr>
          </w:p>
        </w:tc>
        <w:tc>
          <w:tcPr>
            <w:tcW w:w="202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20" w:type="dxa"/>
            <w:vAlign w:val="bottom"/>
            <w:tcBorders>
              <w:left w:val="single" w:sz="8" w:color="auto"/>
              <w:right w:val="single" w:sz="8" w:color="auto"/>
            </w:tcBorders>
          </w:tcPr>
          <w:p>
            <w:pPr>
              <w:spacing w:after="0"/>
              <w:rPr>
                <w:sz w:val="18"/>
                <w:szCs w:val="18"/>
                <w:color w:val="auto"/>
              </w:rPr>
            </w:pPr>
          </w:p>
        </w:tc>
        <w:tc>
          <w:tcPr>
            <w:tcW w:w="718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w w:val="95"/>
              </w:rPr>
              <w:t>indicates that a lot of cash is circulating offshore with very little apparent COGS. If the cash is</w:t>
            </w:r>
          </w:p>
        </w:tc>
        <w:tc>
          <w:tcPr>
            <w:tcW w:w="1320" w:type="dxa"/>
            <w:vAlign w:val="bottom"/>
            <w:tcBorders>
              <w:right w:val="single" w:sz="8" w:color="auto"/>
            </w:tcBorders>
          </w:tcPr>
          <w:p>
            <w:pPr>
              <w:spacing w:after="0"/>
              <w:rPr>
                <w:sz w:val="18"/>
                <w:szCs w:val="18"/>
                <w:color w:val="auto"/>
              </w:rPr>
            </w:pPr>
          </w:p>
        </w:tc>
        <w:tc>
          <w:tcPr>
            <w:tcW w:w="202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20" w:type="dxa"/>
            <w:vAlign w:val="bottom"/>
            <w:tcBorders>
              <w:left w:val="single" w:sz="8" w:color="auto"/>
              <w:right w:val="single" w:sz="8" w:color="auto"/>
            </w:tcBorders>
          </w:tcPr>
          <w:p>
            <w:pPr>
              <w:spacing w:after="0"/>
              <w:rPr>
                <w:sz w:val="20"/>
                <w:szCs w:val="20"/>
                <w:color w:val="auto"/>
              </w:rPr>
            </w:pPr>
          </w:p>
        </w:tc>
        <w:tc>
          <w:tcPr>
            <w:tcW w:w="718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rPr>
              <w:t>really there at all.</w:t>
            </w:r>
          </w:p>
        </w:tc>
        <w:tc>
          <w:tcPr>
            <w:tcW w:w="1320" w:type="dxa"/>
            <w:vAlign w:val="bottom"/>
            <w:tcBorders>
              <w:right w:val="single" w:sz="8" w:color="auto"/>
            </w:tcBorders>
          </w:tcPr>
          <w:p>
            <w:pPr>
              <w:spacing w:after="0"/>
              <w:rPr>
                <w:sz w:val="20"/>
                <w:szCs w:val="20"/>
                <w:color w:val="auto"/>
              </w:rPr>
            </w:pPr>
          </w:p>
        </w:tc>
        <w:tc>
          <w:tcPr>
            <w:tcW w:w="20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77"/>
        </w:trPr>
        <w:tc>
          <w:tcPr>
            <w:tcW w:w="720" w:type="dxa"/>
            <w:vAlign w:val="bottom"/>
            <w:tcBorders>
              <w:left w:val="single" w:sz="8" w:color="auto"/>
              <w:bottom w:val="single" w:sz="8" w:color="auto"/>
              <w:right w:val="single" w:sz="8" w:color="auto"/>
            </w:tcBorders>
          </w:tcPr>
          <w:p>
            <w:pPr>
              <w:spacing w:after="0"/>
              <w:rPr>
                <w:sz w:val="24"/>
                <w:szCs w:val="24"/>
                <w:color w:val="auto"/>
              </w:rPr>
            </w:pPr>
          </w:p>
        </w:tc>
        <w:tc>
          <w:tcPr>
            <w:tcW w:w="7180" w:type="dxa"/>
            <w:vAlign w:val="bottom"/>
            <w:tcBorders>
              <w:bottom w:val="single" w:sz="8" w:color="auto"/>
              <w:right w:val="single" w:sz="8" w:color="auto"/>
            </w:tcBorders>
          </w:tcPr>
          <w:p>
            <w:pPr>
              <w:spacing w:after="0"/>
              <w:rPr>
                <w:sz w:val="24"/>
                <w:szCs w:val="24"/>
                <w:color w:val="auto"/>
              </w:rPr>
            </w:pPr>
          </w:p>
        </w:tc>
        <w:tc>
          <w:tcPr>
            <w:tcW w:w="1320" w:type="dxa"/>
            <w:vAlign w:val="bottom"/>
            <w:tcBorders>
              <w:bottom w:val="single" w:sz="8" w:color="auto"/>
              <w:right w:val="single" w:sz="8" w:color="auto"/>
            </w:tcBorders>
          </w:tcPr>
          <w:p>
            <w:pPr>
              <w:spacing w:after="0"/>
              <w:rPr>
                <w:sz w:val="24"/>
                <w:szCs w:val="24"/>
                <w:color w:val="auto"/>
              </w:rPr>
            </w:pPr>
          </w:p>
        </w:tc>
        <w:tc>
          <w:tcPr>
            <w:tcW w:w="202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720" w:type="dxa"/>
            <w:vAlign w:val="bottom"/>
            <w:tcBorders>
              <w:left w:val="single" w:sz="8" w:color="auto"/>
              <w:right w:val="single" w:sz="8" w:color="auto"/>
            </w:tcBorders>
          </w:tcPr>
          <w:p>
            <w:pPr>
              <w:spacing w:after="0"/>
              <w:rPr>
                <w:sz w:val="23"/>
                <w:szCs w:val="23"/>
                <w:color w:val="auto"/>
              </w:rPr>
            </w:pPr>
          </w:p>
        </w:tc>
        <w:tc>
          <w:tcPr>
            <w:tcW w:w="718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rPr>
              <w:t>Inventory</w:t>
            </w:r>
          </w:p>
        </w:tc>
        <w:tc>
          <w:tcPr>
            <w:tcW w:w="1320" w:type="dxa"/>
            <w:vAlign w:val="bottom"/>
            <w:tcBorders>
              <w:right w:val="single" w:sz="8" w:color="auto"/>
            </w:tcBorders>
          </w:tcPr>
          <w:p>
            <w:pPr>
              <w:spacing w:after="0"/>
              <w:rPr>
                <w:sz w:val="23"/>
                <w:szCs w:val="23"/>
                <w:color w:val="auto"/>
              </w:rPr>
            </w:pPr>
          </w:p>
        </w:tc>
        <w:tc>
          <w:tcPr>
            <w:tcW w:w="202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418"/>
        </w:trPr>
        <w:tc>
          <w:tcPr>
            <w:tcW w:w="720" w:type="dxa"/>
            <w:vAlign w:val="bottom"/>
            <w:tcBorders>
              <w:left w:val="single" w:sz="8" w:color="auto"/>
              <w:right w:val="single" w:sz="8" w:color="auto"/>
            </w:tcBorders>
          </w:tcPr>
          <w:p>
            <w:pPr>
              <w:spacing w:after="0"/>
              <w:rPr>
                <w:sz w:val="24"/>
                <w:szCs w:val="24"/>
                <w:color w:val="auto"/>
              </w:rPr>
            </w:pPr>
          </w:p>
        </w:tc>
        <w:tc>
          <w:tcPr>
            <w:tcW w:w="718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w w:val="95"/>
              </w:rPr>
              <w:t>There is a large mismatch between what clients have told us and what ACMR reports. ACMR</w:t>
            </w:r>
          </w:p>
        </w:tc>
        <w:tc>
          <w:tcPr>
            <w:tcW w:w="1320" w:type="dxa"/>
            <w:vAlign w:val="bottom"/>
            <w:tcBorders>
              <w:right w:val="single" w:sz="8" w:color="auto"/>
            </w:tcBorders>
          </w:tcPr>
          <w:p>
            <w:pPr>
              <w:spacing w:after="0"/>
              <w:rPr>
                <w:sz w:val="24"/>
                <w:szCs w:val="24"/>
                <w:color w:val="auto"/>
              </w:rPr>
            </w:pPr>
          </w:p>
        </w:tc>
        <w:tc>
          <w:tcPr>
            <w:tcW w:w="20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720" w:type="dxa"/>
            <w:vAlign w:val="bottom"/>
            <w:tcBorders>
              <w:left w:val="single" w:sz="8" w:color="auto"/>
              <w:right w:val="single" w:sz="8" w:color="auto"/>
            </w:tcBorders>
          </w:tcPr>
          <w:p>
            <w:pPr>
              <w:spacing w:after="0"/>
              <w:rPr>
                <w:sz w:val="18"/>
                <w:szCs w:val="18"/>
                <w:color w:val="auto"/>
              </w:rPr>
            </w:pPr>
          </w:p>
        </w:tc>
        <w:tc>
          <w:tcPr>
            <w:tcW w:w="718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w w:val="95"/>
              </w:rPr>
              <w:t>claims nearly $20 mln in inventory of delivered machines—meaning completed machines that</w:t>
            </w:r>
          </w:p>
        </w:tc>
        <w:tc>
          <w:tcPr>
            <w:tcW w:w="1320" w:type="dxa"/>
            <w:vAlign w:val="bottom"/>
            <w:tcBorders>
              <w:right w:val="single" w:sz="8" w:color="auto"/>
            </w:tcBorders>
          </w:tcPr>
          <w:p>
            <w:pPr>
              <w:spacing w:after="0"/>
              <w:rPr>
                <w:sz w:val="18"/>
                <w:szCs w:val="18"/>
                <w:color w:val="auto"/>
              </w:rPr>
            </w:pPr>
          </w:p>
        </w:tc>
        <w:tc>
          <w:tcPr>
            <w:tcW w:w="202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20" w:type="dxa"/>
            <w:vAlign w:val="bottom"/>
            <w:tcBorders>
              <w:left w:val="single" w:sz="8" w:color="auto"/>
              <w:right w:val="single" w:sz="8" w:color="auto"/>
            </w:tcBorders>
          </w:tcPr>
          <w:p>
            <w:pPr>
              <w:spacing w:after="0"/>
              <w:rPr>
                <w:sz w:val="18"/>
                <w:szCs w:val="18"/>
                <w:color w:val="auto"/>
              </w:rPr>
            </w:pPr>
          </w:p>
        </w:tc>
        <w:tc>
          <w:tcPr>
            <w:tcW w:w="718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w w:val="93"/>
              </w:rPr>
              <w:t>have not been paid for and are sitting on customer premises. This is an astonishing 45% of total</w:t>
            </w:r>
          </w:p>
        </w:tc>
        <w:tc>
          <w:tcPr>
            <w:tcW w:w="1320" w:type="dxa"/>
            <w:vAlign w:val="bottom"/>
            <w:tcBorders>
              <w:right w:val="single" w:sz="8" w:color="auto"/>
            </w:tcBorders>
          </w:tcPr>
          <w:p>
            <w:pPr>
              <w:spacing w:after="0"/>
              <w:rPr>
                <w:sz w:val="18"/>
                <w:szCs w:val="18"/>
                <w:color w:val="auto"/>
              </w:rPr>
            </w:pPr>
          </w:p>
        </w:tc>
        <w:tc>
          <w:tcPr>
            <w:tcW w:w="202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2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18"/>
                <w:szCs w:val="18"/>
                <w:color w:val="auto"/>
                <w:w w:val="79"/>
              </w:rPr>
              <w:t>8</w:t>
            </w:r>
          </w:p>
        </w:tc>
        <w:tc>
          <w:tcPr>
            <w:tcW w:w="718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rPr>
              <w:t>inventory.</w:t>
            </w:r>
          </w:p>
        </w:tc>
        <w:tc>
          <w:tcPr>
            <w:tcW w:w="13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89"/>
              </w:rPr>
              <w:t>12</w:t>
            </w:r>
          </w:p>
        </w:tc>
        <w:tc>
          <w:tcPr>
            <w:tcW w:w="202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w w:val="94"/>
              </w:rPr>
              <w:t>Other Challenge 3: About</w:t>
            </w:r>
          </w:p>
        </w:tc>
        <w:tc>
          <w:tcPr>
            <w:tcW w:w="0" w:type="dxa"/>
            <w:vAlign w:val="bottom"/>
          </w:tcPr>
          <w:p>
            <w:pPr>
              <w:spacing w:after="0"/>
              <w:rPr>
                <w:sz w:val="1"/>
                <w:szCs w:val="1"/>
                <w:color w:val="auto"/>
              </w:rPr>
            </w:pPr>
          </w:p>
        </w:tc>
      </w:tr>
      <w:tr>
        <w:trPr>
          <w:trHeight w:val="122"/>
        </w:trPr>
        <w:tc>
          <w:tcPr>
            <w:tcW w:w="720" w:type="dxa"/>
            <w:vAlign w:val="bottom"/>
            <w:tcBorders>
              <w:left w:val="single" w:sz="8" w:color="auto"/>
              <w:right w:val="single" w:sz="8" w:color="auto"/>
            </w:tcBorders>
            <w:vMerge w:val="continue"/>
          </w:tcPr>
          <w:p>
            <w:pPr>
              <w:spacing w:after="0"/>
              <w:rPr>
                <w:sz w:val="10"/>
                <w:szCs w:val="10"/>
                <w:color w:val="auto"/>
              </w:rPr>
            </w:pPr>
          </w:p>
        </w:tc>
        <w:tc>
          <w:tcPr>
            <w:tcW w:w="7180" w:type="dxa"/>
            <w:vAlign w:val="bottom"/>
            <w:tcBorders>
              <w:right w:val="single" w:sz="8" w:color="auto"/>
            </w:tcBorders>
          </w:tcPr>
          <w:p>
            <w:pPr>
              <w:spacing w:after="0"/>
              <w:rPr>
                <w:sz w:val="10"/>
                <w:szCs w:val="10"/>
                <w:color w:val="auto"/>
              </w:rPr>
            </w:pPr>
          </w:p>
        </w:tc>
        <w:tc>
          <w:tcPr>
            <w:tcW w:w="1320" w:type="dxa"/>
            <w:vAlign w:val="bottom"/>
            <w:tcBorders>
              <w:right w:val="single" w:sz="8" w:color="auto"/>
            </w:tcBorders>
            <w:vMerge w:val="continue"/>
          </w:tcPr>
          <w:p>
            <w:pPr>
              <w:spacing w:after="0"/>
              <w:rPr>
                <w:sz w:val="10"/>
                <w:szCs w:val="10"/>
                <w:color w:val="auto"/>
              </w:rPr>
            </w:pPr>
          </w:p>
        </w:tc>
        <w:tc>
          <w:tcPr>
            <w:tcW w:w="2020" w:type="dxa"/>
            <w:vAlign w:val="bottom"/>
            <w:tcBorders>
              <w:right w:val="single" w:sz="8" w:color="auto"/>
            </w:tcBorders>
            <w:vMerge w:val="restart"/>
          </w:tcPr>
          <w:p>
            <w:pPr>
              <w:ind w:left="60"/>
              <w:spacing w:after="0"/>
              <w:rPr>
                <w:sz w:val="20"/>
                <w:szCs w:val="20"/>
                <w:color w:val="auto"/>
              </w:rPr>
            </w:pPr>
            <w:r>
              <w:rPr>
                <w:rFonts w:ascii="Arial" w:cs="Arial" w:eastAsia="Arial" w:hAnsi="Arial"/>
                <w:sz w:val="18"/>
                <w:szCs w:val="18"/>
                <w:color w:val="auto"/>
              </w:rPr>
              <w:t>Inventory</w:t>
            </w:r>
          </w:p>
        </w:tc>
        <w:tc>
          <w:tcPr>
            <w:tcW w:w="0" w:type="dxa"/>
            <w:vAlign w:val="bottom"/>
          </w:tcPr>
          <w:p>
            <w:pPr>
              <w:spacing w:after="0"/>
              <w:rPr>
                <w:sz w:val="1"/>
                <w:szCs w:val="1"/>
                <w:color w:val="auto"/>
              </w:rPr>
            </w:pPr>
          </w:p>
        </w:tc>
      </w:tr>
      <w:tr>
        <w:trPr>
          <w:trHeight w:val="108"/>
        </w:trPr>
        <w:tc>
          <w:tcPr>
            <w:tcW w:w="720" w:type="dxa"/>
            <w:vAlign w:val="bottom"/>
            <w:tcBorders>
              <w:left w:val="single" w:sz="8" w:color="auto"/>
              <w:right w:val="single" w:sz="8" w:color="auto"/>
            </w:tcBorders>
          </w:tcPr>
          <w:p>
            <w:pPr>
              <w:spacing w:after="0"/>
              <w:rPr>
                <w:sz w:val="9"/>
                <w:szCs w:val="9"/>
                <w:color w:val="auto"/>
              </w:rPr>
            </w:pPr>
          </w:p>
        </w:tc>
        <w:tc>
          <w:tcPr>
            <w:tcW w:w="7180" w:type="dxa"/>
            <w:vAlign w:val="bottom"/>
            <w:tcBorders>
              <w:right w:val="single" w:sz="8" w:color="auto"/>
            </w:tcBorders>
            <w:vMerge w:val="restart"/>
          </w:tcPr>
          <w:p>
            <w:pPr>
              <w:ind w:left="40"/>
              <w:spacing w:after="0"/>
              <w:rPr>
                <w:sz w:val="20"/>
                <w:szCs w:val="20"/>
                <w:color w:val="auto"/>
              </w:rPr>
            </w:pPr>
            <w:r>
              <w:rPr>
                <w:rFonts w:ascii="Arial" w:cs="Arial" w:eastAsia="Arial" w:hAnsi="Arial"/>
                <w:sz w:val="18"/>
                <w:szCs w:val="18"/>
                <w:color w:val="auto"/>
                <w:w w:val="97"/>
              </w:rPr>
              <w:t>But most clients say they pay for 90% of their orders by the time of delivery and the balance</w:t>
            </w:r>
          </w:p>
        </w:tc>
        <w:tc>
          <w:tcPr>
            <w:tcW w:w="1320" w:type="dxa"/>
            <w:vAlign w:val="bottom"/>
            <w:tcBorders>
              <w:right w:val="single" w:sz="8" w:color="auto"/>
            </w:tcBorders>
          </w:tcPr>
          <w:p>
            <w:pPr>
              <w:spacing w:after="0"/>
              <w:rPr>
                <w:sz w:val="9"/>
                <w:szCs w:val="9"/>
                <w:color w:val="auto"/>
              </w:rPr>
            </w:pPr>
          </w:p>
        </w:tc>
        <w:tc>
          <w:tcPr>
            <w:tcW w:w="2020" w:type="dxa"/>
            <w:vAlign w:val="bottom"/>
            <w:tcBorders>
              <w:right w:val="single" w:sz="8" w:color="auto"/>
            </w:tcBorders>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2"/>
        </w:trPr>
        <w:tc>
          <w:tcPr>
            <w:tcW w:w="720" w:type="dxa"/>
            <w:vAlign w:val="bottom"/>
            <w:tcBorders>
              <w:left w:val="single" w:sz="8" w:color="auto"/>
              <w:right w:val="single" w:sz="8" w:color="auto"/>
            </w:tcBorders>
          </w:tcPr>
          <w:p>
            <w:pPr>
              <w:spacing w:after="0"/>
              <w:rPr>
                <w:sz w:val="17"/>
                <w:szCs w:val="17"/>
                <w:color w:val="auto"/>
              </w:rPr>
            </w:pPr>
          </w:p>
        </w:tc>
        <w:tc>
          <w:tcPr>
            <w:tcW w:w="7180" w:type="dxa"/>
            <w:vAlign w:val="bottom"/>
            <w:tcBorders>
              <w:right w:val="single" w:sz="8" w:color="auto"/>
            </w:tcBorders>
            <w:vMerge w:val="continue"/>
          </w:tcPr>
          <w:p>
            <w:pPr>
              <w:spacing w:after="0"/>
              <w:rPr>
                <w:sz w:val="17"/>
                <w:szCs w:val="17"/>
                <w:color w:val="auto"/>
              </w:rPr>
            </w:pPr>
          </w:p>
        </w:tc>
        <w:tc>
          <w:tcPr>
            <w:tcW w:w="1320" w:type="dxa"/>
            <w:vAlign w:val="bottom"/>
            <w:tcBorders>
              <w:right w:val="single" w:sz="8" w:color="auto"/>
            </w:tcBorders>
          </w:tcPr>
          <w:p>
            <w:pPr>
              <w:spacing w:after="0"/>
              <w:rPr>
                <w:sz w:val="17"/>
                <w:szCs w:val="17"/>
                <w:color w:val="auto"/>
              </w:rPr>
            </w:pPr>
          </w:p>
        </w:tc>
        <w:tc>
          <w:tcPr>
            <w:tcW w:w="202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720" w:type="dxa"/>
            <w:vAlign w:val="bottom"/>
            <w:tcBorders>
              <w:left w:val="single" w:sz="8" w:color="auto"/>
              <w:right w:val="single" w:sz="8" w:color="auto"/>
            </w:tcBorders>
          </w:tcPr>
          <w:p>
            <w:pPr>
              <w:spacing w:after="0"/>
              <w:rPr>
                <w:sz w:val="18"/>
                <w:szCs w:val="18"/>
                <w:color w:val="auto"/>
              </w:rPr>
            </w:pPr>
          </w:p>
        </w:tc>
        <w:tc>
          <w:tcPr>
            <w:tcW w:w="718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w w:val="91"/>
              </w:rPr>
              <w:t>within 30 days of receiving the machine. ACMR employees tell us they ship machines as soon as</w:t>
            </w:r>
          </w:p>
        </w:tc>
        <w:tc>
          <w:tcPr>
            <w:tcW w:w="1320" w:type="dxa"/>
            <w:vAlign w:val="bottom"/>
            <w:tcBorders>
              <w:right w:val="single" w:sz="8" w:color="auto"/>
            </w:tcBorders>
          </w:tcPr>
          <w:p>
            <w:pPr>
              <w:spacing w:after="0"/>
              <w:rPr>
                <w:sz w:val="18"/>
                <w:szCs w:val="18"/>
                <w:color w:val="auto"/>
              </w:rPr>
            </w:pPr>
          </w:p>
        </w:tc>
        <w:tc>
          <w:tcPr>
            <w:tcW w:w="202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20" w:type="dxa"/>
            <w:vAlign w:val="bottom"/>
            <w:tcBorders>
              <w:left w:val="single" w:sz="8" w:color="auto"/>
              <w:right w:val="single" w:sz="8" w:color="auto"/>
            </w:tcBorders>
          </w:tcPr>
          <w:p>
            <w:pPr>
              <w:spacing w:after="0"/>
              <w:rPr>
                <w:sz w:val="18"/>
                <w:szCs w:val="18"/>
                <w:color w:val="auto"/>
              </w:rPr>
            </w:pPr>
          </w:p>
        </w:tc>
        <w:tc>
          <w:tcPr>
            <w:tcW w:w="718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w w:val="96"/>
              </w:rPr>
              <w:t>they are assembled. There is no room for inventory of completed goods. We believe that the</w:t>
            </w:r>
          </w:p>
        </w:tc>
        <w:tc>
          <w:tcPr>
            <w:tcW w:w="1320" w:type="dxa"/>
            <w:vAlign w:val="bottom"/>
            <w:tcBorders>
              <w:right w:val="single" w:sz="8" w:color="auto"/>
            </w:tcBorders>
          </w:tcPr>
          <w:p>
            <w:pPr>
              <w:spacing w:after="0"/>
              <w:rPr>
                <w:sz w:val="18"/>
                <w:szCs w:val="18"/>
                <w:color w:val="auto"/>
              </w:rPr>
            </w:pPr>
          </w:p>
        </w:tc>
        <w:tc>
          <w:tcPr>
            <w:tcW w:w="202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20" w:type="dxa"/>
            <w:vAlign w:val="bottom"/>
            <w:tcBorders>
              <w:left w:val="single" w:sz="8" w:color="auto"/>
              <w:right w:val="single" w:sz="8" w:color="auto"/>
            </w:tcBorders>
          </w:tcPr>
          <w:p>
            <w:pPr>
              <w:spacing w:after="0"/>
              <w:rPr>
                <w:sz w:val="20"/>
                <w:szCs w:val="20"/>
                <w:color w:val="auto"/>
              </w:rPr>
            </w:pPr>
          </w:p>
        </w:tc>
        <w:tc>
          <w:tcPr>
            <w:tcW w:w="718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rPr>
              <w:t>$19.6 mln in finished-goods inventory reported by the company is an invention.</w:t>
            </w:r>
          </w:p>
        </w:tc>
        <w:tc>
          <w:tcPr>
            <w:tcW w:w="1320" w:type="dxa"/>
            <w:vAlign w:val="bottom"/>
            <w:tcBorders>
              <w:right w:val="single" w:sz="8" w:color="auto"/>
            </w:tcBorders>
          </w:tcPr>
          <w:p>
            <w:pPr>
              <w:spacing w:after="0"/>
              <w:rPr>
                <w:sz w:val="20"/>
                <w:szCs w:val="20"/>
                <w:color w:val="auto"/>
              </w:rPr>
            </w:pPr>
          </w:p>
        </w:tc>
        <w:tc>
          <w:tcPr>
            <w:tcW w:w="20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77"/>
        </w:trPr>
        <w:tc>
          <w:tcPr>
            <w:tcW w:w="720" w:type="dxa"/>
            <w:vAlign w:val="bottom"/>
            <w:tcBorders>
              <w:left w:val="single" w:sz="8" w:color="auto"/>
              <w:bottom w:val="single" w:sz="8" w:color="auto"/>
              <w:right w:val="single" w:sz="8" w:color="auto"/>
            </w:tcBorders>
          </w:tcPr>
          <w:p>
            <w:pPr>
              <w:spacing w:after="0"/>
              <w:rPr>
                <w:sz w:val="24"/>
                <w:szCs w:val="24"/>
                <w:color w:val="auto"/>
              </w:rPr>
            </w:pPr>
          </w:p>
        </w:tc>
        <w:tc>
          <w:tcPr>
            <w:tcW w:w="7180" w:type="dxa"/>
            <w:vAlign w:val="bottom"/>
            <w:tcBorders>
              <w:bottom w:val="single" w:sz="8" w:color="auto"/>
              <w:right w:val="single" w:sz="8" w:color="auto"/>
            </w:tcBorders>
          </w:tcPr>
          <w:p>
            <w:pPr>
              <w:spacing w:after="0"/>
              <w:rPr>
                <w:sz w:val="24"/>
                <w:szCs w:val="24"/>
                <w:color w:val="auto"/>
              </w:rPr>
            </w:pPr>
          </w:p>
        </w:tc>
        <w:tc>
          <w:tcPr>
            <w:tcW w:w="1320" w:type="dxa"/>
            <w:vAlign w:val="bottom"/>
            <w:tcBorders>
              <w:bottom w:val="single" w:sz="8" w:color="auto"/>
              <w:right w:val="single" w:sz="8" w:color="auto"/>
            </w:tcBorders>
          </w:tcPr>
          <w:p>
            <w:pPr>
              <w:spacing w:after="0"/>
              <w:rPr>
                <w:sz w:val="24"/>
                <w:szCs w:val="24"/>
                <w:color w:val="auto"/>
              </w:rPr>
            </w:pPr>
          </w:p>
        </w:tc>
        <w:tc>
          <w:tcPr>
            <w:tcW w:w="202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720" w:type="dxa"/>
            <w:vAlign w:val="bottom"/>
            <w:tcBorders>
              <w:left w:val="single" w:sz="8" w:color="auto"/>
              <w:right w:val="single" w:sz="8" w:color="auto"/>
            </w:tcBorders>
          </w:tcPr>
          <w:p>
            <w:pPr>
              <w:spacing w:after="0"/>
              <w:rPr>
                <w:sz w:val="23"/>
                <w:szCs w:val="23"/>
                <w:color w:val="auto"/>
              </w:rPr>
            </w:pPr>
          </w:p>
        </w:tc>
        <w:tc>
          <w:tcPr>
            <w:tcW w:w="718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rPr>
              <w:t>Warranty</w:t>
            </w:r>
          </w:p>
        </w:tc>
        <w:tc>
          <w:tcPr>
            <w:tcW w:w="1320" w:type="dxa"/>
            <w:vAlign w:val="bottom"/>
            <w:tcBorders>
              <w:right w:val="single" w:sz="8" w:color="auto"/>
            </w:tcBorders>
          </w:tcPr>
          <w:p>
            <w:pPr>
              <w:spacing w:after="0"/>
              <w:rPr>
                <w:sz w:val="23"/>
                <w:szCs w:val="23"/>
                <w:color w:val="auto"/>
              </w:rPr>
            </w:pPr>
          </w:p>
        </w:tc>
        <w:tc>
          <w:tcPr>
            <w:tcW w:w="202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310"/>
        </w:trPr>
        <w:tc>
          <w:tcPr>
            <w:tcW w:w="72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18"/>
                <w:szCs w:val="18"/>
                <w:color w:val="auto"/>
                <w:w w:val="79"/>
              </w:rPr>
              <w:t>9</w:t>
            </w:r>
          </w:p>
        </w:tc>
        <w:tc>
          <w:tcPr>
            <w:tcW w:w="7180" w:type="dxa"/>
            <w:vAlign w:val="bottom"/>
            <w:tcBorders>
              <w:right w:val="single" w:sz="8" w:color="auto"/>
            </w:tcBorders>
            <w:vMerge w:val="restart"/>
          </w:tcPr>
          <w:p>
            <w:pPr>
              <w:ind w:left="40"/>
              <w:spacing w:after="0"/>
              <w:rPr>
                <w:sz w:val="20"/>
                <w:szCs w:val="20"/>
                <w:color w:val="auto"/>
              </w:rPr>
            </w:pPr>
            <w:r>
              <w:rPr>
                <w:rFonts w:ascii="Arial" w:cs="Arial" w:eastAsia="Arial" w:hAnsi="Arial"/>
                <w:sz w:val="18"/>
                <w:szCs w:val="18"/>
                <w:color w:val="auto"/>
                <w:w w:val="93"/>
              </w:rPr>
              <w:t>We estimate the gap between cash outflow for parts and inflow under “other” income at roughly</w:t>
            </w:r>
          </w:p>
        </w:tc>
        <w:tc>
          <w:tcPr>
            <w:tcW w:w="13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89"/>
              </w:rPr>
              <w:t>13</w:t>
            </w:r>
          </w:p>
        </w:tc>
        <w:tc>
          <w:tcPr>
            <w:tcW w:w="202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Other Challenge 15:</w:t>
            </w:r>
          </w:p>
        </w:tc>
        <w:tc>
          <w:tcPr>
            <w:tcW w:w="0" w:type="dxa"/>
            <w:vAlign w:val="bottom"/>
          </w:tcPr>
          <w:p>
            <w:pPr>
              <w:spacing w:after="0"/>
              <w:rPr>
                <w:sz w:val="1"/>
                <w:szCs w:val="1"/>
                <w:color w:val="auto"/>
              </w:rPr>
            </w:pPr>
          </w:p>
        </w:tc>
      </w:tr>
      <w:tr>
        <w:trPr>
          <w:trHeight w:val="108"/>
        </w:trPr>
        <w:tc>
          <w:tcPr>
            <w:tcW w:w="720" w:type="dxa"/>
            <w:vAlign w:val="bottom"/>
            <w:tcBorders>
              <w:left w:val="single" w:sz="8" w:color="auto"/>
              <w:right w:val="single" w:sz="8" w:color="auto"/>
            </w:tcBorders>
            <w:vMerge w:val="continue"/>
          </w:tcPr>
          <w:p>
            <w:pPr>
              <w:spacing w:after="0"/>
              <w:rPr>
                <w:sz w:val="9"/>
                <w:szCs w:val="9"/>
                <w:color w:val="auto"/>
              </w:rPr>
            </w:pPr>
          </w:p>
        </w:tc>
        <w:tc>
          <w:tcPr>
            <w:tcW w:w="7180" w:type="dxa"/>
            <w:vAlign w:val="bottom"/>
            <w:tcBorders>
              <w:right w:val="single" w:sz="8" w:color="auto"/>
            </w:tcBorders>
            <w:vMerge w:val="continue"/>
          </w:tcPr>
          <w:p>
            <w:pPr>
              <w:spacing w:after="0"/>
              <w:rPr>
                <w:sz w:val="9"/>
                <w:szCs w:val="9"/>
                <w:color w:val="auto"/>
              </w:rPr>
            </w:pPr>
          </w:p>
        </w:tc>
        <w:tc>
          <w:tcPr>
            <w:tcW w:w="1320" w:type="dxa"/>
            <w:vAlign w:val="bottom"/>
            <w:tcBorders>
              <w:right w:val="single" w:sz="8" w:color="auto"/>
            </w:tcBorders>
            <w:vMerge w:val="continue"/>
          </w:tcPr>
          <w:p>
            <w:pPr>
              <w:spacing w:after="0"/>
              <w:rPr>
                <w:sz w:val="9"/>
                <w:szCs w:val="9"/>
                <w:color w:val="auto"/>
              </w:rPr>
            </w:pPr>
          </w:p>
        </w:tc>
        <w:tc>
          <w:tcPr>
            <w:tcW w:w="2020" w:type="dxa"/>
            <w:vAlign w:val="bottom"/>
            <w:tcBorders>
              <w:right w:val="single" w:sz="8" w:color="auto"/>
            </w:tcBorders>
            <w:vMerge w:val="restart"/>
          </w:tcPr>
          <w:p>
            <w:pPr>
              <w:ind w:left="60"/>
              <w:spacing w:after="0"/>
              <w:rPr>
                <w:sz w:val="20"/>
                <w:szCs w:val="20"/>
                <w:color w:val="auto"/>
              </w:rPr>
            </w:pPr>
            <w:r>
              <w:rPr>
                <w:rFonts w:ascii="Arial" w:cs="Arial" w:eastAsia="Arial" w:hAnsi="Arial"/>
                <w:sz w:val="18"/>
                <w:szCs w:val="18"/>
                <w:color w:val="auto"/>
              </w:rPr>
              <w:t>About Warranty Fee</w:t>
            </w:r>
          </w:p>
        </w:tc>
        <w:tc>
          <w:tcPr>
            <w:tcW w:w="0" w:type="dxa"/>
            <w:vAlign w:val="bottom"/>
          </w:tcPr>
          <w:p>
            <w:pPr>
              <w:spacing w:after="0"/>
              <w:rPr>
                <w:sz w:val="1"/>
                <w:szCs w:val="1"/>
                <w:color w:val="auto"/>
              </w:rPr>
            </w:pPr>
          </w:p>
        </w:tc>
      </w:tr>
      <w:tr>
        <w:trPr>
          <w:trHeight w:val="122"/>
        </w:trPr>
        <w:tc>
          <w:tcPr>
            <w:tcW w:w="720" w:type="dxa"/>
            <w:vAlign w:val="bottom"/>
            <w:tcBorders>
              <w:left w:val="single" w:sz="8" w:color="auto"/>
              <w:right w:val="single" w:sz="8" w:color="auto"/>
            </w:tcBorders>
          </w:tcPr>
          <w:p>
            <w:pPr>
              <w:spacing w:after="0"/>
              <w:rPr>
                <w:sz w:val="10"/>
                <w:szCs w:val="10"/>
                <w:color w:val="auto"/>
              </w:rPr>
            </w:pPr>
          </w:p>
        </w:tc>
        <w:tc>
          <w:tcPr>
            <w:tcW w:w="7180" w:type="dxa"/>
            <w:vAlign w:val="bottom"/>
            <w:tcBorders>
              <w:right w:val="single" w:sz="8" w:color="auto"/>
            </w:tcBorders>
            <w:vMerge w:val="restart"/>
          </w:tcPr>
          <w:p>
            <w:pPr>
              <w:ind w:left="40"/>
              <w:spacing w:after="0"/>
              <w:rPr>
                <w:sz w:val="20"/>
                <w:szCs w:val="20"/>
                <w:color w:val="auto"/>
              </w:rPr>
            </w:pPr>
            <w:r>
              <w:rPr>
                <w:rFonts w:ascii="Arial" w:cs="Arial" w:eastAsia="Arial" w:hAnsi="Arial"/>
                <w:sz w:val="18"/>
                <w:szCs w:val="18"/>
                <w:color w:val="auto"/>
              </w:rPr>
              <w:t>$11 mln. This may be under-reported warranty or out-of-warranty service repair expense.</w:t>
            </w:r>
          </w:p>
        </w:tc>
        <w:tc>
          <w:tcPr>
            <w:tcW w:w="1320" w:type="dxa"/>
            <w:vAlign w:val="bottom"/>
            <w:tcBorders>
              <w:right w:val="single" w:sz="8" w:color="auto"/>
            </w:tcBorders>
          </w:tcPr>
          <w:p>
            <w:pPr>
              <w:spacing w:after="0"/>
              <w:rPr>
                <w:sz w:val="10"/>
                <w:szCs w:val="10"/>
                <w:color w:val="auto"/>
              </w:rPr>
            </w:pPr>
          </w:p>
        </w:tc>
        <w:tc>
          <w:tcPr>
            <w:tcW w:w="2020" w:type="dxa"/>
            <w:vAlign w:val="bottom"/>
            <w:tcBorders>
              <w:right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720" w:type="dxa"/>
            <w:vAlign w:val="bottom"/>
            <w:tcBorders>
              <w:left w:val="single" w:sz="8" w:color="auto"/>
              <w:right w:val="single" w:sz="8" w:color="auto"/>
            </w:tcBorders>
          </w:tcPr>
          <w:p>
            <w:pPr>
              <w:spacing w:after="0"/>
              <w:rPr>
                <w:sz w:val="9"/>
                <w:szCs w:val="9"/>
                <w:color w:val="auto"/>
              </w:rPr>
            </w:pPr>
          </w:p>
        </w:tc>
        <w:tc>
          <w:tcPr>
            <w:tcW w:w="7180" w:type="dxa"/>
            <w:vAlign w:val="bottom"/>
            <w:tcBorders>
              <w:right w:val="single" w:sz="8" w:color="auto"/>
            </w:tcBorders>
            <w:vMerge w:val="continue"/>
          </w:tcPr>
          <w:p>
            <w:pPr>
              <w:spacing w:after="0"/>
              <w:rPr>
                <w:sz w:val="9"/>
                <w:szCs w:val="9"/>
                <w:color w:val="auto"/>
              </w:rPr>
            </w:pPr>
          </w:p>
        </w:tc>
        <w:tc>
          <w:tcPr>
            <w:tcW w:w="1320" w:type="dxa"/>
            <w:vAlign w:val="bottom"/>
            <w:tcBorders>
              <w:right w:val="single" w:sz="8" w:color="auto"/>
            </w:tcBorders>
          </w:tcPr>
          <w:p>
            <w:pPr>
              <w:spacing w:after="0"/>
              <w:rPr>
                <w:sz w:val="9"/>
                <w:szCs w:val="9"/>
                <w:color w:val="auto"/>
              </w:rPr>
            </w:pPr>
          </w:p>
        </w:tc>
        <w:tc>
          <w:tcPr>
            <w:tcW w:w="2020" w:type="dxa"/>
            <w:vAlign w:val="bottom"/>
            <w:tcBorders>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277"/>
        </w:trPr>
        <w:tc>
          <w:tcPr>
            <w:tcW w:w="720" w:type="dxa"/>
            <w:vAlign w:val="bottom"/>
            <w:tcBorders>
              <w:left w:val="single" w:sz="8" w:color="auto"/>
              <w:bottom w:val="single" w:sz="8" w:color="auto"/>
              <w:right w:val="single" w:sz="8" w:color="auto"/>
            </w:tcBorders>
          </w:tcPr>
          <w:p>
            <w:pPr>
              <w:spacing w:after="0"/>
              <w:rPr>
                <w:sz w:val="24"/>
                <w:szCs w:val="24"/>
                <w:color w:val="auto"/>
              </w:rPr>
            </w:pPr>
          </w:p>
        </w:tc>
        <w:tc>
          <w:tcPr>
            <w:tcW w:w="7180" w:type="dxa"/>
            <w:vAlign w:val="bottom"/>
            <w:tcBorders>
              <w:bottom w:val="single" w:sz="8" w:color="auto"/>
              <w:right w:val="single" w:sz="8" w:color="auto"/>
            </w:tcBorders>
          </w:tcPr>
          <w:p>
            <w:pPr>
              <w:spacing w:after="0"/>
              <w:rPr>
                <w:sz w:val="24"/>
                <w:szCs w:val="24"/>
                <w:color w:val="auto"/>
              </w:rPr>
            </w:pPr>
          </w:p>
        </w:tc>
        <w:tc>
          <w:tcPr>
            <w:tcW w:w="1320" w:type="dxa"/>
            <w:vAlign w:val="bottom"/>
            <w:tcBorders>
              <w:bottom w:val="single" w:sz="8" w:color="auto"/>
              <w:right w:val="single" w:sz="8" w:color="auto"/>
            </w:tcBorders>
          </w:tcPr>
          <w:p>
            <w:pPr>
              <w:spacing w:after="0"/>
              <w:rPr>
                <w:sz w:val="24"/>
                <w:szCs w:val="24"/>
                <w:color w:val="auto"/>
              </w:rPr>
            </w:pPr>
          </w:p>
        </w:tc>
        <w:tc>
          <w:tcPr>
            <w:tcW w:w="202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720" w:type="dxa"/>
            <w:vAlign w:val="bottom"/>
            <w:tcBorders>
              <w:left w:val="single" w:sz="8" w:color="auto"/>
              <w:right w:val="single" w:sz="8" w:color="auto"/>
            </w:tcBorders>
          </w:tcPr>
          <w:p>
            <w:pPr>
              <w:spacing w:after="0"/>
              <w:rPr>
                <w:sz w:val="23"/>
                <w:szCs w:val="23"/>
                <w:color w:val="auto"/>
              </w:rPr>
            </w:pPr>
          </w:p>
        </w:tc>
        <w:tc>
          <w:tcPr>
            <w:tcW w:w="718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rPr>
              <w:t>Unreported customer deposits</w:t>
            </w:r>
          </w:p>
        </w:tc>
        <w:tc>
          <w:tcPr>
            <w:tcW w:w="1320" w:type="dxa"/>
            <w:vAlign w:val="bottom"/>
            <w:tcBorders>
              <w:right w:val="single" w:sz="8" w:color="auto"/>
            </w:tcBorders>
          </w:tcPr>
          <w:p>
            <w:pPr>
              <w:spacing w:after="0"/>
              <w:rPr>
                <w:sz w:val="23"/>
                <w:szCs w:val="23"/>
                <w:color w:val="auto"/>
              </w:rPr>
            </w:pPr>
          </w:p>
        </w:tc>
        <w:tc>
          <w:tcPr>
            <w:tcW w:w="202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418"/>
        </w:trPr>
        <w:tc>
          <w:tcPr>
            <w:tcW w:w="720" w:type="dxa"/>
            <w:vAlign w:val="bottom"/>
            <w:tcBorders>
              <w:left w:val="single" w:sz="8" w:color="auto"/>
              <w:right w:val="single" w:sz="8" w:color="auto"/>
            </w:tcBorders>
          </w:tcPr>
          <w:p>
            <w:pPr>
              <w:spacing w:after="0"/>
              <w:rPr>
                <w:sz w:val="24"/>
                <w:szCs w:val="24"/>
                <w:color w:val="auto"/>
              </w:rPr>
            </w:pPr>
          </w:p>
        </w:tc>
        <w:tc>
          <w:tcPr>
            <w:tcW w:w="718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w w:val="96"/>
              </w:rPr>
              <w:t>We have found disparities between the company's disclosures and our interview evidence of</w:t>
            </w:r>
          </w:p>
        </w:tc>
        <w:tc>
          <w:tcPr>
            <w:tcW w:w="1320" w:type="dxa"/>
            <w:vAlign w:val="bottom"/>
            <w:tcBorders>
              <w:right w:val="single" w:sz="8" w:color="auto"/>
            </w:tcBorders>
          </w:tcPr>
          <w:p>
            <w:pPr>
              <w:spacing w:after="0"/>
              <w:rPr>
                <w:sz w:val="24"/>
                <w:szCs w:val="24"/>
                <w:color w:val="auto"/>
              </w:rPr>
            </w:pPr>
          </w:p>
        </w:tc>
        <w:tc>
          <w:tcPr>
            <w:tcW w:w="20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720" w:type="dxa"/>
            <w:vAlign w:val="bottom"/>
            <w:tcBorders>
              <w:left w:val="single" w:sz="8" w:color="auto"/>
              <w:right w:val="single" w:sz="8" w:color="auto"/>
            </w:tcBorders>
          </w:tcPr>
          <w:p>
            <w:pPr>
              <w:spacing w:after="0"/>
              <w:rPr>
                <w:sz w:val="18"/>
                <w:szCs w:val="18"/>
                <w:color w:val="auto"/>
              </w:rPr>
            </w:pPr>
          </w:p>
        </w:tc>
        <w:tc>
          <w:tcPr>
            <w:tcW w:w="718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w w:val="97"/>
              </w:rPr>
              <w:t>customer deposits. Only one customer, SK Hynix, reported the same terms as the company</w:t>
            </w:r>
          </w:p>
        </w:tc>
        <w:tc>
          <w:tcPr>
            <w:tcW w:w="1320" w:type="dxa"/>
            <w:vAlign w:val="bottom"/>
            <w:tcBorders>
              <w:right w:val="single" w:sz="8" w:color="auto"/>
            </w:tcBorders>
          </w:tcPr>
          <w:p>
            <w:pPr>
              <w:spacing w:after="0"/>
              <w:rPr>
                <w:sz w:val="18"/>
                <w:szCs w:val="18"/>
                <w:color w:val="auto"/>
              </w:rPr>
            </w:pPr>
          </w:p>
        </w:tc>
        <w:tc>
          <w:tcPr>
            <w:tcW w:w="202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20" w:type="dxa"/>
            <w:vAlign w:val="bottom"/>
            <w:tcBorders>
              <w:left w:val="single" w:sz="8" w:color="auto"/>
              <w:right w:val="single" w:sz="8" w:color="auto"/>
            </w:tcBorders>
          </w:tcPr>
          <w:p>
            <w:pPr>
              <w:spacing w:after="0"/>
              <w:rPr>
                <w:sz w:val="20"/>
                <w:szCs w:val="20"/>
                <w:color w:val="auto"/>
              </w:rPr>
            </w:pPr>
          </w:p>
        </w:tc>
        <w:tc>
          <w:tcPr>
            <w:tcW w:w="718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rPr>
              <w:t>reported. All small customers reported paying 30-40% on ordering.</w:t>
            </w:r>
          </w:p>
        </w:tc>
        <w:tc>
          <w:tcPr>
            <w:tcW w:w="1320" w:type="dxa"/>
            <w:vAlign w:val="bottom"/>
            <w:tcBorders>
              <w:right w:val="single" w:sz="8" w:color="auto"/>
            </w:tcBorders>
          </w:tcPr>
          <w:p>
            <w:pPr>
              <w:spacing w:after="0"/>
              <w:rPr>
                <w:sz w:val="20"/>
                <w:szCs w:val="20"/>
                <w:color w:val="auto"/>
              </w:rPr>
            </w:pPr>
          </w:p>
        </w:tc>
        <w:tc>
          <w:tcPr>
            <w:tcW w:w="20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18"/>
        </w:trPr>
        <w:tc>
          <w:tcPr>
            <w:tcW w:w="720" w:type="dxa"/>
            <w:vAlign w:val="bottom"/>
            <w:tcBorders>
              <w:left w:val="single" w:sz="8" w:color="auto"/>
              <w:right w:val="single" w:sz="8" w:color="auto"/>
            </w:tcBorders>
          </w:tcPr>
          <w:p>
            <w:pPr>
              <w:spacing w:after="0"/>
              <w:rPr>
                <w:sz w:val="24"/>
                <w:szCs w:val="24"/>
                <w:color w:val="auto"/>
              </w:rPr>
            </w:pPr>
          </w:p>
        </w:tc>
        <w:tc>
          <w:tcPr>
            <w:tcW w:w="718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w w:val="93"/>
              </w:rPr>
              <w:t>According to the company, some of these machines are “demo” models, also customized which</w:t>
            </w:r>
          </w:p>
        </w:tc>
        <w:tc>
          <w:tcPr>
            <w:tcW w:w="1320" w:type="dxa"/>
            <w:vAlign w:val="bottom"/>
            <w:tcBorders>
              <w:right w:val="single" w:sz="8" w:color="auto"/>
            </w:tcBorders>
          </w:tcPr>
          <w:p>
            <w:pPr>
              <w:spacing w:after="0"/>
              <w:rPr>
                <w:sz w:val="24"/>
                <w:szCs w:val="24"/>
                <w:color w:val="auto"/>
              </w:rPr>
            </w:pPr>
          </w:p>
        </w:tc>
        <w:tc>
          <w:tcPr>
            <w:tcW w:w="20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720" w:type="dxa"/>
            <w:vAlign w:val="bottom"/>
            <w:tcBorders>
              <w:left w:val="single" w:sz="8" w:color="auto"/>
              <w:right w:val="single" w:sz="8" w:color="auto"/>
            </w:tcBorders>
          </w:tcPr>
          <w:p>
            <w:pPr>
              <w:spacing w:after="0"/>
              <w:rPr>
                <w:sz w:val="18"/>
                <w:szCs w:val="18"/>
                <w:color w:val="auto"/>
              </w:rPr>
            </w:pPr>
          </w:p>
        </w:tc>
        <w:tc>
          <w:tcPr>
            <w:tcW w:w="718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w w:val="91"/>
              </w:rPr>
              <w:t>reduces the potential for resale. But every customer we spoke with except one reported the same</w:t>
            </w:r>
          </w:p>
        </w:tc>
        <w:tc>
          <w:tcPr>
            <w:tcW w:w="1320" w:type="dxa"/>
            <w:vAlign w:val="bottom"/>
            <w:tcBorders>
              <w:right w:val="single" w:sz="8" w:color="auto"/>
            </w:tcBorders>
          </w:tcPr>
          <w:p>
            <w:pPr>
              <w:spacing w:after="0"/>
              <w:rPr>
                <w:sz w:val="18"/>
                <w:szCs w:val="18"/>
                <w:color w:val="auto"/>
              </w:rPr>
            </w:pPr>
          </w:p>
        </w:tc>
        <w:tc>
          <w:tcPr>
            <w:tcW w:w="2020" w:type="dxa"/>
            <w:vAlign w:val="bottom"/>
            <w:tcBorders>
              <w:right w:val="single" w:sz="8" w:color="auto"/>
            </w:tcBorders>
            <w:vMerge w:val="restart"/>
          </w:tcPr>
          <w:p>
            <w:pPr>
              <w:ind w:left="60"/>
              <w:spacing w:after="0"/>
              <w:rPr>
                <w:sz w:val="20"/>
                <w:szCs w:val="20"/>
                <w:color w:val="auto"/>
              </w:rPr>
            </w:pPr>
            <w:r>
              <w:rPr>
                <w:rFonts w:ascii="Arial" w:cs="Arial" w:eastAsia="Arial" w:hAnsi="Arial"/>
                <w:sz w:val="18"/>
                <w:szCs w:val="18"/>
                <w:color w:val="auto"/>
                <w:w w:val="94"/>
              </w:rPr>
              <w:t>Other Challenge 4: About</w:t>
            </w:r>
          </w:p>
        </w:tc>
        <w:tc>
          <w:tcPr>
            <w:tcW w:w="0" w:type="dxa"/>
            <w:vAlign w:val="bottom"/>
          </w:tcPr>
          <w:p>
            <w:pPr>
              <w:spacing w:after="0"/>
              <w:rPr>
                <w:sz w:val="1"/>
                <w:szCs w:val="1"/>
                <w:color w:val="auto"/>
              </w:rPr>
            </w:pPr>
          </w:p>
        </w:tc>
      </w:tr>
      <w:tr>
        <w:trPr>
          <w:trHeight w:val="108"/>
        </w:trPr>
        <w:tc>
          <w:tcPr>
            <w:tcW w:w="72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18"/>
                <w:szCs w:val="18"/>
                <w:color w:val="auto"/>
                <w:w w:val="89"/>
              </w:rPr>
              <w:t>10</w:t>
            </w:r>
          </w:p>
        </w:tc>
        <w:tc>
          <w:tcPr>
            <w:tcW w:w="7180" w:type="dxa"/>
            <w:vAlign w:val="bottom"/>
            <w:tcBorders>
              <w:right w:val="single" w:sz="8" w:color="auto"/>
            </w:tcBorders>
            <w:vMerge w:val="restart"/>
          </w:tcPr>
          <w:p>
            <w:pPr>
              <w:ind w:left="40"/>
              <w:spacing w:after="0"/>
              <w:rPr>
                <w:sz w:val="20"/>
                <w:szCs w:val="20"/>
                <w:color w:val="auto"/>
              </w:rPr>
            </w:pPr>
            <w:r>
              <w:rPr>
                <w:rFonts w:ascii="Arial" w:cs="Arial" w:eastAsia="Arial" w:hAnsi="Arial"/>
                <w:sz w:val="18"/>
                <w:szCs w:val="18"/>
                <w:color w:val="auto"/>
                <w:w w:val="95"/>
              </w:rPr>
              <w:t>payment terms: 30% downpayment on placing the order, 60% when the order is shipped, and</w:t>
            </w:r>
          </w:p>
        </w:tc>
        <w:tc>
          <w:tcPr>
            <w:tcW w:w="13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1"/>
              </w:rPr>
              <w:t>13-15</w:t>
            </w:r>
          </w:p>
        </w:tc>
        <w:tc>
          <w:tcPr>
            <w:tcW w:w="2020" w:type="dxa"/>
            <w:vAlign w:val="bottom"/>
            <w:tcBorders>
              <w:right w:val="single" w:sz="8" w:color="auto"/>
            </w:tcBorders>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720" w:type="dxa"/>
            <w:vAlign w:val="bottom"/>
            <w:tcBorders>
              <w:left w:val="single" w:sz="8" w:color="auto"/>
              <w:right w:val="single" w:sz="8" w:color="auto"/>
            </w:tcBorders>
            <w:vMerge w:val="continue"/>
          </w:tcPr>
          <w:p>
            <w:pPr>
              <w:spacing w:after="0"/>
              <w:rPr>
                <w:sz w:val="9"/>
                <w:szCs w:val="9"/>
                <w:color w:val="auto"/>
              </w:rPr>
            </w:pPr>
          </w:p>
        </w:tc>
        <w:tc>
          <w:tcPr>
            <w:tcW w:w="7180" w:type="dxa"/>
            <w:vAlign w:val="bottom"/>
            <w:tcBorders>
              <w:right w:val="single" w:sz="8" w:color="auto"/>
            </w:tcBorders>
            <w:vMerge w:val="continue"/>
          </w:tcPr>
          <w:p>
            <w:pPr>
              <w:spacing w:after="0"/>
              <w:rPr>
                <w:sz w:val="9"/>
                <w:szCs w:val="9"/>
                <w:color w:val="auto"/>
              </w:rPr>
            </w:pPr>
          </w:p>
        </w:tc>
        <w:tc>
          <w:tcPr>
            <w:tcW w:w="1320" w:type="dxa"/>
            <w:vAlign w:val="bottom"/>
            <w:tcBorders>
              <w:right w:val="single" w:sz="8" w:color="auto"/>
            </w:tcBorders>
            <w:vMerge w:val="continue"/>
          </w:tcPr>
          <w:p>
            <w:pPr>
              <w:spacing w:after="0"/>
              <w:rPr>
                <w:sz w:val="9"/>
                <w:szCs w:val="9"/>
                <w:color w:val="auto"/>
              </w:rPr>
            </w:pPr>
          </w:p>
        </w:tc>
        <w:tc>
          <w:tcPr>
            <w:tcW w:w="2020" w:type="dxa"/>
            <w:vAlign w:val="bottom"/>
            <w:tcBorders>
              <w:right w:val="single" w:sz="8" w:color="auto"/>
            </w:tcBorders>
            <w:vMerge w:val="restart"/>
          </w:tcPr>
          <w:p>
            <w:pPr>
              <w:ind w:left="60"/>
              <w:spacing w:after="0"/>
              <w:rPr>
                <w:sz w:val="20"/>
                <w:szCs w:val="20"/>
                <w:color w:val="auto"/>
              </w:rPr>
            </w:pPr>
            <w:r>
              <w:rPr>
                <w:rFonts w:ascii="Arial" w:cs="Arial" w:eastAsia="Arial" w:hAnsi="Arial"/>
                <w:sz w:val="18"/>
                <w:szCs w:val="18"/>
                <w:color w:val="auto"/>
              </w:rPr>
              <w:t>Deposits Received</w:t>
            </w:r>
          </w:p>
        </w:tc>
        <w:tc>
          <w:tcPr>
            <w:tcW w:w="0" w:type="dxa"/>
            <w:vAlign w:val="bottom"/>
          </w:tcPr>
          <w:p>
            <w:pPr>
              <w:spacing w:after="0"/>
              <w:rPr>
                <w:sz w:val="1"/>
                <w:szCs w:val="1"/>
                <w:color w:val="auto"/>
              </w:rPr>
            </w:pPr>
          </w:p>
        </w:tc>
      </w:tr>
      <w:tr>
        <w:trPr>
          <w:trHeight w:val="122"/>
        </w:trPr>
        <w:tc>
          <w:tcPr>
            <w:tcW w:w="720" w:type="dxa"/>
            <w:vAlign w:val="bottom"/>
            <w:tcBorders>
              <w:left w:val="single" w:sz="8" w:color="auto"/>
              <w:right w:val="single" w:sz="8" w:color="auto"/>
            </w:tcBorders>
          </w:tcPr>
          <w:p>
            <w:pPr>
              <w:spacing w:after="0"/>
              <w:rPr>
                <w:sz w:val="10"/>
                <w:szCs w:val="10"/>
                <w:color w:val="auto"/>
              </w:rPr>
            </w:pPr>
          </w:p>
        </w:tc>
        <w:tc>
          <w:tcPr>
            <w:tcW w:w="7180" w:type="dxa"/>
            <w:vAlign w:val="bottom"/>
            <w:tcBorders>
              <w:right w:val="single" w:sz="8" w:color="auto"/>
            </w:tcBorders>
            <w:vMerge w:val="restart"/>
          </w:tcPr>
          <w:p>
            <w:pPr>
              <w:ind w:left="40"/>
              <w:spacing w:after="0"/>
              <w:rPr>
                <w:sz w:val="20"/>
                <w:szCs w:val="20"/>
                <w:color w:val="auto"/>
              </w:rPr>
            </w:pPr>
            <w:r>
              <w:rPr>
                <w:rFonts w:ascii="Arial" w:cs="Arial" w:eastAsia="Arial" w:hAnsi="Arial"/>
                <w:sz w:val="18"/>
                <w:szCs w:val="18"/>
                <w:color w:val="auto"/>
              </w:rPr>
              <w:t>10% when the client tests and accepts the equipment.</w:t>
            </w:r>
          </w:p>
        </w:tc>
        <w:tc>
          <w:tcPr>
            <w:tcW w:w="1320" w:type="dxa"/>
            <w:vAlign w:val="bottom"/>
            <w:tcBorders>
              <w:right w:val="single" w:sz="8" w:color="auto"/>
            </w:tcBorders>
          </w:tcPr>
          <w:p>
            <w:pPr>
              <w:spacing w:after="0"/>
              <w:rPr>
                <w:sz w:val="10"/>
                <w:szCs w:val="10"/>
                <w:color w:val="auto"/>
              </w:rPr>
            </w:pPr>
          </w:p>
        </w:tc>
        <w:tc>
          <w:tcPr>
            <w:tcW w:w="2020" w:type="dxa"/>
            <w:vAlign w:val="bottom"/>
            <w:tcBorders>
              <w:right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720" w:type="dxa"/>
            <w:vAlign w:val="bottom"/>
            <w:tcBorders>
              <w:left w:val="single" w:sz="8" w:color="auto"/>
              <w:right w:val="single" w:sz="8" w:color="auto"/>
            </w:tcBorders>
          </w:tcPr>
          <w:p>
            <w:pPr>
              <w:spacing w:after="0"/>
              <w:rPr>
                <w:sz w:val="9"/>
                <w:szCs w:val="9"/>
                <w:color w:val="auto"/>
              </w:rPr>
            </w:pPr>
          </w:p>
        </w:tc>
        <w:tc>
          <w:tcPr>
            <w:tcW w:w="7180" w:type="dxa"/>
            <w:vAlign w:val="bottom"/>
            <w:tcBorders>
              <w:right w:val="single" w:sz="8" w:color="auto"/>
            </w:tcBorders>
            <w:vMerge w:val="continue"/>
          </w:tcPr>
          <w:p>
            <w:pPr>
              <w:spacing w:after="0"/>
              <w:rPr>
                <w:sz w:val="9"/>
                <w:szCs w:val="9"/>
                <w:color w:val="auto"/>
              </w:rPr>
            </w:pPr>
          </w:p>
        </w:tc>
        <w:tc>
          <w:tcPr>
            <w:tcW w:w="1320" w:type="dxa"/>
            <w:vAlign w:val="bottom"/>
            <w:tcBorders>
              <w:right w:val="single" w:sz="8" w:color="auto"/>
            </w:tcBorders>
          </w:tcPr>
          <w:p>
            <w:pPr>
              <w:spacing w:after="0"/>
              <w:rPr>
                <w:sz w:val="9"/>
                <w:szCs w:val="9"/>
                <w:color w:val="auto"/>
              </w:rPr>
            </w:pPr>
          </w:p>
        </w:tc>
        <w:tc>
          <w:tcPr>
            <w:tcW w:w="2020" w:type="dxa"/>
            <w:vAlign w:val="bottom"/>
            <w:tcBorders>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418"/>
        </w:trPr>
        <w:tc>
          <w:tcPr>
            <w:tcW w:w="720" w:type="dxa"/>
            <w:vAlign w:val="bottom"/>
            <w:tcBorders>
              <w:left w:val="single" w:sz="8" w:color="auto"/>
              <w:right w:val="single" w:sz="8" w:color="auto"/>
            </w:tcBorders>
          </w:tcPr>
          <w:p>
            <w:pPr>
              <w:spacing w:after="0"/>
              <w:rPr>
                <w:sz w:val="24"/>
                <w:szCs w:val="24"/>
                <w:color w:val="auto"/>
              </w:rPr>
            </w:pPr>
          </w:p>
        </w:tc>
        <w:tc>
          <w:tcPr>
            <w:tcW w:w="718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w w:val="93"/>
              </w:rPr>
              <w:t>Advances from customers were $8.42 mln at end 2018 when full year revenue was $74.64 mln.</w:t>
            </w:r>
          </w:p>
        </w:tc>
        <w:tc>
          <w:tcPr>
            <w:tcW w:w="1320" w:type="dxa"/>
            <w:vAlign w:val="bottom"/>
            <w:tcBorders>
              <w:right w:val="single" w:sz="8" w:color="auto"/>
            </w:tcBorders>
          </w:tcPr>
          <w:p>
            <w:pPr>
              <w:spacing w:after="0"/>
              <w:rPr>
                <w:sz w:val="24"/>
                <w:szCs w:val="24"/>
                <w:color w:val="auto"/>
              </w:rPr>
            </w:pPr>
          </w:p>
        </w:tc>
        <w:tc>
          <w:tcPr>
            <w:tcW w:w="20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720" w:type="dxa"/>
            <w:vAlign w:val="bottom"/>
            <w:tcBorders>
              <w:left w:val="single" w:sz="8" w:color="auto"/>
              <w:right w:val="single" w:sz="8" w:color="auto"/>
            </w:tcBorders>
          </w:tcPr>
          <w:p>
            <w:pPr>
              <w:spacing w:after="0"/>
              <w:rPr>
                <w:sz w:val="18"/>
                <w:szCs w:val="18"/>
                <w:color w:val="auto"/>
              </w:rPr>
            </w:pPr>
          </w:p>
        </w:tc>
        <w:tc>
          <w:tcPr>
            <w:tcW w:w="718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w w:val="90"/>
              </w:rPr>
              <w:t>By end Q2 2020, advances from customers were $8.78 mln, yet annualized Q2 2020 revenue was</w:t>
            </w:r>
          </w:p>
        </w:tc>
        <w:tc>
          <w:tcPr>
            <w:tcW w:w="1320" w:type="dxa"/>
            <w:vAlign w:val="bottom"/>
            <w:tcBorders>
              <w:right w:val="single" w:sz="8" w:color="auto"/>
            </w:tcBorders>
          </w:tcPr>
          <w:p>
            <w:pPr>
              <w:spacing w:after="0"/>
              <w:rPr>
                <w:sz w:val="18"/>
                <w:szCs w:val="18"/>
                <w:color w:val="auto"/>
              </w:rPr>
            </w:pPr>
          </w:p>
        </w:tc>
        <w:tc>
          <w:tcPr>
            <w:tcW w:w="202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20" w:type="dxa"/>
            <w:vAlign w:val="bottom"/>
            <w:tcBorders>
              <w:left w:val="single" w:sz="8" w:color="auto"/>
              <w:right w:val="single" w:sz="8" w:color="auto"/>
            </w:tcBorders>
          </w:tcPr>
          <w:p>
            <w:pPr>
              <w:spacing w:after="0"/>
              <w:rPr>
                <w:sz w:val="20"/>
                <w:szCs w:val="20"/>
                <w:color w:val="auto"/>
              </w:rPr>
            </w:pPr>
          </w:p>
        </w:tc>
        <w:tc>
          <w:tcPr>
            <w:tcW w:w="718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rPr>
              <w:t>$156.2 mln (4 x $39.05 mln).</w:t>
            </w:r>
          </w:p>
        </w:tc>
        <w:tc>
          <w:tcPr>
            <w:tcW w:w="1320" w:type="dxa"/>
            <w:vAlign w:val="bottom"/>
            <w:tcBorders>
              <w:right w:val="single" w:sz="8" w:color="auto"/>
            </w:tcBorders>
          </w:tcPr>
          <w:p>
            <w:pPr>
              <w:spacing w:after="0"/>
              <w:rPr>
                <w:sz w:val="20"/>
                <w:szCs w:val="20"/>
                <w:color w:val="auto"/>
              </w:rPr>
            </w:pPr>
          </w:p>
        </w:tc>
        <w:tc>
          <w:tcPr>
            <w:tcW w:w="20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18"/>
        </w:trPr>
        <w:tc>
          <w:tcPr>
            <w:tcW w:w="720" w:type="dxa"/>
            <w:vAlign w:val="bottom"/>
            <w:tcBorders>
              <w:left w:val="single" w:sz="8" w:color="auto"/>
              <w:right w:val="single" w:sz="8" w:color="auto"/>
            </w:tcBorders>
          </w:tcPr>
          <w:p>
            <w:pPr>
              <w:spacing w:after="0"/>
              <w:rPr>
                <w:sz w:val="24"/>
                <w:szCs w:val="24"/>
                <w:color w:val="auto"/>
              </w:rPr>
            </w:pPr>
          </w:p>
        </w:tc>
        <w:tc>
          <w:tcPr>
            <w:tcW w:w="718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w w:val="97"/>
              </w:rPr>
              <w:t>Revenue has basically doubled, while advances from customers have stayed flat. Customer</w:t>
            </w:r>
          </w:p>
        </w:tc>
        <w:tc>
          <w:tcPr>
            <w:tcW w:w="1320" w:type="dxa"/>
            <w:vAlign w:val="bottom"/>
            <w:tcBorders>
              <w:right w:val="single" w:sz="8" w:color="auto"/>
            </w:tcBorders>
          </w:tcPr>
          <w:p>
            <w:pPr>
              <w:spacing w:after="0"/>
              <w:rPr>
                <w:sz w:val="24"/>
                <w:szCs w:val="24"/>
                <w:color w:val="auto"/>
              </w:rPr>
            </w:pPr>
          </w:p>
        </w:tc>
        <w:tc>
          <w:tcPr>
            <w:tcW w:w="20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720" w:type="dxa"/>
            <w:vAlign w:val="bottom"/>
            <w:tcBorders>
              <w:left w:val="single" w:sz="8" w:color="auto"/>
              <w:right w:val="single" w:sz="8" w:color="auto"/>
            </w:tcBorders>
          </w:tcPr>
          <w:p>
            <w:pPr>
              <w:spacing w:after="0"/>
              <w:rPr>
                <w:sz w:val="20"/>
                <w:szCs w:val="20"/>
                <w:color w:val="auto"/>
              </w:rPr>
            </w:pPr>
          </w:p>
        </w:tc>
        <w:tc>
          <w:tcPr>
            <w:tcW w:w="718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rPr>
              <w:t>deposits should at least match the momentum in business activity</w:t>
            </w:r>
          </w:p>
        </w:tc>
        <w:tc>
          <w:tcPr>
            <w:tcW w:w="1320" w:type="dxa"/>
            <w:vAlign w:val="bottom"/>
            <w:tcBorders>
              <w:right w:val="single" w:sz="8" w:color="auto"/>
            </w:tcBorders>
          </w:tcPr>
          <w:p>
            <w:pPr>
              <w:spacing w:after="0"/>
              <w:rPr>
                <w:sz w:val="20"/>
                <w:szCs w:val="20"/>
                <w:color w:val="auto"/>
              </w:rPr>
            </w:pPr>
          </w:p>
        </w:tc>
        <w:tc>
          <w:tcPr>
            <w:tcW w:w="20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61"/>
        </w:trPr>
        <w:tc>
          <w:tcPr>
            <w:tcW w:w="720" w:type="dxa"/>
            <w:vAlign w:val="bottom"/>
            <w:tcBorders>
              <w:left w:val="single" w:sz="8" w:color="auto"/>
              <w:bottom w:val="single" w:sz="8" w:color="auto"/>
              <w:right w:val="single" w:sz="8" w:color="auto"/>
            </w:tcBorders>
          </w:tcPr>
          <w:p>
            <w:pPr>
              <w:spacing w:after="0"/>
              <w:rPr>
                <w:sz w:val="5"/>
                <w:szCs w:val="5"/>
                <w:color w:val="auto"/>
              </w:rPr>
            </w:pPr>
          </w:p>
        </w:tc>
        <w:tc>
          <w:tcPr>
            <w:tcW w:w="7180" w:type="dxa"/>
            <w:vAlign w:val="bottom"/>
            <w:tcBorders>
              <w:bottom w:val="single" w:sz="8" w:color="auto"/>
              <w:right w:val="single" w:sz="8" w:color="auto"/>
            </w:tcBorders>
          </w:tcPr>
          <w:p>
            <w:pPr>
              <w:spacing w:after="0"/>
              <w:rPr>
                <w:sz w:val="5"/>
                <w:szCs w:val="5"/>
                <w:color w:val="auto"/>
              </w:rPr>
            </w:pPr>
          </w:p>
        </w:tc>
        <w:tc>
          <w:tcPr>
            <w:tcW w:w="1320" w:type="dxa"/>
            <w:vAlign w:val="bottom"/>
            <w:tcBorders>
              <w:bottom w:val="single" w:sz="8" w:color="auto"/>
              <w:right w:val="single" w:sz="8" w:color="auto"/>
            </w:tcBorders>
          </w:tcPr>
          <w:p>
            <w:pPr>
              <w:spacing w:after="0"/>
              <w:rPr>
                <w:sz w:val="5"/>
                <w:szCs w:val="5"/>
                <w:color w:val="auto"/>
              </w:rPr>
            </w:pPr>
          </w:p>
        </w:tc>
        <w:tc>
          <w:tcPr>
            <w:tcW w:w="2020" w:type="dxa"/>
            <w:vAlign w:val="bottom"/>
            <w:tcBorders>
              <w:bottom w:val="single" w:sz="8" w:color="auto"/>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582"/>
        </w:trPr>
        <w:tc>
          <w:tcPr>
            <w:tcW w:w="720" w:type="dxa"/>
            <w:vAlign w:val="bottom"/>
          </w:tcPr>
          <w:p>
            <w:pPr>
              <w:spacing w:after="0"/>
              <w:rPr>
                <w:sz w:val="24"/>
                <w:szCs w:val="24"/>
                <w:color w:val="auto"/>
              </w:rPr>
            </w:pPr>
          </w:p>
        </w:tc>
        <w:tc>
          <w:tcPr>
            <w:tcW w:w="7180" w:type="dxa"/>
            <w:vAlign w:val="bottom"/>
          </w:tcPr>
          <w:p>
            <w:pPr>
              <w:ind w:left="4680"/>
              <w:spacing w:after="0"/>
              <w:rPr>
                <w:sz w:val="20"/>
                <w:szCs w:val="20"/>
                <w:color w:val="auto"/>
              </w:rPr>
            </w:pPr>
            <w:r>
              <w:rPr>
                <w:rFonts w:ascii="Arial" w:cs="Arial" w:eastAsia="Arial" w:hAnsi="Arial"/>
                <w:sz w:val="14"/>
                <w:szCs w:val="14"/>
                <w:color w:val="auto"/>
              </w:rPr>
              <w:t>8-4-1-9</w:t>
            </w:r>
          </w:p>
        </w:tc>
        <w:tc>
          <w:tcPr>
            <w:tcW w:w="1320" w:type="dxa"/>
            <w:vAlign w:val="bottom"/>
          </w:tcPr>
          <w:p>
            <w:pPr>
              <w:spacing w:after="0"/>
              <w:rPr>
                <w:sz w:val="24"/>
                <w:szCs w:val="24"/>
                <w:color w:val="auto"/>
              </w:rPr>
            </w:pPr>
          </w:p>
        </w:tc>
        <w:tc>
          <w:tcPr>
            <w:tcW w:w="2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6"/>
        </w:trPr>
        <w:tc>
          <w:tcPr>
            <w:tcW w:w="720" w:type="dxa"/>
            <w:vAlign w:val="bottom"/>
            <w:tcBorders>
              <w:bottom w:val="single" w:sz="8" w:color="auto"/>
            </w:tcBorders>
          </w:tcPr>
          <w:p>
            <w:pPr>
              <w:spacing w:after="0"/>
              <w:rPr>
                <w:sz w:val="4"/>
                <w:szCs w:val="4"/>
                <w:color w:val="auto"/>
              </w:rPr>
            </w:pPr>
          </w:p>
        </w:tc>
        <w:tc>
          <w:tcPr>
            <w:tcW w:w="7180" w:type="dxa"/>
            <w:vAlign w:val="bottom"/>
            <w:tcBorders>
              <w:bottom w:val="single" w:sz="8" w:color="auto"/>
            </w:tcBorders>
          </w:tcPr>
          <w:p>
            <w:pPr>
              <w:spacing w:after="0"/>
              <w:rPr>
                <w:sz w:val="4"/>
                <w:szCs w:val="4"/>
                <w:color w:val="auto"/>
              </w:rPr>
            </w:pPr>
          </w:p>
        </w:tc>
        <w:tc>
          <w:tcPr>
            <w:tcW w:w="1320" w:type="dxa"/>
            <w:vAlign w:val="bottom"/>
            <w:tcBorders>
              <w:bottom w:val="single" w:sz="8" w:color="auto"/>
            </w:tcBorders>
          </w:tcPr>
          <w:p>
            <w:pPr>
              <w:spacing w:after="0"/>
              <w:rPr>
                <w:sz w:val="4"/>
                <w:szCs w:val="4"/>
                <w:color w:val="auto"/>
              </w:rPr>
            </w:pPr>
          </w:p>
        </w:tc>
        <w:tc>
          <w:tcPr>
            <w:tcW w:w="202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120" w:right="339" w:bottom="1440" w:gutter="0" w:footer="0" w:header="0"/>
        </w:sectPr>
      </w:pPr>
    </w:p>
    <w:bookmarkStart w:id="13" w:name="page14"/>
    <w:bookmarkEnd w:id="13"/>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297"/>
        </w:trPr>
        <w:tc>
          <w:tcPr>
            <w:tcW w:w="720" w:type="dxa"/>
            <w:vAlign w:val="bottom"/>
            <w:tcBorders>
              <w:top w:val="single" w:sz="8" w:color="auto"/>
              <w:left w:val="single" w:sz="8" w:color="auto"/>
              <w:right w:val="single" w:sz="8" w:color="auto"/>
            </w:tcBorders>
          </w:tcPr>
          <w:p>
            <w:pPr>
              <w:spacing w:after="0"/>
              <w:rPr>
                <w:sz w:val="24"/>
                <w:szCs w:val="24"/>
                <w:color w:val="auto"/>
              </w:rPr>
            </w:pPr>
          </w:p>
        </w:tc>
        <w:tc>
          <w:tcPr>
            <w:tcW w:w="7180" w:type="dxa"/>
            <w:vAlign w:val="bottom"/>
            <w:tcBorders>
              <w:top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Magically appearing liability</w:t>
            </w:r>
          </w:p>
        </w:tc>
        <w:tc>
          <w:tcPr>
            <w:tcW w:w="1320" w:type="dxa"/>
            <w:vAlign w:val="bottom"/>
            <w:tcBorders>
              <w:top w:val="single" w:sz="8" w:color="auto"/>
              <w:right w:val="single" w:sz="8" w:color="auto"/>
            </w:tcBorders>
          </w:tcPr>
          <w:p>
            <w:pPr>
              <w:spacing w:after="0"/>
              <w:rPr>
                <w:sz w:val="24"/>
                <w:szCs w:val="24"/>
                <w:color w:val="auto"/>
              </w:rPr>
            </w:pPr>
          </w:p>
        </w:tc>
        <w:tc>
          <w:tcPr>
            <w:tcW w:w="2020" w:type="dxa"/>
            <w:vAlign w:val="bottom"/>
            <w:tcBorders>
              <w:top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418"/>
        </w:trPr>
        <w:tc>
          <w:tcPr>
            <w:tcW w:w="720" w:type="dxa"/>
            <w:vAlign w:val="bottom"/>
            <w:tcBorders>
              <w:left w:val="single" w:sz="8" w:color="auto"/>
              <w:right w:val="single" w:sz="8" w:color="auto"/>
            </w:tcBorders>
          </w:tcPr>
          <w:p>
            <w:pPr>
              <w:spacing w:after="0"/>
              <w:rPr>
                <w:sz w:val="24"/>
                <w:szCs w:val="24"/>
                <w:color w:val="auto"/>
              </w:rPr>
            </w:pPr>
          </w:p>
        </w:tc>
        <w:tc>
          <w:tcPr>
            <w:tcW w:w="718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w w:val="94"/>
              </w:rPr>
              <w:t>In Q2 2020, ACMR reported a financial liability of $15.1 mln, which essentially appeared out of</w:t>
            </w:r>
          </w:p>
        </w:tc>
        <w:tc>
          <w:tcPr>
            <w:tcW w:w="1320" w:type="dxa"/>
            <w:vAlign w:val="bottom"/>
            <w:tcBorders>
              <w:right w:val="single" w:sz="8" w:color="auto"/>
            </w:tcBorders>
          </w:tcPr>
          <w:p>
            <w:pPr>
              <w:spacing w:after="0"/>
              <w:rPr>
                <w:sz w:val="24"/>
                <w:szCs w:val="24"/>
                <w:color w:val="auto"/>
              </w:rPr>
            </w:pPr>
          </w:p>
        </w:tc>
        <w:tc>
          <w:tcPr>
            <w:tcW w:w="20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720" w:type="dxa"/>
            <w:vAlign w:val="bottom"/>
            <w:tcBorders>
              <w:left w:val="single" w:sz="8" w:color="auto"/>
              <w:right w:val="single" w:sz="8" w:color="auto"/>
            </w:tcBorders>
          </w:tcPr>
          <w:p>
            <w:pPr>
              <w:spacing w:after="0"/>
              <w:rPr>
                <w:sz w:val="20"/>
                <w:szCs w:val="20"/>
                <w:color w:val="auto"/>
              </w:rPr>
            </w:pPr>
          </w:p>
        </w:tc>
        <w:tc>
          <w:tcPr>
            <w:tcW w:w="718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rPr>
              <w:t>nowhere. Creating a new liability helps the company work off fake assets.</w:t>
            </w:r>
          </w:p>
        </w:tc>
        <w:tc>
          <w:tcPr>
            <w:tcW w:w="1320" w:type="dxa"/>
            <w:vAlign w:val="bottom"/>
            <w:tcBorders>
              <w:right w:val="single" w:sz="8" w:color="auto"/>
            </w:tcBorders>
          </w:tcPr>
          <w:p>
            <w:pPr>
              <w:spacing w:after="0"/>
              <w:rPr>
                <w:sz w:val="20"/>
                <w:szCs w:val="20"/>
                <w:color w:val="auto"/>
              </w:rPr>
            </w:pPr>
          </w:p>
        </w:tc>
        <w:tc>
          <w:tcPr>
            <w:tcW w:w="20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310"/>
        </w:trPr>
        <w:tc>
          <w:tcPr>
            <w:tcW w:w="720" w:type="dxa"/>
            <w:vAlign w:val="bottom"/>
            <w:tcBorders>
              <w:left w:val="single" w:sz="8" w:color="auto"/>
              <w:right w:val="single" w:sz="8" w:color="auto"/>
            </w:tcBorders>
            <w:vMerge w:val="restart"/>
          </w:tcPr>
          <w:p>
            <w:pPr>
              <w:jc w:val="right"/>
              <w:ind w:right="190"/>
              <w:spacing w:after="0"/>
              <w:rPr>
                <w:sz w:val="20"/>
                <w:szCs w:val="20"/>
                <w:color w:val="auto"/>
              </w:rPr>
            </w:pPr>
            <w:r>
              <w:rPr>
                <w:rFonts w:ascii="Arial" w:cs="Arial" w:eastAsia="Arial" w:hAnsi="Arial"/>
                <w:sz w:val="18"/>
                <w:szCs w:val="18"/>
                <w:color w:val="auto"/>
              </w:rPr>
              <w:t>11</w:t>
            </w:r>
          </w:p>
        </w:tc>
        <w:tc>
          <w:tcPr>
            <w:tcW w:w="7180" w:type="dxa"/>
            <w:vAlign w:val="bottom"/>
            <w:tcBorders>
              <w:right w:val="single" w:sz="8" w:color="auto"/>
            </w:tcBorders>
            <w:vMerge w:val="restart"/>
          </w:tcPr>
          <w:p>
            <w:pPr>
              <w:ind w:left="40"/>
              <w:spacing w:after="0"/>
              <w:rPr>
                <w:sz w:val="20"/>
                <w:szCs w:val="20"/>
                <w:color w:val="auto"/>
              </w:rPr>
            </w:pPr>
            <w:r>
              <w:rPr>
                <w:rFonts w:ascii="Arial" w:cs="Arial" w:eastAsia="Arial" w:hAnsi="Arial"/>
                <w:sz w:val="18"/>
                <w:szCs w:val="18"/>
                <w:color w:val="auto"/>
                <w:w w:val="99"/>
              </w:rPr>
              <w:t>The liability had arisen out of a complicated series of back-and-forth transactions between</w:t>
            </w:r>
          </w:p>
        </w:tc>
        <w:tc>
          <w:tcPr>
            <w:tcW w:w="13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89"/>
              </w:rPr>
              <w:t>15</w:t>
            </w:r>
          </w:p>
        </w:tc>
        <w:tc>
          <w:tcPr>
            <w:tcW w:w="202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w w:val="94"/>
              </w:rPr>
              <w:t>Other Challenge 5: About</w:t>
            </w:r>
          </w:p>
        </w:tc>
        <w:tc>
          <w:tcPr>
            <w:tcW w:w="0" w:type="dxa"/>
            <w:vAlign w:val="bottom"/>
          </w:tcPr>
          <w:p>
            <w:pPr>
              <w:spacing w:after="0"/>
              <w:rPr>
                <w:sz w:val="1"/>
                <w:szCs w:val="1"/>
                <w:color w:val="auto"/>
              </w:rPr>
            </w:pPr>
          </w:p>
        </w:tc>
      </w:tr>
      <w:tr>
        <w:trPr>
          <w:trHeight w:val="108"/>
        </w:trPr>
        <w:tc>
          <w:tcPr>
            <w:tcW w:w="720" w:type="dxa"/>
            <w:vAlign w:val="bottom"/>
            <w:tcBorders>
              <w:left w:val="single" w:sz="8" w:color="auto"/>
              <w:right w:val="single" w:sz="8" w:color="auto"/>
            </w:tcBorders>
            <w:vMerge w:val="continue"/>
          </w:tcPr>
          <w:p>
            <w:pPr>
              <w:spacing w:after="0"/>
              <w:rPr>
                <w:sz w:val="9"/>
                <w:szCs w:val="9"/>
                <w:color w:val="auto"/>
              </w:rPr>
            </w:pPr>
          </w:p>
        </w:tc>
        <w:tc>
          <w:tcPr>
            <w:tcW w:w="7180" w:type="dxa"/>
            <w:vAlign w:val="bottom"/>
            <w:tcBorders>
              <w:right w:val="single" w:sz="8" w:color="auto"/>
            </w:tcBorders>
            <w:vMerge w:val="continue"/>
          </w:tcPr>
          <w:p>
            <w:pPr>
              <w:spacing w:after="0"/>
              <w:rPr>
                <w:sz w:val="9"/>
                <w:szCs w:val="9"/>
                <w:color w:val="auto"/>
              </w:rPr>
            </w:pPr>
          </w:p>
        </w:tc>
        <w:tc>
          <w:tcPr>
            <w:tcW w:w="1320" w:type="dxa"/>
            <w:vAlign w:val="bottom"/>
            <w:tcBorders>
              <w:right w:val="single" w:sz="8" w:color="auto"/>
            </w:tcBorders>
            <w:vMerge w:val="continue"/>
          </w:tcPr>
          <w:p>
            <w:pPr>
              <w:spacing w:after="0"/>
              <w:rPr>
                <w:sz w:val="9"/>
                <w:szCs w:val="9"/>
                <w:color w:val="auto"/>
              </w:rPr>
            </w:pPr>
          </w:p>
        </w:tc>
        <w:tc>
          <w:tcPr>
            <w:tcW w:w="2020" w:type="dxa"/>
            <w:vAlign w:val="bottom"/>
            <w:tcBorders>
              <w:right w:val="single" w:sz="8" w:color="auto"/>
            </w:tcBorders>
            <w:vMerge w:val="restart"/>
          </w:tcPr>
          <w:p>
            <w:pPr>
              <w:ind w:left="60"/>
              <w:spacing w:after="0"/>
              <w:rPr>
                <w:sz w:val="20"/>
                <w:szCs w:val="20"/>
                <w:color w:val="auto"/>
              </w:rPr>
            </w:pPr>
            <w:r>
              <w:rPr>
                <w:rFonts w:ascii="Arial" w:cs="Arial" w:eastAsia="Arial" w:hAnsi="Arial"/>
                <w:sz w:val="18"/>
                <w:szCs w:val="18"/>
                <w:color w:val="auto"/>
              </w:rPr>
              <w:t>Liabilities</w:t>
            </w:r>
          </w:p>
        </w:tc>
        <w:tc>
          <w:tcPr>
            <w:tcW w:w="0" w:type="dxa"/>
            <w:vAlign w:val="bottom"/>
          </w:tcPr>
          <w:p>
            <w:pPr>
              <w:spacing w:after="0"/>
              <w:rPr>
                <w:sz w:val="1"/>
                <w:szCs w:val="1"/>
                <w:color w:val="auto"/>
              </w:rPr>
            </w:pPr>
          </w:p>
        </w:tc>
      </w:tr>
      <w:tr>
        <w:trPr>
          <w:trHeight w:val="122"/>
        </w:trPr>
        <w:tc>
          <w:tcPr>
            <w:tcW w:w="720" w:type="dxa"/>
            <w:vAlign w:val="bottom"/>
            <w:tcBorders>
              <w:left w:val="single" w:sz="8" w:color="auto"/>
              <w:right w:val="single" w:sz="8" w:color="auto"/>
            </w:tcBorders>
          </w:tcPr>
          <w:p>
            <w:pPr>
              <w:spacing w:after="0"/>
              <w:rPr>
                <w:sz w:val="10"/>
                <w:szCs w:val="10"/>
                <w:color w:val="auto"/>
              </w:rPr>
            </w:pPr>
          </w:p>
        </w:tc>
        <w:tc>
          <w:tcPr>
            <w:tcW w:w="7180" w:type="dxa"/>
            <w:vAlign w:val="bottom"/>
            <w:tcBorders>
              <w:right w:val="single" w:sz="8" w:color="auto"/>
            </w:tcBorders>
            <w:vMerge w:val="restart"/>
          </w:tcPr>
          <w:p>
            <w:pPr>
              <w:ind w:left="40"/>
              <w:spacing w:after="0"/>
              <w:rPr>
                <w:sz w:val="20"/>
                <w:szCs w:val="20"/>
                <w:color w:val="auto"/>
              </w:rPr>
            </w:pPr>
            <w:r>
              <w:rPr>
                <w:rFonts w:ascii="Arial" w:cs="Arial" w:eastAsia="Arial" w:hAnsi="Arial"/>
                <w:sz w:val="18"/>
                <w:szCs w:val="18"/>
                <w:color w:val="auto"/>
                <w:w w:val="96"/>
              </w:rPr>
              <w:t>AMCR in the U.S. and ACMR Shanghai. The Shanghai company had received $2.98 mln for</w:t>
            </w:r>
          </w:p>
        </w:tc>
        <w:tc>
          <w:tcPr>
            <w:tcW w:w="1320" w:type="dxa"/>
            <w:vAlign w:val="bottom"/>
            <w:tcBorders>
              <w:right w:val="single" w:sz="8" w:color="auto"/>
            </w:tcBorders>
          </w:tcPr>
          <w:p>
            <w:pPr>
              <w:spacing w:after="0"/>
              <w:rPr>
                <w:sz w:val="10"/>
                <w:szCs w:val="10"/>
                <w:color w:val="auto"/>
              </w:rPr>
            </w:pPr>
          </w:p>
        </w:tc>
        <w:tc>
          <w:tcPr>
            <w:tcW w:w="2020" w:type="dxa"/>
            <w:vAlign w:val="bottom"/>
            <w:tcBorders>
              <w:right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4"/>
        </w:trPr>
        <w:tc>
          <w:tcPr>
            <w:tcW w:w="720" w:type="dxa"/>
            <w:vAlign w:val="bottom"/>
            <w:tcBorders>
              <w:left w:val="single" w:sz="8" w:color="auto"/>
              <w:right w:val="single" w:sz="8" w:color="auto"/>
            </w:tcBorders>
          </w:tcPr>
          <w:p>
            <w:pPr>
              <w:spacing w:after="0"/>
              <w:rPr>
                <w:sz w:val="8"/>
                <w:szCs w:val="8"/>
                <w:color w:val="auto"/>
              </w:rPr>
            </w:pPr>
          </w:p>
        </w:tc>
        <w:tc>
          <w:tcPr>
            <w:tcW w:w="7180" w:type="dxa"/>
            <w:vAlign w:val="bottom"/>
            <w:tcBorders>
              <w:right w:val="single" w:sz="8" w:color="auto"/>
            </w:tcBorders>
            <w:vMerge w:val="continue"/>
          </w:tcPr>
          <w:p>
            <w:pPr>
              <w:spacing w:after="0"/>
              <w:rPr>
                <w:sz w:val="8"/>
                <w:szCs w:val="8"/>
                <w:color w:val="auto"/>
              </w:rPr>
            </w:pPr>
          </w:p>
        </w:tc>
        <w:tc>
          <w:tcPr>
            <w:tcW w:w="1320" w:type="dxa"/>
            <w:vAlign w:val="bottom"/>
            <w:tcBorders>
              <w:right w:val="single" w:sz="8" w:color="auto"/>
            </w:tcBorders>
          </w:tcPr>
          <w:p>
            <w:pPr>
              <w:spacing w:after="0"/>
              <w:rPr>
                <w:sz w:val="8"/>
                <w:szCs w:val="8"/>
                <w:color w:val="auto"/>
              </w:rPr>
            </w:pPr>
          </w:p>
        </w:tc>
        <w:tc>
          <w:tcPr>
            <w:tcW w:w="2020" w:type="dxa"/>
            <w:vAlign w:val="bottom"/>
            <w:tcBorders>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720" w:type="dxa"/>
            <w:vAlign w:val="bottom"/>
            <w:tcBorders>
              <w:left w:val="single" w:sz="8" w:color="auto"/>
              <w:right w:val="single" w:sz="8" w:color="auto"/>
            </w:tcBorders>
          </w:tcPr>
          <w:p>
            <w:pPr>
              <w:spacing w:after="0"/>
              <w:rPr>
                <w:sz w:val="18"/>
                <w:szCs w:val="18"/>
                <w:color w:val="auto"/>
              </w:rPr>
            </w:pPr>
          </w:p>
        </w:tc>
        <w:tc>
          <w:tcPr>
            <w:tcW w:w="718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w w:val="93"/>
              </w:rPr>
              <w:t>warrants issued to an employee owned company—and had lent that company the money to buy</w:t>
            </w:r>
          </w:p>
        </w:tc>
        <w:tc>
          <w:tcPr>
            <w:tcW w:w="1320" w:type="dxa"/>
            <w:vAlign w:val="bottom"/>
            <w:tcBorders>
              <w:right w:val="single" w:sz="8" w:color="auto"/>
            </w:tcBorders>
          </w:tcPr>
          <w:p>
            <w:pPr>
              <w:spacing w:after="0"/>
              <w:rPr>
                <w:sz w:val="18"/>
                <w:szCs w:val="18"/>
                <w:color w:val="auto"/>
              </w:rPr>
            </w:pPr>
          </w:p>
        </w:tc>
        <w:tc>
          <w:tcPr>
            <w:tcW w:w="202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20" w:type="dxa"/>
            <w:vAlign w:val="bottom"/>
            <w:tcBorders>
              <w:left w:val="single" w:sz="8" w:color="auto"/>
              <w:right w:val="single" w:sz="8" w:color="auto"/>
            </w:tcBorders>
          </w:tcPr>
          <w:p>
            <w:pPr>
              <w:spacing w:after="0"/>
              <w:rPr>
                <w:sz w:val="18"/>
                <w:szCs w:val="18"/>
                <w:color w:val="auto"/>
              </w:rPr>
            </w:pPr>
          </w:p>
        </w:tc>
        <w:tc>
          <w:tcPr>
            <w:tcW w:w="718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w w:val="96"/>
              </w:rPr>
              <w:t>the warrants. ACMR Shanghai passed the obligation to U.S. shareholders then upvalued it to</w:t>
            </w:r>
          </w:p>
        </w:tc>
        <w:tc>
          <w:tcPr>
            <w:tcW w:w="1320" w:type="dxa"/>
            <w:vAlign w:val="bottom"/>
            <w:tcBorders>
              <w:right w:val="single" w:sz="8" w:color="auto"/>
            </w:tcBorders>
          </w:tcPr>
          <w:p>
            <w:pPr>
              <w:spacing w:after="0"/>
              <w:rPr>
                <w:sz w:val="18"/>
                <w:szCs w:val="18"/>
                <w:color w:val="auto"/>
              </w:rPr>
            </w:pPr>
          </w:p>
        </w:tc>
        <w:tc>
          <w:tcPr>
            <w:tcW w:w="202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20" w:type="dxa"/>
            <w:vAlign w:val="bottom"/>
            <w:tcBorders>
              <w:left w:val="single" w:sz="8" w:color="auto"/>
              <w:right w:val="single" w:sz="8" w:color="auto"/>
            </w:tcBorders>
          </w:tcPr>
          <w:p>
            <w:pPr>
              <w:spacing w:after="0"/>
              <w:rPr>
                <w:sz w:val="20"/>
                <w:szCs w:val="20"/>
                <w:color w:val="auto"/>
              </w:rPr>
            </w:pPr>
          </w:p>
        </w:tc>
        <w:tc>
          <w:tcPr>
            <w:tcW w:w="718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rPr>
              <w:t>$15.1 mln. Presto, U.S. shareholders lose $15.1 mln in assets.</w:t>
            </w:r>
          </w:p>
        </w:tc>
        <w:tc>
          <w:tcPr>
            <w:tcW w:w="1320" w:type="dxa"/>
            <w:vAlign w:val="bottom"/>
            <w:tcBorders>
              <w:right w:val="single" w:sz="8" w:color="auto"/>
            </w:tcBorders>
          </w:tcPr>
          <w:p>
            <w:pPr>
              <w:spacing w:after="0"/>
              <w:rPr>
                <w:sz w:val="20"/>
                <w:szCs w:val="20"/>
                <w:color w:val="auto"/>
              </w:rPr>
            </w:pPr>
          </w:p>
        </w:tc>
        <w:tc>
          <w:tcPr>
            <w:tcW w:w="20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77"/>
        </w:trPr>
        <w:tc>
          <w:tcPr>
            <w:tcW w:w="720" w:type="dxa"/>
            <w:vAlign w:val="bottom"/>
            <w:tcBorders>
              <w:left w:val="single" w:sz="8" w:color="auto"/>
              <w:bottom w:val="single" w:sz="8" w:color="auto"/>
              <w:right w:val="single" w:sz="8" w:color="auto"/>
            </w:tcBorders>
          </w:tcPr>
          <w:p>
            <w:pPr>
              <w:spacing w:after="0"/>
              <w:rPr>
                <w:sz w:val="24"/>
                <w:szCs w:val="24"/>
                <w:color w:val="auto"/>
              </w:rPr>
            </w:pPr>
          </w:p>
        </w:tc>
        <w:tc>
          <w:tcPr>
            <w:tcW w:w="7180" w:type="dxa"/>
            <w:vAlign w:val="bottom"/>
            <w:tcBorders>
              <w:bottom w:val="single" w:sz="8" w:color="auto"/>
              <w:right w:val="single" w:sz="8" w:color="auto"/>
            </w:tcBorders>
          </w:tcPr>
          <w:p>
            <w:pPr>
              <w:spacing w:after="0"/>
              <w:rPr>
                <w:sz w:val="24"/>
                <w:szCs w:val="24"/>
                <w:color w:val="auto"/>
              </w:rPr>
            </w:pPr>
          </w:p>
        </w:tc>
        <w:tc>
          <w:tcPr>
            <w:tcW w:w="1320" w:type="dxa"/>
            <w:vAlign w:val="bottom"/>
            <w:tcBorders>
              <w:bottom w:val="single" w:sz="8" w:color="auto"/>
              <w:right w:val="single" w:sz="8" w:color="auto"/>
            </w:tcBorders>
          </w:tcPr>
          <w:p>
            <w:pPr>
              <w:spacing w:after="0"/>
              <w:rPr>
                <w:sz w:val="24"/>
                <w:szCs w:val="24"/>
                <w:color w:val="auto"/>
              </w:rPr>
            </w:pPr>
          </w:p>
        </w:tc>
        <w:tc>
          <w:tcPr>
            <w:tcW w:w="202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56"/>
        </w:trPr>
        <w:tc>
          <w:tcPr>
            <w:tcW w:w="720" w:type="dxa"/>
            <w:vAlign w:val="bottom"/>
            <w:tcBorders>
              <w:left w:val="single" w:sz="8" w:color="auto"/>
              <w:right w:val="single" w:sz="8" w:color="auto"/>
            </w:tcBorders>
          </w:tcPr>
          <w:p>
            <w:pPr>
              <w:spacing w:after="0"/>
              <w:rPr>
                <w:sz w:val="22"/>
                <w:szCs w:val="22"/>
                <w:color w:val="auto"/>
              </w:rPr>
            </w:pPr>
          </w:p>
        </w:tc>
        <w:tc>
          <w:tcPr>
            <w:tcW w:w="718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w w:val="93"/>
              </w:rPr>
              <w:t>We went back to procurement managers at the largest customers, and three agreed to detailed</w:t>
            </w:r>
          </w:p>
        </w:tc>
        <w:tc>
          <w:tcPr>
            <w:tcW w:w="1320" w:type="dxa"/>
            <w:vAlign w:val="bottom"/>
            <w:tcBorders>
              <w:right w:val="single" w:sz="8" w:color="auto"/>
            </w:tcBorders>
          </w:tcPr>
          <w:p>
            <w:pPr>
              <w:spacing w:after="0"/>
              <w:rPr>
                <w:sz w:val="22"/>
                <w:szCs w:val="22"/>
                <w:color w:val="auto"/>
              </w:rPr>
            </w:pPr>
          </w:p>
        </w:tc>
        <w:tc>
          <w:tcPr>
            <w:tcW w:w="202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16"/>
        </w:trPr>
        <w:tc>
          <w:tcPr>
            <w:tcW w:w="720" w:type="dxa"/>
            <w:vAlign w:val="bottom"/>
            <w:tcBorders>
              <w:left w:val="single" w:sz="8" w:color="auto"/>
              <w:right w:val="single" w:sz="8" w:color="auto"/>
            </w:tcBorders>
          </w:tcPr>
          <w:p>
            <w:pPr>
              <w:spacing w:after="0"/>
              <w:rPr>
                <w:sz w:val="18"/>
                <w:szCs w:val="18"/>
                <w:color w:val="auto"/>
              </w:rPr>
            </w:pPr>
          </w:p>
        </w:tc>
        <w:tc>
          <w:tcPr>
            <w:tcW w:w="718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w w:val="93"/>
              </w:rPr>
              <w:t>interviews. None of the three had heard of the agents that ACMR reported were responsible for</w:t>
            </w:r>
          </w:p>
        </w:tc>
        <w:tc>
          <w:tcPr>
            <w:tcW w:w="1320" w:type="dxa"/>
            <w:vAlign w:val="bottom"/>
            <w:tcBorders>
              <w:right w:val="single" w:sz="8" w:color="auto"/>
            </w:tcBorders>
          </w:tcPr>
          <w:p>
            <w:pPr>
              <w:spacing w:after="0"/>
              <w:rPr>
                <w:sz w:val="18"/>
                <w:szCs w:val="18"/>
                <w:color w:val="auto"/>
              </w:rPr>
            </w:pPr>
          </w:p>
        </w:tc>
        <w:tc>
          <w:tcPr>
            <w:tcW w:w="2020" w:type="dxa"/>
            <w:vAlign w:val="bottom"/>
            <w:tcBorders>
              <w:right w:val="single" w:sz="8" w:color="auto"/>
            </w:tcBorders>
            <w:vMerge w:val="restart"/>
          </w:tcPr>
          <w:p>
            <w:pPr>
              <w:ind w:left="60"/>
              <w:spacing w:after="0"/>
              <w:rPr>
                <w:sz w:val="20"/>
                <w:szCs w:val="20"/>
                <w:color w:val="auto"/>
              </w:rPr>
            </w:pPr>
            <w:r>
              <w:rPr>
                <w:rFonts w:ascii="Arial" w:cs="Arial" w:eastAsia="Arial" w:hAnsi="Arial"/>
                <w:sz w:val="18"/>
                <w:szCs w:val="18"/>
                <w:color w:val="auto"/>
                <w:w w:val="97"/>
              </w:rPr>
              <w:t>Core Challenge 3: About</w:t>
            </w:r>
          </w:p>
        </w:tc>
        <w:tc>
          <w:tcPr>
            <w:tcW w:w="0" w:type="dxa"/>
            <w:vAlign w:val="bottom"/>
          </w:tcPr>
          <w:p>
            <w:pPr>
              <w:spacing w:after="0"/>
              <w:rPr>
                <w:sz w:val="1"/>
                <w:szCs w:val="1"/>
                <w:color w:val="auto"/>
              </w:rPr>
            </w:pPr>
          </w:p>
        </w:tc>
      </w:tr>
      <w:tr>
        <w:trPr>
          <w:trHeight w:val="108"/>
        </w:trPr>
        <w:tc>
          <w:tcPr>
            <w:tcW w:w="720" w:type="dxa"/>
            <w:vAlign w:val="bottom"/>
            <w:tcBorders>
              <w:left w:val="single" w:sz="8" w:color="auto"/>
              <w:right w:val="single" w:sz="8" w:color="auto"/>
            </w:tcBorders>
            <w:vMerge w:val="restart"/>
          </w:tcPr>
          <w:p>
            <w:pPr>
              <w:jc w:val="right"/>
              <w:ind w:right="190"/>
              <w:spacing w:after="0"/>
              <w:rPr>
                <w:sz w:val="20"/>
                <w:szCs w:val="20"/>
                <w:color w:val="auto"/>
              </w:rPr>
            </w:pPr>
            <w:r>
              <w:rPr>
                <w:rFonts w:ascii="Arial" w:cs="Arial" w:eastAsia="Arial" w:hAnsi="Arial"/>
                <w:sz w:val="18"/>
                <w:szCs w:val="18"/>
                <w:color w:val="auto"/>
              </w:rPr>
              <w:t>12</w:t>
            </w:r>
          </w:p>
        </w:tc>
        <w:tc>
          <w:tcPr>
            <w:tcW w:w="7180" w:type="dxa"/>
            <w:vAlign w:val="bottom"/>
            <w:tcBorders>
              <w:right w:val="single" w:sz="8" w:color="auto"/>
            </w:tcBorders>
            <w:vMerge w:val="restart"/>
          </w:tcPr>
          <w:p>
            <w:pPr>
              <w:ind w:left="40"/>
              <w:spacing w:after="0"/>
              <w:rPr>
                <w:sz w:val="20"/>
                <w:szCs w:val="20"/>
                <w:color w:val="auto"/>
              </w:rPr>
            </w:pPr>
            <w:r>
              <w:rPr>
                <w:rFonts w:ascii="Arial" w:cs="Arial" w:eastAsia="Arial" w:hAnsi="Arial"/>
                <w:sz w:val="18"/>
                <w:szCs w:val="18"/>
                <w:color w:val="auto"/>
                <w:w w:val="96"/>
              </w:rPr>
              <w:t>their sales. The customers we spoke with are some of the largest and together represent the</w:t>
            </w:r>
          </w:p>
        </w:tc>
        <w:tc>
          <w:tcPr>
            <w:tcW w:w="13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1"/>
              </w:rPr>
              <w:t>15-17</w:t>
            </w:r>
          </w:p>
        </w:tc>
        <w:tc>
          <w:tcPr>
            <w:tcW w:w="2020" w:type="dxa"/>
            <w:vAlign w:val="bottom"/>
            <w:tcBorders>
              <w:right w:val="single" w:sz="8" w:color="auto"/>
            </w:tcBorders>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720" w:type="dxa"/>
            <w:vAlign w:val="bottom"/>
            <w:tcBorders>
              <w:left w:val="single" w:sz="8" w:color="auto"/>
              <w:right w:val="single" w:sz="8" w:color="auto"/>
            </w:tcBorders>
            <w:vMerge w:val="continue"/>
          </w:tcPr>
          <w:p>
            <w:pPr>
              <w:spacing w:after="0"/>
              <w:rPr>
                <w:sz w:val="9"/>
                <w:szCs w:val="9"/>
                <w:color w:val="auto"/>
              </w:rPr>
            </w:pPr>
          </w:p>
        </w:tc>
        <w:tc>
          <w:tcPr>
            <w:tcW w:w="7180" w:type="dxa"/>
            <w:vAlign w:val="bottom"/>
            <w:tcBorders>
              <w:right w:val="single" w:sz="8" w:color="auto"/>
            </w:tcBorders>
            <w:vMerge w:val="continue"/>
          </w:tcPr>
          <w:p>
            <w:pPr>
              <w:spacing w:after="0"/>
              <w:rPr>
                <w:sz w:val="9"/>
                <w:szCs w:val="9"/>
                <w:color w:val="auto"/>
              </w:rPr>
            </w:pPr>
          </w:p>
        </w:tc>
        <w:tc>
          <w:tcPr>
            <w:tcW w:w="1320" w:type="dxa"/>
            <w:vAlign w:val="bottom"/>
            <w:tcBorders>
              <w:right w:val="single" w:sz="8" w:color="auto"/>
            </w:tcBorders>
            <w:vMerge w:val="continue"/>
          </w:tcPr>
          <w:p>
            <w:pPr>
              <w:spacing w:after="0"/>
              <w:rPr>
                <w:sz w:val="9"/>
                <w:szCs w:val="9"/>
                <w:color w:val="auto"/>
              </w:rPr>
            </w:pPr>
          </w:p>
        </w:tc>
        <w:tc>
          <w:tcPr>
            <w:tcW w:w="2020" w:type="dxa"/>
            <w:vAlign w:val="bottom"/>
            <w:tcBorders>
              <w:right w:val="single" w:sz="8" w:color="auto"/>
            </w:tcBorders>
            <w:vMerge w:val="restart"/>
          </w:tcPr>
          <w:p>
            <w:pPr>
              <w:ind w:left="60"/>
              <w:spacing w:after="0"/>
              <w:rPr>
                <w:sz w:val="20"/>
                <w:szCs w:val="20"/>
                <w:color w:val="auto"/>
              </w:rPr>
            </w:pPr>
            <w:r>
              <w:rPr>
                <w:rFonts w:ascii="Arial" w:cs="Arial" w:eastAsia="Arial" w:hAnsi="Arial"/>
                <w:sz w:val="18"/>
                <w:szCs w:val="18"/>
                <w:color w:val="auto"/>
              </w:rPr>
              <w:t>Agent</w:t>
            </w:r>
          </w:p>
        </w:tc>
        <w:tc>
          <w:tcPr>
            <w:tcW w:w="0" w:type="dxa"/>
            <w:vAlign w:val="bottom"/>
          </w:tcPr>
          <w:p>
            <w:pPr>
              <w:spacing w:after="0"/>
              <w:rPr>
                <w:sz w:val="1"/>
                <w:szCs w:val="1"/>
                <w:color w:val="auto"/>
              </w:rPr>
            </w:pPr>
          </w:p>
        </w:tc>
      </w:tr>
      <w:tr>
        <w:trPr>
          <w:trHeight w:val="122"/>
        </w:trPr>
        <w:tc>
          <w:tcPr>
            <w:tcW w:w="720" w:type="dxa"/>
            <w:vAlign w:val="bottom"/>
            <w:tcBorders>
              <w:left w:val="single" w:sz="8" w:color="auto"/>
              <w:right w:val="single" w:sz="8" w:color="auto"/>
            </w:tcBorders>
          </w:tcPr>
          <w:p>
            <w:pPr>
              <w:spacing w:after="0"/>
              <w:rPr>
                <w:sz w:val="10"/>
                <w:szCs w:val="10"/>
                <w:color w:val="auto"/>
              </w:rPr>
            </w:pPr>
          </w:p>
        </w:tc>
        <w:tc>
          <w:tcPr>
            <w:tcW w:w="7180" w:type="dxa"/>
            <w:vAlign w:val="bottom"/>
            <w:tcBorders>
              <w:right w:val="single" w:sz="8" w:color="auto"/>
            </w:tcBorders>
            <w:vMerge w:val="restart"/>
          </w:tcPr>
          <w:p>
            <w:pPr>
              <w:ind w:left="40"/>
              <w:spacing w:after="0"/>
              <w:rPr>
                <w:sz w:val="20"/>
                <w:szCs w:val="20"/>
                <w:color w:val="auto"/>
              </w:rPr>
            </w:pPr>
            <w:r>
              <w:rPr>
                <w:rFonts w:ascii="Arial" w:cs="Arial" w:eastAsia="Arial" w:hAnsi="Arial"/>
                <w:sz w:val="18"/>
                <w:szCs w:val="18"/>
                <w:color w:val="auto"/>
              </w:rPr>
              <w:t>majority of disclosed sales.</w:t>
            </w:r>
          </w:p>
        </w:tc>
        <w:tc>
          <w:tcPr>
            <w:tcW w:w="1320" w:type="dxa"/>
            <w:vAlign w:val="bottom"/>
            <w:tcBorders>
              <w:right w:val="single" w:sz="8" w:color="auto"/>
            </w:tcBorders>
          </w:tcPr>
          <w:p>
            <w:pPr>
              <w:spacing w:after="0"/>
              <w:rPr>
                <w:sz w:val="10"/>
                <w:szCs w:val="10"/>
                <w:color w:val="auto"/>
              </w:rPr>
            </w:pPr>
          </w:p>
        </w:tc>
        <w:tc>
          <w:tcPr>
            <w:tcW w:w="2020" w:type="dxa"/>
            <w:vAlign w:val="bottom"/>
            <w:tcBorders>
              <w:right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720" w:type="dxa"/>
            <w:vAlign w:val="bottom"/>
            <w:tcBorders>
              <w:left w:val="single" w:sz="8" w:color="auto"/>
              <w:right w:val="single" w:sz="8" w:color="auto"/>
            </w:tcBorders>
          </w:tcPr>
          <w:p>
            <w:pPr>
              <w:spacing w:after="0"/>
              <w:rPr>
                <w:sz w:val="9"/>
                <w:szCs w:val="9"/>
                <w:color w:val="auto"/>
              </w:rPr>
            </w:pPr>
          </w:p>
        </w:tc>
        <w:tc>
          <w:tcPr>
            <w:tcW w:w="7180" w:type="dxa"/>
            <w:vAlign w:val="bottom"/>
            <w:tcBorders>
              <w:right w:val="single" w:sz="8" w:color="auto"/>
            </w:tcBorders>
            <w:vMerge w:val="continue"/>
          </w:tcPr>
          <w:p>
            <w:pPr>
              <w:spacing w:after="0"/>
              <w:rPr>
                <w:sz w:val="9"/>
                <w:szCs w:val="9"/>
                <w:color w:val="auto"/>
              </w:rPr>
            </w:pPr>
          </w:p>
        </w:tc>
        <w:tc>
          <w:tcPr>
            <w:tcW w:w="1320" w:type="dxa"/>
            <w:vAlign w:val="bottom"/>
            <w:tcBorders>
              <w:right w:val="single" w:sz="8" w:color="auto"/>
            </w:tcBorders>
          </w:tcPr>
          <w:p>
            <w:pPr>
              <w:spacing w:after="0"/>
              <w:rPr>
                <w:sz w:val="9"/>
                <w:szCs w:val="9"/>
                <w:color w:val="auto"/>
              </w:rPr>
            </w:pPr>
          </w:p>
        </w:tc>
        <w:tc>
          <w:tcPr>
            <w:tcW w:w="2020" w:type="dxa"/>
            <w:vAlign w:val="bottom"/>
            <w:tcBorders>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277"/>
        </w:trPr>
        <w:tc>
          <w:tcPr>
            <w:tcW w:w="720" w:type="dxa"/>
            <w:vAlign w:val="bottom"/>
            <w:tcBorders>
              <w:left w:val="single" w:sz="8" w:color="auto"/>
              <w:bottom w:val="single" w:sz="8" w:color="auto"/>
              <w:right w:val="single" w:sz="8" w:color="auto"/>
            </w:tcBorders>
          </w:tcPr>
          <w:p>
            <w:pPr>
              <w:spacing w:after="0"/>
              <w:rPr>
                <w:sz w:val="24"/>
                <w:szCs w:val="24"/>
                <w:color w:val="auto"/>
              </w:rPr>
            </w:pPr>
          </w:p>
        </w:tc>
        <w:tc>
          <w:tcPr>
            <w:tcW w:w="7180" w:type="dxa"/>
            <w:vAlign w:val="bottom"/>
            <w:tcBorders>
              <w:bottom w:val="single" w:sz="8" w:color="auto"/>
              <w:right w:val="single" w:sz="8" w:color="auto"/>
            </w:tcBorders>
          </w:tcPr>
          <w:p>
            <w:pPr>
              <w:spacing w:after="0"/>
              <w:rPr>
                <w:sz w:val="24"/>
                <w:szCs w:val="24"/>
                <w:color w:val="auto"/>
              </w:rPr>
            </w:pPr>
          </w:p>
        </w:tc>
        <w:tc>
          <w:tcPr>
            <w:tcW w:w="1320" w:type="dxa"/>
            <w:vAlign w:val="bottom"/>
            <w:tcBorders>
              <w:bottom w:val="single" w:sz="8" w:color="auto"/>
              <w:right w:val="single" w:sz="8" w:color="auto"/>
            </w:tcBorders>
          </w:tcPr>
          <w:p>
            <w:pPr>
              <w:spacing w:after="0"/>
              <w:rPr>
                <w:sz w:val="24"/>
                <w:szCs w:val="24"/>
                <w:color w:val="auto"/>
              </w:rPr>
            </w:pPr>
          </w:p>
        </w:tc>
        <w:tc>
          <w:tcPr>
            <w:tcW w:w="202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56"/>
        </w:trPr>
        <w:tc>
          <w:tcPr>
            <w:tcW w:w="720" w:type="dxa"/>
            <w:vAlign w:val="bottom"/>
            <w:tcBorders>
              <w:left w:val="single" w:sz="8" w:color="auto"/>
              <w:right w:val="single" w:sz="8" w:color="auto"/>
            </w:tcBorders>
          </w:tcPr>
          <w:p>
            <w:pPr>
              <w:spacing w:after="0"/>
              <w:rPr>
                <w:sz w:val="22"/>
                <w:szCs w:val="22"/>
                <w:color w:val="auto"/>
              </w:rPr>
            </w:pPr>
          </w:p>
        </w:tc>
        <w:tc>
          <w:tcPr>
            <w:tcW w:w="718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w w:val="90"/>
              </w:rPr>
              <w:t>At least three of these agents are related parties whose relationship has not been disclosed to U.S.</w:t>
            </w:r>
          </w:p>
        </w:tc>
        <w:tc>
          <w:tcPr>
            <w:tcW w:w="1320" w:type="dxa"/>
            <w:vAlign w:val="bottom"/>
            <w:tcBorders>
              <w:right w:val="single" w:sz="8" w:color="auto"/>
            </w:tcBorders>
          </w:tcPr>
          <w:p>
            <w:pPr>
              <w:spacing w:after="0"/>
              <w:rPr>
                <w:sz w:val="22"/>
                <w:szCs w:val="22"/>
                <w:color w:val="auto"/>
              </w:rPr>
            </w:pPr>
          </w:p>
        </w:tc>
        <w:tc>
          <w:tcPr>
            <w:tcW w:w="202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30"/>
        </w:trPr>
        <w:tc>
          <w:tcPr>
            <w:tcW w:w="720" w:type="dxa"/>
            <w:vAlign w:val="bottom"/>
            <w:tcBorders>
              <w:left w:val="single" w:sz="8" w:color="auto"/>
              <w:right w:val="single" w:sz="8" w:color="auto"/>
            </w:tcBorders>
          </w:tcPr>
          <w:p>
            <w:pPr>
              <w:spacing w:after="0"/>
              <w:rPr>
                <w:sz w:val="20"/>
                <w:szCs w:val="20"/>
                <w:color w:val="auto"/>
              </w:rPr>
            </w:pPr>
          </w:p>
        </w:tc>
        <w:tc>
          <w:tcPr>
            <w:tcW w:w="718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rPr>
              <w:t>investors.</w:t>
            </w:r>
          </w:p>
        </w:tc>
        <w:tc>
          <w:tcPr>
            <w:tcW w:w="1320" w:type="dxa"/>
            <w:vAlign w:val="bottom"/>
            <w:tcBorders>
              <w:right w:val="single" w:sz="8" w:color="auto"/>
            </w:tcBorders>
          </w:tcPr>
          <w:p>
            <w:pPr>
              <w:spacing w:after="0"/>
              <w:rPr>
                <w:sz w:val="20"/>
                <w:szCs w:val="20"/>
                <w:color w:val="auto"/>
              </w:rPr>
            </w:pPr>
          </w:p>
        </w:tc>
        <w:tc>
          <w:tcPr>
            <w:tcW w:w="2020" w:type="dxa"/>
            <w:vAlign w:val="bottom"/>
            <w:tcBorders>
              <w:right w:val="single" w:sz="8" w:color="auto"/>
            </w:tcBorders>
            <w:vMerge w:val="restart"/>
          </w:tcPr>
          <w:p>
            <w:pPr>
              <w:ind w:left="60"/>
              <w:spacing w:after="0"/>
              <w:rPr>
                <w:sz w:val="20"/>
                <w:szCs w:val="20"/>
                <w:color w:val="auto"/>
              </w:rPr>
            </w:pPr>
            <w:r>
              <w:rPr>
                <w:rFonts w:ascii="Arial" w:cs="Arial" w:eastAsia="Arial" w:hAnsi="Arial"/>
                <w:sz w:val="18"/>
                <w:szCs w:val="18"/>
                <w:color w:val="auto"/>
              </w:rPr>
              <w:t>Other Challenge 16:</w:t>
            </w:r>
          </w:p>
        </w:tc>
        <w:tc>
          <w:tcPr>
            <w:tcW w:w="0" w:type="dxa"/>
            <w:vAlign w:val="bottom"/>
          </w:tcPr>
          <w:p>
            <w:pPr>
              <w:spacing w:after="0"/>
              <w:rPr>
                <w:sz w:val="1"/>
                <w:szCs w:val="1"/>
                <w:color w:val="auto"/>
              </w:rPr>
            </w:pPr>
          </w:p>
        </w:tc>
      </w:tr>
      <w:tr>
        <w:trPr>
          <w:trHeight w:val="215"/>
        </w:trPr>
        <w:tc>
          <w:tcPr>
            <w:tcW w:w="720" w:type="dxa"/>
            <w:vAlign w:val="bottom"/>
            <w:tcBorders>
              <w:left w:val="single" w:sz="8" w:color="auto"/>
              <w:right w:val="single" w:sz="8" w:color="auto"/>
            </w:tcBorders>
          </w:tcPr>
          <w:p>
            <w:pPr>
              <w:spacing w:after="0"/>
              <w:rPr>
                <w:sz w:val="18"/>
                <w:szCs w:val="18"/>
                <w:color w:val="auto"/>
              </w:rPr>
            </w:pPr>
          </w:p>
        </w:tc>
        <w:tc>
          <w:tcPr>
            <w:tcW w:w="7180" w:type="dxa"/>
            <w:vAlign w:val="bottom"/>
            <w:tcBorders>
              <w:right w:val="single" w:sz="8" w:color="auto"/>
            </w:tcBorders>
            <w:vMerge w:val="restart"/>
          </w:tcPr>
          <w:p>
            <w:pPr>
              <w:ind w:left="40"/>
              <w:spacing w:after="0"/>
              <w:rPr>
                <w:sz w:val="20"/>
                <w:szCs w:val="20"/>
                <w:color w:val="auto"/>
              </w:rPr>
            </w:pPr>
            <w:r>
              <w:rPr>
                <w:rFonts w:ascii="Arial" w:cs="Arial" w:eastAsia="Arial" w:hAnsi="Arial"/>
                <w:sz w:val="18"/>
                <w:szCs w:val="18"/>
                <w:color w:val="auto"/>
                <w:w w:val="93"/>
              </w:rPr>
              <w:t>Lida is responsible for 41% of ACMR 2019 sales and is owned by an undisclosed related party.</w:t>
            </w:r>
          </w:p>
        </w:tc>
        <w:tc>
          <w:tcPr>
            <w:tcW w:w="1320" w:type="dxa"/>
            <w:vAlign w:val="bottom"/>
            <w:tcBorders>
              <w:right w:val="single" w:sz="8" w:color="auto"/>
            </w:tcBorders>
          </w:tcPr>
          <w:p>
            <w:pPr>
              <w:spacing w:after="0"/>
              <w:rPr>
                <w:sz w:val="18"/>
                <w:szCs w:val="18"/>
                <w:color w:val="auto"/>
              </w:rPr>
            </w:pPr>
          </w:p>
        </w:tc>
        <w:tc>
          <w:tcPr>
            <w:tcW w:w="2020" w:type="dxa"/>
            <w:vAlign w:val="bottom"/>
            <w:tcBorders>
              <w:right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95"/>
        </w:trPr>
        <w:tc>
          <w:tcPr>
            <w:tcW w:w="720" w:type="dxa"/>
            <w:vAlign w:val="bottom"/>
            <w:tcBorders>
              <w:left w:val="single" w:sz="8" w:color="auto"/>
              <w:right w:val="single" w:sz="8" w:color="auto"/>
            </w:tcBorders>
            <w:vMerge w:val="restart"/>
          </w:tcPr>
          <w:p>
            <w:pPr>
              <w:jc w:val="right"/>
              <w:ind w:right="190"/>
              <w:spacing w:after="0"/>
              <w:rPr>
                <w:sz w:val="20"/>
                <w:szCs w:val="20"/>
                <w:color w:val="auto"/>
              </w:rPr>
            </w:pPr>
            <w:r>
              <w:rPr>
                <w:rFonts w:ascii="Arial" w:cs="Arial" w:eastAsia="Arial" w:hAnsi="Arial"/>
                <w:sz w:val="18"/>
                <w:szCs w:val="18"/>
                <w:color w:val="auto"/>
              </w:rPr>
              <w:t>13</w:t>
            </w:r>
          </w:p>
        </w:tc>
        <w:tc>
          <w:tcPr>
            <w:tcW w:w="7180" w:type="dxa"/>
            <w:vAlign w:val="bottom"/>
            <w:tcBorders>
              <w:right w:val="single" w:sz="8" w:color="auto"/>
            </w:tcBorders>
            <w:vMerge w:val="continue"/>
          </w:tcPr>
          <w:p>
            <w:pPr>
              <w:spacing w:after="0"/>
              <w:rPr>
                <w:sz w:val="16"/>
                <w:szCs w:val="16"/>
                <w:color w:val="auto"/>
              </w:rPr>
            </w:pPr>
          </w:p>
        </w:tc>
        <w:tc>
          <w:tcPr>
            <w:tcW w:w="13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89"/>
              </w:rPr>
              <w:t>18</w:t>
            </w:r>
          </w:p>
        </w:tc>
        <w:tc>
          <w:tcPr>
            <w:tcW w:w="2020" w:type="dxa"/>
            <w:vAlign w:val="bottom"/>
            <w:tcBorders>
              <w:right w:val="single" w:sz="8" w:color="auto"/>
            </w:tcBorders>
          </w:tcPr>
          <w:p>
            <w:pPr>
              <w:ind w:left="60"/>
              <w:spacing w:after="0" w:line="195" w:lineRule="exact"/>
              <w:rPr>
                <w:sz w:val="20"/>
                <w:szCs w:val="20"/>
                <w:color w:val="auto"/>
              </w:rPr>
            </w:pPr>
            <w:r>
              <w:rPr>
                <w:rFonts w:ascii="Arial" w:cs="Arial" w:eastAsia="Arial" w:hAnsi="Arial"/>
                <w:sz w:val="18"/>
                <w:szCs w:val="18"/>
                <w:color w:val="auto"/>
              </w:rPr>
              <w:t>About ACMR’s</w:t>
            </w:r>
          </w:p>
        </w:tc>
        <w:tc>
          <w:tcPr>
            <w:tcW w:w="0" w:type="dxa"/>
            <w:vAlign w:val="bottom"/>
          </w:tcPr>
          <w:p>
            <w:pPr>
              <w:spacing w:after="0"/>
              <w:rPr>
                <w:sz w:val="1"/>
                <w:szCs w:val="1"/>
                <w:color w:val="auto"/>
              </w:rPr>
            </w:pPr>
          </w:p>
        </w:tc>
      </w:tr>
      <w:tr>
        <w:trPr>
          <w:trHeight w:val="143"/>
        </w:trPr>
        <w:tc>
          <w:tcPr>
            <w:tcW w:w="720" w:type="dxa"/>
            <w:vAlign w:val="bottom"/>
            <w:tcBorders>
              <w:left w:val="single" w:sz="8" w:color="auto"/>
              <w:right w:val="single" w:sz="8" w:color="auto"/>
            </w:tcBorders>
            <w:vMerge w:val="continue"/>
          </w:tcPr>
          <w:p>
            <w:pPr>
              <w:spacing w:after="0"/>
              <w:rPr>
                <w:sz w:val="12"/>
                <w:szCs w:val="12"/>
                <w:color w:val="auto"/>
              </w:rPr>
            </w:pPr>
          </w:p>
        </w:tc>
        <w:tc>
          <w:tcPr>
            <w:tcW w:w="7180" w:type="dxa"/>
            <w:vAlign w:val="bottom"/>
            <w:tcBorders>
              <w:right w:val="single" w:sz="8" w:color="auto"/>
            </w:tcBorders>
            <w:vMerge w:val="restart"/>
          </w:tcPr>
          <w:p>
            <w:pPr>
              <w:ind w:left="40"/>
              <w:spacing w:after="0" w:line="237" w:lineRule="exact"/>
              <w:rPr>
                <w:sz w:val="20"/>
                <w:szCs w:val="20"/>
                <w:color w:val="auto"/>
              </w:rPr>
            </w:pPr>
            <w:r>
              <w:rPr>
                <w:rFonts w:ascii="Arial" w:cs="Arial" w:eastAsia="Arial" w:hAnsi="Arial"/>
                <w:sz w:val="18"/>
                <w:szCs w:val="18"/>
                <w:color w:val="auto"/>
                <w:w w:val="96"/>
              </w:rPr>
              <w:t xml:space="preserve">The </w:t>
            </w:r>
            <w:r>
              <w:rPr>
                <w:rFonts w:ascii="Arial" w:cs="Arial" w:eastAsia="Arial" w:hAnsi="Arial"/>
                <w:sz w:val="21"/>
                <w:szCs w:val="21"/>
                <w:color w:val="auto"/>
                <w:w w:val="96"/>
              </w:rPr>
              <w:t>¥</w:t>
            </w:r>
            <w:r>
              <w:rPr>
                <w:rFonts w:ascii="Arial" w:cs="Arial" w:eastAsia="Arial" w:hAnsi="Arial"/>
                <w:sz w:val="18"/>
                <w:szCs w:val="18"/>
                <w:color w:val="auto"/>
                <w:w w:val="96"/>
              </w:rPr>
              <w:t>15.26 mln commission that ACMR reported paying to Lida in 2019 represented 45% of</w:t>
            </w:r>
          </w:p>
        </w:tc>
        <w:tc>
          <w:tcPr>
            <w:tcW w:w="1320" w:type="dxa"/>
            <w:vAlign w:val="bottom"/>
            <w:tcBorders>
              <w:right w:val="single" w:sz="8" w:color="auto"/>
            </w:tcBorders>
            <w:vMerge w:val="continue"/>
          </w:tcPr>
          <w:p>
            <w:pPr>
              <w:spacing w:after="0"/>
              <w:rPr>
                <w:sz w:val="12"/>
                <w:szCs w:val="12"/>
                <w:color w:val="auto"/>
              </w:rPr>
            </w:pPr>
          </w:p>
        </w:tc>
        <w:tc>
          <w:tcPr>
            <w:tcW w:w="2020" w:type="dxa"/>
            <w:vAlign w:val="bottom"/>
            <w:tcBorders>
              <w:right w:val="single" w:sz="8" w:color="auto"/>
            </w:tcBorders>
            <w:vMerge w:val="restart"/>
          </w:tcPr>
          <w:p>
            <w:pPr>
              <w:ind w:left="60"/>
              <w:spacing w:after="0"/>
              <w:rPr>
                <w:sz w:val="20"/>
                <w:szCs w:val="20"/>
                <w:color w:val="auto"/>
              </w:rPr>
            </w:pPr>
            <w:r>
              <w:rPr>
                <w:rFonts w:ascii="Arial" w:cs="Arial" w:eastAsia="Arial" w:hAnsi="Arial"/>
                <w:sz w:val="18"/>
                <w:szCs w:val="18"/>
                <w:color w:val="auto"/>
              </w:rPr>
              <w:t>Information Disclosure</w:t>
            </w:r>
          </w:p>
        </w:tc>
        <w:tc>
          <w:tcPr>
            <w:tcW w:w="0" w:type="dxa"/>
            <w:vAlign w:val="bottom"/>
          </w:tcPr>
          <w:p>
            <w:pPr>
              <w:spacing w:after="0"/>
              <w:rPr>
                <w:sz w:val="1"/>
                <w:szCs w:val="1"/>
                <w:color w:val="auto"/>
              </w:rPr>
            </w:pPr>
          </w:p>
        </w:tc>
      </w:tr>
      <w:tr>
        <w:trPr>
          <w:trHeight w:val="94"/>
        </w:trPr>
        <w:tc>
          <w:tcPr>
            <w:tcW w:w="720" w:type="dxa"/>
            <w:vAlign w:val="bottom"/>
            <w:tcBorders>
              <w:left w:val="single" w:sz="8" w:color="auto"/>
              <w:right w:val="single" w:sz="8" w:color="auto"/>
            </w:tcBorders>
          </w:tcPr>
          <w:p>
            <w:pPr>
              <w:spacing w:after="0"/>
              <w:rPr>
                <w:sz w:val="8"/>
                <w:szCs w:val="8"/>
                <w:color w:val="auto"/>
              </w:rPr>
            </w:pPr>
          </w:p>
        </w:tc>
        <w:tc>
          <w:tcPr>
            <w:tcW w:w="7180" w:type="dxa"/>
            <w:vAlign w:val="bottom"/>
            <w:tcBorders>
              <w:right w:val="single" w:sz="8" w:color="auto"/>
            </w:tcBorders>
            <w:vMerge w:val="continue"/>
          </w:tcPr>
          <w:p>
            <w:pPr>
              <w:spacing w:after="0"/>
              <w:rPr>
                <w:sz w:val="8"/>
                <w:szCs w:val="8"/>
                <w:color w:val="auto"/>
              </w:rPr>
            </w:pPr>
          </w:p>
        </w:tc>
        <w:tc>
          <w:tcPr>
            <w:tcW w:w="1320" w:type="dxa"/>
            <w:vAlign w:val="bottom"/>
            <w:tcBorders>
              <w:right w:val="single" w:sz="8" w:color="auto"/>
            </w:tcBorders>
          </w:tcPr>
          <w:p>
            <w:pPr>
              <w:spacing w:after="0"/>
              <w:rPr>
                <w:sz w:val="8"/>
                <w:szCs w:val="8"/>
                <w:color w:val="auto"/>
              </w:rPr>
            </w:pPr>
          </w:p>
        </w:tc>
        <w:tc>
          <w:tcPr>
            <w:tcW w:w="2020" w:type="dxa"/>
            <w:vAlign w:val="bottom"/>
            <w:tcBorders>
              <w:right w:val="single" w:sz="8" w:color="auto"/>
            </w:tcBorders>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29"/>
        </w:trPr>
        <w:tc>
          <w:tcPr>
            <w:tcW w:w="720" w:type="dxa"/>
            <w:vAlign w:val="bottom"/>
            <w:tcBorders>
              <w:left w:val="single" w:sz="8" w:color="auto"/>
              <w:right w:val="single" w:sz="8" w:color="auto"/>
            </w:tcBorders>
          </w:tcPr>
          <w:p>
            <w:pPr>
              <w:spacing w:after="0"/>
              <w:rPr>
                <w:sz w:val="19"/>
                <w:szCs w:val="19"/>
                <w:color w:val="auto"/>
              </w:rPr>
            </w:pPr>
          </w:p>
        </w:tc>
        <w:tc>
          <w:tcPr>
            <w:tcW w:w="718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w w:val="95"/>
              </w:rPr>
              <w:t>Lida’s income.10 These facts are disclosed to the Chinese regulator in response to questions</w:t>
            </w:r>
          </w:p>
        </w:tc>
        <w:tc>
          <w:tcPr>
            <w:tcW w:w="1320" w:type="dxa"/>
            <w:vAlign w:val="bottom"/>
            <w:tcBorders>
              <w:right w:val="single" w:sz="8" w:color="auto"/>
            </w:tcBorders>
          </w:tcPr>
          <w:p>
            <w:pPr>
              <w:spacing w:after="0"/>
              <w:rPr>
                <w:sz w:val="19"/>
                <w:szCs w:val="19"/>
                <w:color w:val="auto"/>
              </w:rPr>
            </w:pPr>
          </w:p>
        </w:tc>
        <w:tc>
          <w:tcPr>
            <w:tcW w:w="202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on Agent</w:t>
            </w:r>
          </w:p>
        </w:tc>
        <w:tc>
          <w:tcPr>
            <w:tcW w:w="0" w:type="dxa"/>
            <w:vAlign w:val="bottom"/>
          </w:tcPr>
          <w:p>
            <w:pPr>
              <w:spacing w:after="0"/>
              <w:rPr>
                <w:sz w:val="1"/>
                <w:szCs w:val="1"/>
                <w:color w:val="auto"/>
              </w:rPr>
            </w:pPr>
          </w:p>
        </w:tc>
      </w:tr>
      <w:tr>
        <w:trPr>
          <w:trHeight w:val="230"/>
        </w:trPr>
        <w:tc>
          <w:tcPr>
            <w:tcW w:w="720" w:type="dxa"/>
            <w:vAlign w:val="bottom"/>
            <w:tcBorders>
              <w:left w:val="single" w:sz="8" w:color="auto"/>
              <w:right w:val="single" w:sz="8" w:color="auto"/>
            </w:tcBorders>
          </w:tcPr>
          <w:p>
            <w:pPr>
              <w:spacing w:after="0"/>
              <w:rPr>
                <w:sz w:val="20"/>
                <w:szCs w:val="20"/>
                <w:color w:val="auto"/>
              </w:rPr>
            </w:pPr>
          </w:p>
        </w:tc>
        <w:tc>
          <w:tcPr>
            <w:tcW w:w="718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w w:val="92"/>
              </w:rPr>
              <w:t>about the draft registration document. But the English-language 8K fails to mention these things.</w:t>
            </w:r>
          </w:p>
        </w:tc>
        <w:tc>
          <w:tcPr>
            <w:tcW w:w="1320" w:type="dxa"/>
            <w:vAlign w:val="bottom"/>
            <w:tcBorders>
              <w:right w:val="single" w:sz="8" w:color="auto"/>
            </w:tcBorders>
          </w:tcPr>
          <w:p>
            <w:pPr>
              <w:spacing w:after="0"/>
              <w:rPr>
                <w:sz w:val="20"/>
                <w:szCs w:val="20"/>
                <w:color w:val="auto"/>
              </w:rPr>
            </w:pPr>
          </w:p>
        </w:tc>
        <w:tc>
          <w:tcPr>
            <w:tcW w:w="20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77"/>
        </w:trPr>
        <w:tc>
          <w:tcPr>
            <w:tcW w:w="720" w:type="dxa"/>
            <w:vAlign w:val="bottom"/>
            <w:tcBorders>
              <w:left w:val="single" w:sz="8" w:color="auto"/>
              <w:bottom w:val="single" w:sz="8" w:color="auto"/>
              <w:right w:val="single" w:sz="8" w:color="auto"/>
            </w:tcBorders>
          </w:tcPr>
          <w:p>
            <w:pPr>
              <w:spacing w:after="0"/>
              <w:rPr>
                <w:sz w:val="24"/>
                <w:szCs w:val="24"/>
                <w:color w:val="auto"/>
              </w:rPr>
            </w:pPr>
          </w:p>
        </w:tc>
        <w:tc>
          <w:tcPr>
            <w:tcW w:w="7180" w:type="dxa"/>
            <w:vAlign w:val="bottom"/>
            <w:tcBorders>
              <w:bottom w:val="single" w:sz="8" w:color="auto"/>
              <w:right w:val="single" w:sz="8" w:color="auto"/>
            </w:tcBorders>
          </w:tcPr>
          <w:p>
            <w:pPr>
              <w:spacing w:after="0"/>
              <w:rPr>
                <w:sz w:val="24"/>
                <w:szCs w:val="24"/>
                <w:color w:val="auto"/>
              </w:rPr>
            </w:pPr>
          </w:p>
        </w:tc>
        <w:tc>
          <w:tcPr>
            <w:tcW w:w="1320" w:type="dxa"/>
            <w:vAlign w:val="bottom"/>
            <w:tcBorders>
              <w:bottom w:val="single" w:sz="8" w:color="auto"/>
              <w:right w:val="single" w:sz="8" w:color="auto"/>
            </w:tcBorders>
          </w:tcPr>
          <w:p>
            <w:pPr>
              <w:spacing w:after="0"/>
              <w:rPr>
                <w:sz w:val="24"/>
                <w:szCs w:val="24"/>
                <w:color w:val="auto"/>
              </w:rPr>
            </w:pPr>
          </w:p>
        </w:tc>
        <w:tc>
          <w:tcPr>
            <w:tcW w:w="202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56"/>
        </w:trPr>
        <w:tc>
          <w:tcPr>
            <w:tcW w:w="720" w:type="dxa"/>
            <w:vAlign w:val="bottom"/>
            <w:tcBorders>
              <w:left w:val="single" w:sz="8" w:color="auto"/>
              <w:right w:val="single" w:sz="8" w:color="auto"/>
            </w:tcBorders>
          </w:tcPr>
          <w:p>
            <w:pPr>
              <w:spacing w:after="0"/>
              <w:rPr>
                <w:sz w:val="22"/>
                <w:szCs w:val="22"/>
                <w:color w:val="auto"/>
              </w:rPr>
            </w:pPr>
          </w:p>
        </w:tc>
        <w:tc>
          <w:tcPr>
            <w:tcW w:w="718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w w:val="95"/>
              </w:rPr>
              <w:t>ACMR makes the ridiculous claim that Wang’s company, Shengyi Semiconductor Technology</w:t>
            </w:r>
          </w:p>
        </w:tc>
        <w:tc>
          <w:tcPr>
            <w:tcW w:w="1320" w:type="dxa"/>
            <w:vAlign w:val="bottom"/>
            <w:tcBorders>
              <w:right w:val="single" w:sz="8" w:color="auto"/>
            </w:tcBorders>
          </w:tcPr>
          <w:p>
            <w:pPr>
              <w:spacing w:after="0"/>
              <w:rPr>
                <w:sz w:val="22"/>
                <w:szCs w:val="22"/>
                <w:color w:val="auto"/>
              </w:rPr>
            </w:pPr>
          </w:p>
        </w:tc>
        <w:tc>
          <w:tcPr>
            <w:tcW w:w="202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16"/>
        </w:trPr>
        <w:tc>
          <w:tcPr>
            <w:tcW w:w="720" w:type="dxa"/>
            <w:vAlign w:val="bottom"/>
            <w:tcBorders>
              <w:left w:val="single" w:sz="8" w:color="auto"/>
              <w:right w:val="single" w:sz="8" w:color="auto"/>
            </w:tcBorders>
          </w:tcPr>
          <w:p>
            <w:pPr>
              <w:spacing w:after="0"/>
              <w:rPr>
                <w:sz w:val="18"/>
                <w:szCs w:val="18"/>
                <w:color w:val="auto"/>
              </w:rPr>
            </w:pPr>
          </w:p>
        </w:tc>
        <w:tc>
          <w:tcPr>
            <w:tcW w:w="718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w w:val="95"/>
              </w:rPr>
              <w:t>(Wuxi) Co., Ltd., sells them filters—a commodity product that is super abundant in China—for</w:t>
            </w:r>
          </w:p>
        </w:tc>
        <w:tc>
          <w:tcPr>
            <w:tcW w:w="1320" w:type="dxa"/>
            <w:vAlign w:val="bottom"/>
            <w:tcBorders>
              <w:right w:val="single" w:sz="8" w:color="auto"/>
            </w:tcBorders>
          </w:tcPr>
          <w:p>
            <w:pPr>
              <w:spacing w:after="0"/>
              <w:rPr>
                <w:sz w:val="18"/>
                <w:szCs w:val="18"/>
                <w:color w:val="auto"/>
              </w:rPr>
            </w:pPr>
          </w:p>
        </w:tc>
        <w:tc>
          <w:tcPr>
            <w:tcW w:w="202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20" w:type="dxa"/>
            <w:vAlign w:val="bottom"/>
            <w:tcBorders>
              <w:left w:val="single" w:sz="8" w:color="auto"/>
              <w:right w:val="single" w:sz="8" w:color="auto"/>
            </w:tcBorders>
          </w:tcPr>
          <w:p>
            <w:pPr>
              <w:spacing w:after="0"/>
              <w:rPr>
                <w:sz w:val="20"/>
                <w:szCs w:val="20"/>
                <w:color w:val="auto"/>
              </w:rPr>
            </w:pPr>
          </w:p>
        </w:tc>
        <w:tc>
          <w:tcPr>
            <w:tcW w:w="718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rPr>
              <w:t>62% less than competitors.</w:t>
            </w:r>
          </w:p>
        </w:tc>
        <w:tc>
          <w:tcPr>
            <w:tcW w:w="1320" w:type="dxa"/>
            <w:vAlign w:val="bottom"/>
            <w:tcBorders>
              <w:right w:val="single" w:sz="8" w:color="auto"/>
            </w:tcBorders>
          </w:tcPr>
          <w:p>
            <w:pPr>
              <w:spacing w:after="0"/>
              <w:rPr>
                <w:sz w:val="20"/>
                <w:szCs w:val="20"/>
                <w:color w:val="auto"/>
              </w:rPr>
            </w:pPr>
          </w:p>
        </w:tc>
        <w:tc>
          <w:tcPr>
            <w:tcW w:w="20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18"/>
        </w:trPr>
        <w:tc>
          <w:tcPr>
            <w:tcW w:w="720" w:type="dxa"/>
            <w:vAlign w:val="bottom"/>
            <w:tcBorders>
              <w:left w:val="single" w:sz="8" w:color="auto"/>
              <w:right w:val="single" w:sz="8" w:color="auto"/>
            </w:tcBorders>
          </w:tcPr>
          <w:p>
            <w:pPr>
              <w:spacing w:after="0"/>
              <w:rPr>
                <w:sz w:val="24"/>
                <w:szCs w:val="24"/>
                <w:color w:val="auto"/>
              </w:rPr>
            </w:pPr>
          </w:p>
        </w:tc>
        <w:tc>
          <w:tcPr>
            <w:tcW w:w="718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w w:val="92"/>
              </w:rPr>
              <w:t>Lida is currently a Hong Kong-registered company. Prior to 2018, the company was registered in</w:t>
            </w:r>
          </w:p>
        </w:tc>
        <w:tc>
          <w:tcPr>
            <w:tcW w:w="1320" w:type="dxa"/>
            <w:vAlign w:val="bottom"/>
            <w:tcBorders>
              <w:right w:val="single" w:sz="8" w:color="auto"/>
            </w:tcBorders>
          </w:tcPr>
          <w:p>
            <w:pPr>
              <w:spacing w:after="0"/>
              <w:rPr>
                <w:sz w:val="24"/>
                <w:szCs w:val="24"/>
                <w:color w:val="auto"/>
              </w:rPr>
            </w:pPr>
          </w:p>
        </w:tc>
        <w:tc>
          <w:tcPr>
            <w:tcW w:w="20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720" w:type="dxa"/>
            <w:vAlign w:val="bottom"/>
            <w:tcBorders>
              <w:left w:val="single" w:sz="8" w:color="auto"/>
              <w:right w:val="single" w:sz="8" w:color="auto"/>
            </w:tcBorders>
          </w:tcPr>
          <w:p>
            <w:pPr>
              <w:spacing w:after="0"/>
              <w:rPr>
                <w:sz w:val="18"/>
                <w:szCs w:val="18"/>
                <w:color w:val="auto"/>
              </w:rPr>
            </w:pPr>
          </w:p>
        </w:tc>
        <w:tc>
          <w:tcPr>
            <w:tcW w:w="718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w w:val="95"/>
              </w:rPr>
              <w:t>the U.K. Wang Beiyi owned one-thirds of the equity, and the other third belonged to someone</w:t>
            </w:r>
          </w:p>
        </w:tc>
        <w:tc>
          <w:tcPr>
            <w:tcW w:w="1320" w:type="dxa"/>
            <w:vAlign w:val="bottom"/>
            <w:tcBorders>
              <w:right w:val="single" w:sz="8" w:color="auto"/>
            </w:tcBorders>
          </w:tcPr>
          <w:p>
            <w:pPr>
              <w:spacing w:after="0"/>
              <w:rPr>
                <w:sz w:val="18"/>
                <w:szCs w:val="18"/>
                <w:color w:val="auto"/>
              </w:rPr>
            </w:pPr>
          </w:p>
        </w:tc>
        <w:tc>
          <w:tcPr>
            <w:tcW w:w="202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20" w:type="dxa"/>
            <w:vAlign w:val="bottom"/>
            <w:tcBorders>
              <w:left w:val="single" w:sz="8" w:color="auto"/>
              <w:right w:val="single" w:sz="8" w:color="auto"/>
            </w:tcBorders>
            <w:vMerge w:val="restart"/>
          </w:tcPr>
          <w:p>
            <w:pPr>
              <w:jc w:val="right"/>
              <w:ind w:right="190"/>
              <w:spacing w:after="0"/>
              <w:rPr>
                <w:sz w:val="20"/>
                <w:szCs w:val="20"/>
                <w:color w:val="auto"/>
              </w:rPr>
            </w:pPr>
            <w:r>
              <w:rPr>
                <w:rFonts w:ascii="Arial" w:cs="Arial" w:eastAsia="Arial" w:hAnsi="Arial"/>
                <w:sz w:val="18"/>
                <w:szCs w:val="18"/>
                <w:color w:val="auto"/>
              </w:rPr>
              <w:t>14</w:t>
            </w:r>
          </w:p>
        </w:tc>
        <w:tc>
          <w:tcPr>
            <w:tcW w:w="718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rPr>
              <w:t>with the same name as ACMR’s sales director, Liu Zheng.</w:t>
            </w:r>
          </w:p>
        </w:tc>
        <w:tc>
          <w:tcPr>
            <w:tcW w:w="13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1"/>
              </w:rPr>
              <w:t>18-21</w:t>
            </w:r>
          </w:p>
        </w:tc>
        <w:tc>
          <w:tcPr>
            <w:tcW w:w="2020" w:type="dxa"/>
            <w:vAlign w:val="bottom"/>
            <w:tcBorders>
              <w:right w:val="single" w:sz="8" w:color="auto"/>
            </w:tcBorders>
            <w:vMerge w:val="restart"/>
          </w:tcPr>
          <w:p>
            <w:pPr>
              <w:ind w:left="60"/>
              <w:spacing w:after="0"/>
              <w:rPr>
                <w:sz w:val="20"/>
                <w:szCs w:val="20"/>
                <w:color w:val="auto"/>
              </w:rPr>
            </w:pPr>
            <w:r>
              <w:rPr>
                <w:rFonts w:ascii="Arial" w:cs="Arial" w:eastAsia="Arial" w:hAnsi="Arial"/>
                <w:sz w:val="18"/>
                <w:szCs w:val="18"/>
                <w:color w:val="auto"/>
                <w:w w:val="97"/>
              </w:rPr>
              <w:t>Core Challenge 4: About</w:t>
            </w:r>
          </w:p>
        </w:tc>
        <w:tc>
          <w:tcPr>
            <w:tcW w:w="0" w:type="dxa"/>
            <w:vAlign w:val="bottom"/>
          </w:tcPr>
          <w:p>
            <w:pPr>
              <w:spacing w:after="0"/>
              <w:rPr>
                <w:sz w:val="1"/>
                <w:szCs w:val="1"/>
                <w:color w:val="auto"/>
              </w:rPr>
            </w:pPr>
          </w:p>
        </w:tc>
      </w:tr>
      <w:tr>
        <w:trPr>
          <w:trHeight w:val="94"/>
        </w:trPr>
        <w:tc>
          <w:tcPr>
            <w:tcW w:w="720" w:type="dxa"/>
            <w:vAlign w:val="bottom"/>
            <w:tcBorders>
              <w:left w:val="single" w:sz="8" w:color="auto"/>
              <w:right w:val="single" w:sz="8" w:color="auto"/>
            </w:tcBorders>
            <w:vMerge w:val="continue"/>
          </w:tcPr>
          <w:p>
            <w:pPr>
              <w:spacing w:after="0"/>
              <w:rPr>
                <w:sz w:val="8"/>
                <w:szCs w:val="8"/>
                <w:color w:val="auto"/>
              </w:rPr>
            </w:pPr>
          </w:p>
        </w:tc>
        <w:tc>
          <w:tcPr>
            <w:tcW w:w="7180" w:type="dxa"/>
            <w:vAlign w:val="bottom"/>
            <w:tcBorders>
              <w:right w:val="single" w:sz="8" w:color="auto"/>
            </w:tcBorders>
          </w:tcPr>
          <w:p>
            <w:pPr>
              <w:spacing w:after="0"/>
              <w:rPr>
                <w:sz w:val="8"/>
                <w:szCs w:val="8"/>
                <w:color w:val="auto"/>
              </w:rPr>
            </w:pPr>
          </w:p>
        </w:tc>
        <w:tc>
          <w:tcPr>
            <w:tcW w:w="1320" w:type="dxa"/>
            <w:vAlign w:val="bottom"/>
            <w:tcBorders>
              <w:right w:val="single" w:sz="8" w:color="auto"/>
            </w:tcBorders>
            <w:vMerge w:val="continue"/>
          </w:tcPr>
          <w:p>
            <w:pPr>
              <w:spacing w:after="0"/>
              <w:rPr>
                <w:sz w:val="8"/>
                <w:szCs w:val="8"/>
                <w:color w:val="auto"/>
              </w:rPr>
            </w:pPr>
          </w:p>
        </w:tc>
        <w:tc>
          <w:tcPr>
            <w:tcW w:w="2020" w:type="dxa"/>
            <w:vAlign w:val="bottom"/>
            <w:tcBorders>
              <w:right w:val="single" w:sz="8" w:color="auto"/>
            </w:tcBorders>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22"/>
        </w:trPr>
        <w:tc>
          <w:tcPr>
            <w:tcW w:w="720" w:type="dxa"/>
            <w:vAlign w:val="bottom"/>
            <w:tcBorders>
              <w:left w:val="single" w:sz="8" w:color="auto"/>
              <w:right w:val="single" w:sz="8" w:color="auto"/>
            </w:tcBorders>
            <w:vMerge w:val="continue"/>
          </w:tcPr>
          <w:p>
            <w:pPr>
              <w:spacing w:after="0"/>
              <w:rPr>
                <w:sz w:val="10"/>
                <w:szCs w:val="10"/>
                <w:color w:val="auto"/>
              </w:rPr>
            </w:pPr>
          </w:p>
        </w:tc>
        <w:tc>
          <w:tcPr>
            <w:tcW w:w="7180" w:type="dxa"/>
            <w:vAlign w:val="bottom"/>
            <w:tcBorders>
              <w:right w:val="single" w:sz="8" w:color="auto"/>
            </w:tcBorders>
            <w:vMerge w:val="restart"/>
          </w:tcPr>
          <w:p>
            <w:pPr>
              <w:ind w:left="40"/>
              <w:spacing w:after="0"/>
              <w:rPr>
                <w:sz w:val="20"/>
                <w:szCs w:val="20"/>
                <w:color w:val="auto"/>
              </w:rPr>
            </w:pPr>
            <w:r>
              <w:rPr>
                <w:rFonts w:ascii="Arial" w:cs="Arial" w:eastAsia="Arial" w:hAnsi="Arial"/>
                <w:sz w:val="18"/>
                <w:szCs w:val="18"/>
                <w:color w:val="auto"/>
                <w:w w:val="94"/>
              </w:rPr>
              <w:t>We think Lida Technology is skimming money from ACMR by booking some of the sales on its</w:t>
            </w:r>
          </w:p>
        </w:tc>
        <w:tc>
          <w:tcPr>
            <w:tcW w:w="1320" w:type="dxa"/>
            <w:vAlign w:val="bottom"/>
            <w:tcBorders>
              <w:right w:val="single" w:sz="8" w:color="auto"/>
            </w:tcBorders>
            <w:vMerge w:val="continue"/>
          </w:tcPr>
          <w:p>
            <w:pPr>
              <w:spacing w:after="0"/>
              <w:rPr>
                <w:sz w:val="10"/>
                <w:szCs w:val="10"/>
                <w:color w:val="auto"/>
              </w:rPr>
            </w:pPr>
          </w:p>
        </w:tc>
        <w:tc>
          <w:tcPr>
            <w:tcW w:w="2020" w:type="dxa"/>
            <w:vAlign w:val="bottom"/>
            <w:tcBorders>
              <w:right w:val="single" w:sz="8" w:color="auto"/>
            </w:tcBorders>
            <w:vMerge w:val="restart"/>
          </w:tcPr>
          <w:p>
            <w:pPr>
              <w:ind w:left="60"/>
              <w:spacing w:after="0"/>
              <w:rPr>
                <w:sz w:val="20"/>
                <w:szCs w:val="20"/>
                <w:color w:val="auto"/>
              </w:rPr>
            </w:pPr>
            <w:r>
              <w:rPr>
                <w:rFonts w:ascii="Arial" w:cs="Arial" w:eastAsia="Arial" w:hAnsi="Arial"/>
                <w:sz w:val="18"/>
                <w:szCs w:val="18"/>
                <w:color w:val="auto"/>
              </w:rPr>
              <w:t>LIDA</w:t>
            </w:r>
          </w:p>
        </w:tc>
        <w:tc>
          <w:tcPr>
            <w:tcW w:w="0" w:type="dxa"/>
            <w:vAlign w:val="bottom"/>
          </w:tcPr>
          <w:p>
            <w:pPr>
              <w:spacing w:after="0"/>
              <w:rPr>
                <w:sz w:val="1"/>
                <w:szCs w:val="1"/>
                <w:color w:val="auto"/>
              </w:rPr>
            </w:pPr>
          </w:p>
        </w:tc>
      </w:tr>
      <w:tr>
        <w:trPr>
          <w:trHeight w:val="108"/>
        </w:trPr>
        <w:tc>
          <w:tcPr>
            <w:tcW w:w="720" w:type="dxa"/>
            <w:vAlign w:val="bottom"/>
            <w:tcBorders>
              <w:left w:val="single" w:sz="8" w:color="auto"/>
              <w:right w:val="single" w:sz="8" w:color="auto"/>
            </w:tcBorders>
          </w:tcPr>
          <w:p>
            <w:pPr>
              <w:spacing w:after="0"/>
              <w:rPr>
                <w:sz w:val="9"/>
                <w:szCs w:val="9"/>
                <w:color w:val="auto"/>
              </w:rPr>
            </w:pPr>
          </w:p>
        </w:tc>
        <w:tc>
          <w:tcPr>
            <w:tcW w:w="7180" w:type="dxa"/>
            <w:vAlign w:val="bottom"/>
            <w:tcBorders>
              <w:right w:val="single" w:sz="8" w:color="auto"/>
            </w:tcBorders>
            <w:vMerge w:val="continue"/>
          </w:tcPr>
          <w:p>
            <w:pPr>
              <w:spacing w:after="0"/>
              <w:rPr>
                <w:sz w:val="9"/>
                <w:szCs w:val="9"/>
                <w:color w:val="auto"/>
              </w:rPr>
            </w:pPr>
          </w:p>
        </w:tc>
        <w:tc>
          <w:tcPr>
            <w:tcW w:w="1320" w:type="dxa"/>
            <w:vAlign w:val="bottom"/>
            <w:tcBorders>
              <w:right w:val="single" w:sz="8" w:color="auto"/>
            </w:tcBorders>
          </w:tcPr>
          <w:p>
            <w:pPr>
              <w:spacing w:after="0"/>
              <w:rPr>
                <w:sz w:val="9"/>
                <w:szCs w:val="9"/>
                <w:color w:val="auto"/>
              </w:rPr>
            </w:pPr>
          </w:p>
        </w:tc>
        <w:tc>
          <w:tcPr>
            <w:tcW w:w="2020" w:type="dxa"/>
            <w:vAlign w:val="bottom"/>
            <w:tcBorders>
              <w:right w:val="single" w:sz="8" w:color="auto"/>
            </w:tcBorders>
            <w:vMerge w:val="continue"/>
          </w:tcPr>
          <w:p>
            <w:pPr>
              <w:spacing w:after="0"/>
              <w:rPr>
                <w:sz w:val="9"/>
                <w:szCs w:val="9"/>
                <w:color w:val="auto"/>
              </w:rPr>
            </w:pPr>
          </w:p>
        </w:tc>
        <w:tc>
          <w:tcPr>
            <w:tcW w:w="0" w:type="dxa"/>
            <w:vAlign w:val="bottom"/>
          </w:tcPr>
          <w:p>
            <w:pPr>
              <w:spacing w:after="0"/>
              <w:rPr>
                <w:sz w:val="1"/>
                <w:szCs w:val="1"/>
                <w:color w:val="auto"/>
              </w:rPr>
            </w:pPr>
          </w:p>
        </w:tc>
      </w:tr>
      <w:tr>
        <w:trPr>
          <w:trHeight w:val="94"/>
        </w:trPr>
        <w:tc>
          <w:tcPr>
            <w:tcW w:w="720" w:type="dxa"/>
            <w:vAlign w:val="bottom"/>
            <w:tcBorders>
              <w:left w:val="single" w:sz="8" w:color="auto"/>
              <w:right w:val="single" w:sz="8" w:color="auto"/>
            </w:tcBorders>
          </w:tcPr>
          <w:p>
            <w:pPr>
              <w:spacing w:after="0"/>
              <w:rPr>
                <w:sz w:val="8"/>
                <w:szCs w:val="8"/>
                <w:color w:val="auto"/>
              </w:rPr>
            </w:pPr>
          </w:p>
        </w:tc>
        <w:tc>
          <w:tcPr>
            <w:tcW w:w="7180" w:type="dxa"/>
            <w:vAlign w:val="bottom"/>
            <w:tcBorders>
              <w:right w:val="single" w:sz="8" w:color="auto"/>
            </w:tcBorders>
            <w:vMerge w:val="continue"/>
          </w:tcPr>
          <w:p>
            <w:pPr>
              <w:spacing w:after="0"/>
              <w:rPr>
                <w:sz w:val="8"/>
                <w:szCs w:val="8"/>
                <w:color w:val="auto"/>
              </w:rPr>
            </w:pPr>
          </w:p>
        </w:tc>
        <w:tc>
          <w:tcPr>
            <w:tcW w:w="1320" w:type="dxa"/>
            <w:vAlign w:val="bottom"/>
            <w:tcBorders>
              <w:right w:val="single" w:sz="8" w:color="auto"/>
            </w:tcBorders>
          </w:tcPr>
          <w:p>
            <w:pPr>
              <w:spacing w:after="0"/>
              <w:rPr>
                <w:sz w:val="8"/>
                <w:szCs w:val="8"/>
                <w:color w:val="auto"/>
              </w:rPr>
            </w:pPr>
          </w:p>
        </w:tc>
        <w:tc>
          <w:tcPr>
            <w:tcW w:w="2020" w:type="dxa"/>
            <w:vAlign w:val="bottom"/>
            <w:tcBorders>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230"/>
        </w:trPr>
        <w:tc>
          <w:tcPr>
            <w:tcW w:w="720" w:type="dxa"/>
            <w:vAlign w:val="bottom"/>
            <w:tcBorders>
              <w:left w:val="single" w:sz="8" w:color="auto"/>
              <w:right w:val="single" w:sz="8" w:color="auto"/>
            </w:tcBorders>
          </w:tcPr>
          <w:p>
            <w:pPr>
              <w:spacing w:after="0"/>
              <w:rPr>
                <w:sz w:val="20"/>
                <w:szCs w:val="20"/>
                <w:color w:val="auto"/>
              </w:rPr>
            </w:pPr>
          </w:p>
        </w:tc>
        <w:tc>
          <w:tcPr>
            <w:tcW w:w="718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rPr>
              <w:t>own account instead of giving the revenue to ACMR.</w:t>
            </w:r>
          </w:p>
        </w:tc>
        <w:tc>
          <w:tcPr>
            <w:tcW w:w="1320" w:type="dxa"/>
            <w:vAlign w:val="bottom"/>
            <w:tcBorders>
              <w:right w:val="single" w:sz="8" w:color="auto"/>
            </w:tcBorders>
          </w:tcPr>
          <w:p>
            <w:pPr>
              <w:spacing w:after="0"/>
              <w:rPr>
                <w:sz w:val="20"/>
                <w:szCs w:val="20"/>
                <w:color w:val="auto"/>
              </w:rPr>
            </w:pPr>
          </w:p>
        </w:tc>
        <w:tc>
          <w:tcPr>
            <w:tcW w:w="20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18"/>
        </w:trPr>
        <w:tc>
          <w:tcPr>
            <w:tcW w:w="720" w:type="dxa"/>
            <w:vAlign w:val="bottom"/>
            <w:tcBorders>
              <w:left w:val="single" w:sz="8" w:color="auto"/>
              <w:right w:val="single" w:sz="8" w:color="auto"/>
            </w:tcBorders>
          </w:tcPr>
          <w:p>
            <w:pPr>
              <w:spacing w:after="0"/>
              <w:rPr>
                <w:sz w:val="24"/>
                <w:szCs w:val="24"/>
                <w:color w:val="auto"/>
              </w:rPr>
            </w:pPr>
          </w:p>
        </w:tc>
        <w:tc>
          <w:tcPr>
            <w:tcW w:w="718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rPr>
              <w:t>We interviewed several people involved with building and selling ACMR’s electroplating</w:t>
            </w:r>
          </w:p>
        </w:tc>
        <w:tc>
          <w:tcPr>
            <w:tcW w:w="1320" w:type="dxa"/>
            <w:vAlign w:val="bottom"/>
            <w:tcBorders>
              <w:right w:val="single" w:sz="8" w:color="auto"/>
            </w:tcBorders>
          </w:tcPr>
          <w:p>
            <w:pPr>
              <w:spacing w:after="0"/>
              <w:rPr>
                <w:sz w:val="24"/>
                <w:szCs w:val="24"/>
                <w:color w:val="auto"/>
              </w:rPr>
            </w:pPr>
          </w:p>
        </w:tc>
        <w:tc>
          <w:tcPr>
            <w:tcW w:w="20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720" w:type="dxa"/>
            <w:vAlign w:val="bottom"/>
            <w:tcBorders>
              <w:left w:val="single" w:sz="8" w:color="auto"/>
              <w:right w:val="single" w:sz="8" w:color="auto"/>
            </w:tcBorders>
          </w:tcPr>
          <w:p>
            <w:pPr>
              <w:spacing w:after="0"/>
              <w:rPr>
                <w:sz w:val="18"/>
                <w:szCs w:val="18"/>
                <w:color w:val="auto"/>
              </w:rPr>
            </w:pPr>
          </w:p>
        </w:tc>
        <w:tc>
          <w:tcPr>
            <w:tcW w:w="718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w w:val="97"/>
              </w:rPr>
              <w:t>devices, which are all sold by Lida. The interviewees gave us a clear count of how many the</w:t>
            </w:r>
          </w:p>
        </w:tc>
        <w:tc>
          <w:tcPr>
            <w:tcW w:w="1320" w:type="dxa"/>
            <w:vAlign w:val="bottom"/>
            <w:tcBorders>
              <w:right w:val="single" w:sz="8" w:color="auto"/>
            </w:tcBorders>
          </w:tcPr>
          <w:p>
            <w:pPr>
              <w:spacing w:after="0"/>
              <w:rPr>
                <w:sz w:val="18"/>
                <w:szCs w:val="18"/>
                <w:color w:val="auto"/>
              </w:rPr>
            </w:pPr>
          </w:p>
        </w:tc>
        <w:tc>
          <w:tcPr>
            <w:tcW w:w="202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20" w:type="dxa"/>
            <w:vAlign w:val="bottom"/>
            <w:tcBorders>
              <w:left w:val="single" w:sz="8" w:color="auto"/>
              <w:right w:val="single" w:sz="8" w:color="auto"/>
            </w:tcBorders>
          </w:tcPr>
          <w:p>
            <w:pPr>
              <w:spacing w:after="0"/>
              <w:rPr>
                <w:sz w:val="20"/>
                <w:szCs w:val="20"/>
                <w:color w:val="auto"/>
              </w:rPr>
            </w:pPr>
          </w:p>
        </w:tc>
        <w:tc>
          <w:tcPr>
            <w:tcW w:w="718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rPr>
              <w:t>company had produced in 2015-2019.</w:t>
            </w:r>
          </w:p>
        </w:tc>
        <w:tc>
          <w:tcPr>
            <w:tcW w:w="1320" w:type="dxa"/>
            <w:vAlign w:val="bottom"/>
            <w:tcBorders>
              <w:right w:val="single" w:sz="8" w:color="auto"/>
            </w:tcBorders>
          </w:tcPr>
          <w:p>
            <w:pPr>
              <w:spacing w:after="0"/>
              <w:rPr>
                <w:sz w:val="20"/>
                <w:szCs w:val="20"/>
                <w:color w:val="auto"/>
              </w:rPr>
            </w:pPr>
          </w:p>
        </w:tc>
        <w:tc>
          <w:tcPr>
            <w:tcW w:w="20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77"/>
        </w:trPr>
        <w:tc>
          <w:tcPr>
            <w:tcW w:w="720" w:type="dxa"/>
            <w:vAlign w:val="bottom"/>
            <w:tcBorders>
              <w:left w:val="single" w:sz="8" w:color="auto"/>
              <w:bottom w:val="single" w:sz="8" w:color="auto"/>
              <w:right w:val="single" w:sz="8" w:color="auto"/>
            </w:tcBorders>
          </w:tcPr>
          <w:p>
            <w:pPr>
              <w:spacing w:after="0"/>
              <w:rPr>
                <w:sz w:val="24"/>
                <w:szCs w:val="24"/>
                <w:color w:val="auto"/>
              </w:rPr>
            </w:pPr>
          </w:p>
        </w:tc>
        <w:tc>
          <w:tcPr>
            <w:tcW w:w="7180" w:type="dxa"/>
            <w:vAlign w:val="bottom"/>
            <w:tcBorders>
              <w:bottom w:val="single" w:sz="8" w:color="auto"/>
              <w:right w:val="single" w:sz="8" w:color="auto"/>
            </w:tcBorders>
          </w:tcPr>
          <w:p>
            <w:pPr>
              <w:spacing w:after="0"/>
              <w:rPr>
                <w:sz w:val="24"/>
                <w:szCs w:val="24"/>
                <w:color w:val="auto"/>
              </w:rPr>
            </w:pPr>
          </w:p>
        </w:tc>
        <w:tc>
          <w:tcPr>
            <w:tcW w:w="1320" w:type="dxa"/>
            <w:vAlign w:val="bottom"/>
            <w:tcBorders>
              <w:bottom w:val="single" w:sz="8" w:color="auto"/>
              <w:right w:val="single" w:sz="8" w:color="auto"/>
            </w:tcBorders>
          </w:tcPr>
          <w:p>
            <w:pPr>
              <w:spacing w:after="0"/>
              <w:rPr>
                <w:sz w:val="24"/>
                <w:szCs w:val="24"/>
                <w:color w:val="auto"/>
              </w:rPr>
            </w:pPr>
          </w:p>
        </w:tc>
        <w:tc>
          <w:tcPr>
            <w:tcW w:w="202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582"/>
        </w:trPr>
        <w:tc>
          <w:tcPr>
            <w:tcW w:w="720" w:type="dxa"/>
            <w:vAlign w:val="bottom"/>
          </w:tcPr>
          <w:p>
            <w:pPr>
              <w:spacing w:after="0"/>
              <w:rPr>
                <w:sz w:val="24"/>
                <w:szCs w:val="24"/>
                <w:color w:val="auto"/>
              </w:rPr>
            </w:pPr>
          </w:p>
        </w:tc>
        <w:tc>
          <w:tcPr>
            <w:tcW w:w="7180" w:type="dxa"/>
            <w:vAlign w:val="bottom"/>
          </w:tcPr>
          <w:p>
            <w:pPr>
              <w:ind w:left="4660"/>
              <w:spacing w:after="0"/>
              <w:rPr>
                <w:sz w:val="20"/>
                <w:szCs w:val="20"/>
                <w:color w:val="auto"/>
              </w:rPr>
            </w:pPr>
            <w:r>
              <w:rPr>
                <w:rFonts w:ascii="Arial" w:cs="Arial" w:eastAsia="Arial" w:hAnsi="Arial"/>
                <w:sz w:val="14"/>
                <w:szCs w:val="14"/>
                <w:color w:val="auto"/>
              </w:rPr>
              <w:t>8-4-1-10</w:t>
            </w:r>
          </w:p>
        </w:tc>
        <w:tc>
          <w:tcPr>
            <w:tcW w:w="1320" w:type="dxa"/>
            <w:vAlign w:val="bottom"/>
          </w:tcPr>
          <w:p>
            <w:pPr>
              <w:spacing w:after="0"/>
              <w:rPr>
                <w:sz w:val="24"/>
                <w:szCs w:val="24"/>
                <w:color w:val="auto"/>
              </w:rPr>
            </w:pPr>
          </w:p>
        </w:tc>
        <w:tc>
          <w:tcPr>
            <w:tcW w:w="2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6"/>
        </w:trPr>
        <w:tc>
          <w:tcPr>
            <w:tcW w:w="720" w:type="dxa"/>
            <w:vAlign w:val="bottom"/>
            <w:tcBorders>
              <w:bottom w:val="single" w:sz="8" w:color="auto"/>
            </w:tcBorders>
          </w:tcPr>
          <w:p>
            <w:pPr>
              <w:spacing w:after="0"/>
              <w:rPr>
                <w:sz w:val="4"/>
                <w:szCs w:val="4"/>
                <w:color w:val="auto"/>
              </w:rPr>
            </w:pPr>
          </w:p>
        </w:tc>
        <w:tc>
          <w:tcPr>
            <w:tcW w:w="7180" w:type="dxa"/>
            <w:vAlign w:val="bottom"/>
            <w:tcBorders>
              <w:bottom w:val="single" w:sz="8" w:color="auto"/>
            </w:tcBorders>
          </w:tcPr>
          <w:p>
            <w:pPr>
              <w:spacing w:after="0"/>
              <w:rPr>
                <w:sz w:val="4"/>
                <w:szCs w:val="4"/>
                <w:color w:val="auto"/>
              </w:rPr>
            </w:pPr>
          </w:p>
        </w:tc>
        <w:tc>
          <w:tcPr>
            <w:tcW w:w="1320" w:type="dxa"/>
            <w:vAlign w:val="bottom"/>
            <w:tcBorders>
              <w:bottom w:val="single" w:sz="8" w:color="auto"/>
            </w:tcBorders>
          </w:tcPr>
          <w:p>
            <w:pPr>
              <w:spacing w:after="0"/>
              <w:rPr>
                <w:sz w:val="4"/>
                <w:szCs w:val="4"/>
                <w:color w:val="auto"/>
              </w:rPr>
            </w:pPr>
          </w:p>
        </w:tc>
        <w:tc>
          <w:tcPr>
            <w:tcW w:w="202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120" w:right="339" w:bottom="1440" w:gutter="0" w:footer="0" w:header="0"/>
        </w:sectPr>
      </w:pPr>
    </w:p>
    <w:bookmarkStart w:id="14" w:name="page15"/>
    <w:bookmarkEnd w:id="14"/>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283"/>
        </w:trPr>
        <w:tc>
          <w:tcPr>
            <w:tcW w:w="720" w:type="dxa"/>
            <w:vAlign w:val="bottom"/>
            <w:tcBorders>
              <w:top w:val="single" w:sz="8" w:color="auto"/>
              <w:left w:val="single" w:sz="8" w:color="auto"/>
              <w:right w:val="single" w:sz="8" w:color="auto"/>
            </w:tcBorders>
          </w:tcPr>
          <w:p>
            <w:pPr>
              <w:spacing w:after="0"/>
              <w:rPr>
                <w:sz w:val="24"/>
                <w:szCs w:val="24"/>
                <w:color w:val="auto"/>
              </w:rPr>
            </w:pPr>
          </w:p>
        </w:tc>
        <w:tc>
          <w:tcPr>
            <w:tcW w:w="7180" w:type="dxa"/>
            <w:vAlign w:val="bottom"/>
            <w:tcBorders>
              <w:top w:val="single" w:sz="8" w:color="auto"/>
              <w:right w:val="single" w:sz="8" w:color="auto"/>
            </w:tcBorders>
            <w:vMerge w:val="restart"/>
          </w:tcPr>
          <w:p>
            <w:pPr>
              <w:ind w:left="40"/>
              <w:spacing w:after="0"/>
              <w:rPr>
                <w:sz w:val="20"/>
                <w:szCs w:val="20"/>
                <w:color w:val="auto"/>
              </w:rPr>
            </w:pPr>
            <w:r>
              <w:rPr>
                <w:rFonts w:ascii="Arial" w:cs="Arial" w:eastAsia="Arial" w:hAnsi="Arial"/>
                <w:sz w:val="18"/>
                <w:szCs w:val="18"/>
                <w:color w:val="auto"/>
              </w:rPr>
              <w:t>ACMR reported making far fewer electroplating machines indicated in interviews with two</w:t>
            </w:r>
          </w:p>
        </w:tc>
        <w:tc>
          <w:tcPr>
            <w:tcW w:w="1320" w:type="dxa"/>
            <w:vAlign w:val="bottom"/>
            <w:tcBorders>
              <w:top w:val="single" w:sz="8" w:color="auto"/>
              <w:right w:val="single" w:sz="8" w:color="auto"/>
            </w:tcBorders>
          </w:tcPr>
          <w:p>
            <w:pPr>
              <w:spacing w:after="0"/>
              <w:rPr>
                <w:sz w:val="24"/>
                <w:szCs w:val="24"/>
                <w:color w:val="auto"/>
              </w:rPr>
            </w:pPr>
          </w:p>
        </w:tc>
        <w:tc>
          <w:tcPr>
            <w:tcW w:w="2020" w:type="dxa"/>
            <w:vAlign w:val="bottom"/>
            <w:tcBorders>
              <w:top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Other Challenge 12:</w:t>
            </w:r>
          </w:p>
        </w:tc>
        <w:tc>
          <w:tcPr>
            <w:tcW w:w="0" w:type="dxa"/>
            <w:vAlign w:val="bottom"/>
          </w:tcPr>
          <w:p>
            <w:pPr>
              <w:spacing w:after="0"/>
              <w:rPr>
                <w:sz w:val="1"/>
                <w:szCs w:val="1"/>
                <w:color w:val="auto"/>
              </w:rPr>
            </w:pPr>
          </w:p>
        </w:tc>
      </w:tr>
      <w:tr>
        <w:trPr>
          <w:trHeight w:val="108"/>
        </w:trPr>
        <w:tc>
          <w:tcPr>
            <w:tcW w:w="720" w:type="dxa"/>
            <w:vAlign w:val="bottom"/>
            <w:tcBorders>
              <w:left w:val="single" w:sz="8" w:color="auto"/>
              <w:right w:val="single" w:sz="8" w:color="auto"/>
            </w:tcBorders>
            <w:vMerge w:val="restart"/>
          </w:tcPr>
          <w:p>
            <w:pPr>
              <w:jc w:val="right"/>
              <w:ind w:right="190"/>
              <w:spacing w:after="0"/>
              <w:rPr>
                <w:sz w:val="20"/>
                <w:szCs w:val="20"/>
                <w:color w:val="auto"/>
              </w:rPr>
            </w:pPr>
            <w:r>
              <w:rPr>
                <w:rFonts w:ascii="Arial" w:cs="Arial" w:eastAsia="Arial" w:hAnsi="Arial"/>
                <w:sz w:val="18"/>
                <w:szCs w:val="18"/>
                <w:color w:val="auto"/>
              </w:rPr>
              <w:t>15</w:t>
            </w:r>
          </w:p>
        </w:tc>
        <w:tc>
          <w:tcPr>
            <w:tcW w:w="7180" w:type="dxa"/>
            <w:vAlign w:val="bottom"/>
            <w:tcBorders>
              <w:right w:val="single" w:sz="8" w:color="auto"/>
            </w:tcBorders>
            <w:vMerge w:val="continue"/>
          </w:tcPr>
          <w:p>
            <w:pPr>
              <w:spacing w:after="0"/>
              <w:rPr>
                <w:sz w:val="9"/>
                <w:szCs w:val="9"/>
                <w:color w:val="auto"/>
              </w:rPr>
            </w:pPr>
          </w:p>
        </w:tc>
        <w:tc>
          <w:tcPr>
            <w:tcW w:w="1320" w:type="dxa"/>
            <w:vAlign w:val="bottom"/>
            <w:tcBorders>
              <w:right w:val="single" w:sz="8" w:color="auto"/>
            </w:tcBorders>
            <w:vMerge w:val="restart"/>
          </w:tcPr>
          <w:p>
            <w:pPr>
              <w:jc w:val="right"/>
              <w:ind w:right="490"/>
              <w:spacing w:after="0"/>
              <w:rPr>
                <w:sz w:val="20"/>
                <w:szCs w:val="20"/>
                <w:color w:val="auto"/>
              </w:rPr>
            </w:pPr>
            <w:r>
              <w:rPr>
                <w:rFonts w:ascii="Arial" w:cs="Arial" w:eastAsia="Arial" w:hAnsi="Arial"/>
                <w:sz w:val="18"/>
                <w:szCs w:val="18"/>
                <w:color w:val="auto"/>
              </w:rPr>
              <w:t>21</w:t>
            </w:r>
          </w:p>
        </w:tc>
        <w:tc>
          <w:tcPr>
            <w:tcW w:w="2020" w:type="dxa"/>
            <w:vAlign w:val="bottom"/>
            <w:tcBorders>
              <w:right w:val="single" w:sz="8" w:color="auto"/>
            </w:tcBorders>
            <w:vMerge w:val="restart"/>
          </w:tcPr>
          <w:p>
            <w:pPr>
              <w:ind w:left="60"/>
              <w:spacing w:after="0"/>
              <w:rPr>
                <w:sz w:val="20"/>
                <w:szCs w:val="20"/>
                <w:color w:val="auto"/>
              </w:rPr>
            </w:pPr>
            <w:r>
              <w:rPr>
                <w:rFonts w:ascii="Arial" w:cs="Arial" w:eastAsia="Arial" w:hAnsi="Arial"/>
                <w:sz w:val="18"/>
                <w:szCs w:val="18"/>
                <w:color w:val="auto"/>
              </w:rPr>
              <w:t>About Sales Quantity of</w:t>
            </w:r>
          </w:p>
        </w:tc>
        <w:tc>
          <w:tcPr>
            <w:tcW w:w="0" w:type="dxa"/>
            <w:vAlign w:val="bottom"/>
          </w:tcPr>
          <w:p>
            <w:pPr>
              <w:spacing w:after="0"/>
              <w:rPr>
                <w:sz w:val="1"/>
                <w:szCs w:val="1"/>
                <w:color w:val="auto"/>
              </w:rPr>
            </w:pPr>
          </w:p>
        </w:tc>
      </w:tr>
      <w:tr>
        <w:trPr>
          <w:trHeight w:val="108"/>
        </w:trPr>
        <w:tc>
          <w:tcPr>
            <w:tcW w:w="720" w:type="dxa"/>
            <w:vAlign w:val="bottom"/>
            <w:tcBorders>
              <w:left w:val="single" w:sz="8" w:color="auto"/>
              <w:right w:val="single" w:sz="8" w:color="auto"/>
            </w:tcBorders>
            <w:vMerge w:val="continue"/>
          </w:tcPr>
          <w:p>
            <w:pPr>
              <w:spacing w:after="0"/>
              <w:rPr>
                <w:sz w:val="9"/>
                <w:szCs w:val="9"/>
                <w:color w:val="auto"/>
              </w:rPr>
            </w:pPr>
          </w:p>
        </w:tc>
        <w:tc>
          <w:tcPr>
            <w:tcW w:w="7180" w:type="dxa"/>
            <w:vAlign w:val="bottom"/>
            <w:tcBorders>
              <w:right w:val="single" w:sz="8" w:color="auto"/>
            </w:tcBorders>
            <w:vMerge w:val="restart"/>
          </w:tcPr>
          <w:p>
            <w:pPr>
              <w:ind w:left="40"/>
              <w:spacing w:after="0"/>
              <w:rPr>
                <w:sz w:val="20"/>
                <w:szCs w:val="20"/>
                <w:color w:val="auto"/>
              </w:rPr>
            </w:pPr>
            <w:r>
              <w:rPr>
                <w:rFonts w:ascii="Arial" w:cs="Arial" w:eastAsia="Arial" w:hAnsi="Arial"/>
                <w:sz w:val="18"/>
                <w:szCs w:val="18"/>
                <w:color w:val="auto"/>
              </w:rPr>
              <w:t>former executives with direct knowledge of the electroplating operation.</w:t>
            </w:r>
          </w:p>
        </w:tc>
        <w:tc>
          <w:tcPr>
            <w:tcW w:w="1320" w:type="dxa"/>
            <w:vAlign w:val="bottom"/>
            <w:tcBorders>
              <w:right w:val="single" w:sz="8" w:color="auto"/>
            </w:tcBorders>
            <w:vMerge w:val="continue"/>
          </w:tcPr>
          <w:p>
            <w:pPr>
              <w:spacing w:after="0"/>
              <w:rPr>
                <w:sz w:val="9"/>
                <w:szCs w:val="9"/>
                <w:color w:val="auto"/>
              </w:rPr>
            </w:pPr>
          </w:p>
        </w:tc>
        <w:tc>
          <w:tcPr>
            <w:tcW w:w="2020" w:type="dxa"/>
            <w:vAlign w:val="bottom"/>
            <w:tcBorders>
              <w:right w:val="single" w:sz="8" w:color="auto"/>
            </w:tcBorders>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22"/>
        </w:trPr>
        <w:tc>
          <w:tcPr>
            <w:tcW w:w="720" w:type="dxa"/>
            <w:vAlign w:val="bottom"/>
            <w:tcBorders>
              <w:left w:val="single" w:sz="8" w:color="auto"/>
              <w:right w:val="single" w:sz="8" w:color="auto"/>
            </w:tcBorders>
          </w:tcPr>
          <w:p>
            <w:pPr>
              <w:spacing w:after="0"/>
              <w:rPr>
                <w:sz w:val="10"/>
                <w:szCs w:val="10"/>
                <w:color w:val="auto"/>
              </w:rPr>
            </w:pPr>
          </w:p>
        </w:tc>
        <w:tc>
          <w:tcPr>
            <w:tcW w:w="7180" w:type="dxa"/>
            <w:vAlign w:val="bottom"/>
            <w:tcBorders>
              <w:right w:val="single" w:sz="8" w:color="auto"/>
            </w:tcBorders>
            <w:vMerge w:val="continue"/>
          </w:tcPr>
          <w:p>
            <w:pPr>
              <w:spacing w:after="0"/>
              <w:rPr>
                <w:sz w:val="10"/>
                <w:szCs w:val="10"/>
                <w:color w:val="auto"/>
              </w:rPr>
            </w:pPr>
          </w:p>
        </w:tc>
        <w:tc>
          <w:tcPr>
            <w:tcW w:w="1320" w:type="dxa"/>
            <w:vAlign w:val="bottom"/>
            <w:tcBorders>
              <w:right w:val="single" w:sz="8" w:color="auto"/>
            </w:tcBorders>
          </w:tcPr>
          <w:p>
            <w:pPr>
              <w:spacing w:after="0"/>
              <w:rPr>
                <w:sz w:val="10"/>
                <w:szCs w:val="10"/>
                <w:color w:val="auto"/>
              </w:rPr>
            </w:pPr>
          </w:p>
        </w:tc>
        <w:tc>
          <w:tcPr>
            <w:tcW w:w="2020" w:type="dxa"/>
            <w:vAlign w:val="bottom"/>
            <w:tcBorders>
              <w:right w:val="single" w:sz="8" w:color="auto"/>
            </w:tcBorders>
            <w:vMerge w:val="restart"/>
          </w:tcPr>
          <w:p>
            <w:pPr>
              <w:ind w:left="60"/>
              <w:spacing w:after="0"/>
              <w:rPr>
                <w:sz w:val="20"/>
                <w:szCs w:val="20"/>
                <w:color w:val="auto"/>
              </w:rPr>
            </w:pPr>
            <w:r>
              <w:rPr>
                <w:rFonts w:ascii="Arial" w:cs="Arial" w:eastAsia="Arial" w:hAnsi="Arial"/>
                <w:sz w:val="18"/>
                <w:szCs w:val="18"/>
                <w:color w:val="auto"/>
                <w:w w:val="95"/>
              </w:rPr>
              <w:t>Electroplating Equipment</w:t>
            </w:r>
          </w:p>
        </w:tc>
        <w:tc>
          <w:tcPr>
            <w:tcW w:w="0" w:type="dxa"/>
            <w:vAlign w:val="bottom"/>
          </w:tcPr>
          <w:p>
            <w:pPr>
              <w:spacing w:after="0"/>
              <w:rPr>
                <w:sz w:val="1"/>
                <w:szCs w:val="1"/>
                <w:color w:val="auto"/>
              </w:rPr>
            </w:pPr>
          </w:p>
        </w:tc>
      </w:tr>
      <w:tr>
        <w:trPr>
          <w:trHeight w:val="108"/>
        </w:trPr>
        <w:tc>
          <w:tcPr>
            <w:tcW w:w="720" w:type="dxa"/>
            <w:vAlign w:val="bottom"/>
            <w:tcBorders>
              <w:left w:val="single" w:sz="8" w:color="auto"/>
              <w:right w:val="single" w:sz="8" w:color="auto"/>
            </w:tcBorders>
          </w:tcPr>
          <w:p>
            <w:pPr>
              <w:spacing w:after="0"/>
              <w:rPr>
                <w:sz w:val="9"/>
                <w:szCs w:val="9"/>
                <w:color w:val="auto"/>
              </w:rPr>
            </w:pPr>
          </w:p>
        </w:tc>
        <w:tc>
          <w:tcPr>
            <w:tcW w:w="7180" w:type="dxa"/>
            <w:vAlign w:val="bottom"/>
            <w:tcBorders>
              <w:right w:val="single" w:sz="8" w:color="auto"/>
            </w:tcBorders>
          </w:tcPr>
          <w:p>
            <w:pPr>
              <w:spacing w:after="0"/>
              <w:rPr>
                <w:sz w:val="9"/>
                <w:szCs w:val="9"/>
                <w:color w:val="auto"/>
              </w:rPr>
            </w:pPr>
          </w:p>
        </w:tc>
        <w:tc>
          <w:tcPr>
            <w:tcW w:w="1320" w:type="dxa"/>
            <w:vAlign w:val="bottom"/>
            <w:tcBorders>
              <w:right w:val="single" w:sz="8" w:color="auto"/>
            </w:tcBorders>
          </w:tcPr>
          <w:p>
            <w:pPr>
              <w:spacing w:after="0"/>
              <w:rPr>
                <w:sz w:val="9"/>
                <w:szCs w:val="9"/>
                <w:color w:val="auto"/>
              </w:rPr>
            </w:pPr>
          </w:p>
        </w:tc>
        <w:tc>
          <w:tcPr>
            <w:tcW w:w="2020" w:type="dxa"/>
            <w:vAlign w:val="bottom"/>
            <w:tcBorders>
              <w:right w:val="single" w:sz="8" w:color="auto"/>
            </w:tcBorders>
            <w:vMerge w:val="continue"/>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720" w:type="dxa"/>
            <w:vAlign w:val="bottom"/>
            <w:tcBorders>
              <w:left w:val="single" w:sz="8" w:color="auto"/>
              <w:bottom w:val="single" w:sz="8" w:color="auto"/>
              <w:right w:val="single" w:sz="8" w:color="auto"/>
            </w:tcBorders>
          </w:tcPr>
          <w:p>
            <w:pPr>
              <w:spacing w:after="0"/>
              <w:rPr>
                <w:sz w:val="5"/>
                <w:szCs w:val="5"/>
                <w:color w:val="auto"/>
              </w:rPr>
            </w:pPr>
          </w:p>
        </w:tc>
        <w:tc>
          <w:tcPr>
            <w:tcW w:w="7180" w:type="dxa"/>
            <w:vAlign w:val="bottom"/>
            <w:tcBorders>
              <w:bottom w:val="single" w:sz="8" w:color="auto"/>
              <w:right w:val="single" w:sz="8" w:color="auto"/>
            </w:tcBorders>
          </w:tcPr>
          <w:p>
            <w:pPr>
              <w:spacing w:after="0"/>
              <w:rPr>
                <w:sz w:val="5"/>
                <w:szCs w:val="5"/>
                <w:color w:val="auto"/>
              </w:rPr>
            </w:pPr>
          </w:p>
        </w:tc>
        <w:tc>
          <w:tcPr>
            <w:tcW w:w="1320" w:type="dxa"/>
            <w:vAlign w:val="bottom"/>
            <w:tcBorders>
              <w:bottom w:val="single" w:sz="8" w:color="auto"/>
              <w:right w:val="single" w:sz="8" w:color="auto"/>
            </w:tcBorders>
          </w:tcPr>
          <w:p>
            <w:pPr>
              <w:spacing w:after="0"/>
              <w:rPr>
                <w:sz w:val="5"/>
                <w:szCs w:val="5"/>
                <w:color w:val="auto"/>
              </w:rPr>
            </w:pPr>
          </w:p>
        </w:tc>
        <w:tc>
          <w:tcPr>
            <w:tcW w:w="2020" w:type="dxa"/>
            <w:vAlign w:val="bottom"/>
            <w:tcBorders>
              <w:bottom w:val="single" w:sz="8" w:color="auto"/>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56"/>
        </w:trPr>
        <w:tc>
          <w:tcPr>
            <w:tcW w:w="720" w:type="dxa"/>
            <w:vAlign w:val="bottom"/>
            <w:tcBorders>
              <w:left w:val="single" w:sz="8" w:color="auto"/>
              <w:right w:val="single" w:sz="8" w:color="auto"/>
            </w:tcBorders>
            <w:vMerge w:val="restart"/>
          </w:tcPr>
          <w:p>
            <w:pPr>
              <w:jc w:val="right"/>
              <w:ind w:right="190"/>
              <w:spacing w:after="0"/>
              <w:rPr>
                <w:sz w:val="20"/>
                <w:szCs w:val="20"/>
                <w:color w:val="auto"/>
              </w:rPr>
            </w:pPr>
            <w:r>
              <w:rPr>
                <w:rFonts w:ascii="Arial" w:cs="Arial" w:eastAsia="Arial" w:hAnsi="Arial"/>
                <w:sz w:val="18"/>
                <w:szCs w:val="18"/>
                <w:color w:val="auto"/>
              </w:rPr>
              <w:t>16</w:t>
            </w:r>
          </w:p>
        </w:tc>
        <w:tc>
          <w:tcPr>
            <w:tcW w:w="718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rPr>
              <w:t>“Hanwool, which ACMR claims is “not dependent” on the company.”</w:t>
            </w:r>
          </w:p>
        </w:tc>
        <w:tc>
          <w:tcPr>
            <w:tcW w:w="1320" w:type="dxa"/>
            <w:vAlign w:val="bottom"/>
            <w:tcBorders>
              <w:right w:val="single" w:sz="8" w:color="auto"/>
            </w:tcBorders>
            <w:vMerge w:val="restart"/>
          </w:tcPr>
          <w:p>
            <w:pPr>
              <w:jc w:val="right"/>
              <w:ind w:right="490"/>
              <w:spacing w:after="0"/>
              <w:rPr>
                <w:sz w:val="20"/>
                <w:szCs w:val="20"/>
                <w:color w:val="auto"/>
              </w:rPr>
            </w:pPr>
            <w:r>
              <w:rPr>
                <w:rFonts w:ascii="Arial" w:cs="Arial" w:eastAsia="Arial" w:hAnsi="Arial"/>
                <w:sz w:val="18"/>
                <w:szCs w:val="18"/>
                <w:color w:val="auto"/>
              </w:rPr>
              <w:t>22</w:t>
            </w:r>
          </w:p>
        </w:tc>
        <w:tc>
          <w:tcPr>
            <w:tcW w:w="202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w w:val="94"/>
              </w:rPr>
              <w:t>Other Challenge 6: About</w:t>
            </w:r>
          </w:p>
        </w:tc>
        <w:tc>
          <w:tcPr>
            <w:tcW w:w="0" w:type="dxa"/>
            <w:vAlign w:val="bottom"/>
          </w:tcPr>
          <w:p>
            <w:pPr>
              <w:spacing w:after="0"/>
              <w:rPr>
                <w:sz w:val="1"/>
                <w:szCs w:val="1"/>
                <w:color w:val="auto"/>
              </w:rPr>
            </w:pPr>
          </w:p>
        </w:tc>
      </w:tr>
      <w:tr>
        <w:trPr>
          <w:trHeight w:val="122"/>
        </w:trPr>
        <w:tc>
          <w:tcPr>
            <w:tcW w:w="720" w:type="dxa"/>
            <w:vAlign w:val="bottom"/>
            <w:tcBorders>
              <w:left w:val="single" w:sz="8" w:color="auto"/>
              <w:right w:val="single" w:sz="8" w:color="auto"/>
            </w:tcBorders>
            <w:vMerge w:val="continue"/>
          </w:tcPr>
          <w:p>
            <w:pPr>
              <w:spacing w:after="0"/>
              <w:rPr>
                <w:sz w:val="10"/>
                <w:szCs w:val="10"/>
                <w:color w:val="auto"/>
              </w:rPr>
            </w:pPr>
          </w:p>
        </w:tc>
        <w:tc>
          <w:tcPr>
            <w:tcW w:w="7180" w:type="dxa"/>
            <w:vAlign w:val="bottom"/>
            <w:tcBorders>
              <w:right w:val="single" w:sz="8" w:color="auto"/>
            </w:tcBorders>
          </w:tcPr>
          <w:p>
            <w:pPr>
              <w:spacing w:after="0"/>
              <w:rPr>
                <w:sz w:val="10"/>
                <w:szCs w:val="10"/>
                <w:color w:val="auto"/>
              </w:rPr>
            </w:pPr>
          </w:p>
        </w:tc>
        <w:tc>
          <w:tcPr>
            <w:tcW w:w="1320" w:type="dxa"/>
            <w:vAlign w:val="bottom"/>
            <w:tcBorders>
              <w:right w:val="single" w:sz="8" w:color="auto"/>
            </w:tcBorders>
            <w:vMerge w:val="continue"/>
          </w:tcPr>
          <w:p>
            <w:pPr>
              <w:spacing w:after="0"/>
              <w:rPr>
                <w:sz w:val="10"/>
                <w:szCs w:val="10"/>
                <w:color w:val="auto"/>
              </w:rPr>
            </w:pPr>
          </w:p>
        </w:tc>
        <w:tc>
          <w:tcPr>
            <w:tcW w:w="2020" w:type="dxa"/>
            <w:vAlign w:val="bottom"/>
            <w:tcBorders>
              <w:right w:val="single" w:sz="8" w:color="auto"/>
            </w:tcBorders>
            <w:vMerge w:val="restart"/>
          </w:tcPr>
          <w:p>
            <w:pPr>
              <w:ind w:left="60"/>
              <w:spacing w:after="0"/>
              <w:rPr>
                <w:sz w:val="20"/>
                <w:szCs w:val="20"/>
                <w:color w:val="auto"/>
              </w:rPr>
            </w:pPr>
            <w:r>
              <w:rPr>
                <w:rFonts w:ascii="Arial" w:cs="Arial" w:eastAsia="Arial" w:hAnsi="Arial"/>
                <w:sz w:val="18"/>
                <w:szCs w:val="18"/>
                <w:color w:val="auto"/>
              </w:rPr>
              <w:t>Hanwool</w:t>
            </w:r>
          </w:p>
        </w:tc>
        <w:tc>
          <w:tcPr>
            <w:tcW w:w="0" w:type="dxa"/>
            <w:vAlign w:val="bottom"/>
          </w:tcPr>
          <w:p>
            <w:pPr>
              <w:spacing w:after="0"/>
              <w:rPr>
                <w:sz w:val="1"/>
                <w:szCs w:val="1"/>
                <w:color w:val="auto"/>
              </w:rPr>
            </w:pPr>
          </w:p>
        </w:tc>
      </w:tr>
      <w:tr>
        <w:trPr>
          <w:trHeight w:val="108"/>
        </w:trPr>
        <w:tc>
          <w:tcPr>
            <w:tcW w:w="720" w:type="dxa"/>
            <w:vAlign w:val="bottom"/>
            <w:tcBorders>
              <w:left w:val="single" w:sz="8" w:color="auto"/>
              <w:right w:val="single" w:sz="8" w:color="auto"/>
            </w:tcBorders>
          </w:tcPr>
          <w:p>
            <w:pPr>
              <w:spacing w:after="0"/>
              <w:rPr>
                <w:sz w:val="9"/>
                <w:szCs w:val="9"/>
                <w:color w:val="auto"/>
              </w:rPr>
            </w:pPr>
          </w:p>
        </w:tc>
        <w:tc>
          <w:tcPr>
            <w:tcW w:w="7180" w:type="dxa"/>
            <w:vAlign w:val="bottom"/>
            <w:tcBorders>
              <w:right w:val="single" w:sz="8" w:color="auto"/>
            </w:tcBorders>
          </w:tcPr>
          <w:p>
            <w:pPr>
              <w:spacing w:after="0"/>
              <w:rPr>
                <w:sz w:val="9"/>
                <w:szCs w:val="9"/>
                <w:color w:val="auto"/>
              </w:rPr>
            </w:pPr>
          </w:p>
        </w:tc>
        <w:tc>
          <w:tcPr>
            <w:tcW w:w="1320" w:type="dxa"/>
            <w:vAlign w:val="bottom"/>
            <w:tcBorders>
              <w:right w:val="single" w:sz="8" w:color="auto"/>
            </w:tcBorders>
          </w:tcPr>
          <w:p>
            <w:pPr>
              <w:spacing w:after="0"/>
              <w:rPr>
                <w:sz w:val="9"/>
                <w:szCs w:val="9"/>
                <w:color w:val="auto"/>
              </w:rPr>
            </w:pPr>
          </w:p>
        </w:tc>
        <w:tc>
          <w:tcPr>
            <w:tcW w:w="2020" w:type="dxa"/>
            <w:vAlign w:val="bottom"/>
            <w:tcBorders>
              <w:right w:val="single" w:sz="8" w:color="auto"/>
            </w:tcBorders>
            <w:vMerge w:val="continue"/>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720" w:type="dxa"/>
            <w:vAlign w:val="bottom"/>
            <w:tcBorders>
              <w:left w:val="single" w:sz="8" w:color="auto"/>
              <w:bottom w:val="single" w:sz="8" w:color="auto"/>
              <w:right w:val="single" w:sz="8" w:color="auto"/>
            </w:tcBorders>
          </w:tcPr>
          <w:p>
            <w:pPr>
              <w:spacing w:after="0"/>
              <w:rPr>
                <w:sz w:val="5"/>
                <w:szCs w:val="5"/>
                <w:color w:val="auto"/>
              </w:rPr>
            </w:pPr>
          </w:p>
        </w:tc>
        <w:tc>
          <w:tcPr>
            <w:tcW w:w="7180" w:type="dxa"/>
            <w:vAlign w:val="bottom"/>
            <w:tcBorders>
              <w:bottom w:val="single" w:sz="8" w:color="auto"/>
              <w:right w:val="single" w:sz="8" w:color="auto"/>
            </w:tcBorders>
          </w:tcPr>
          <w:p>
            <w:pPr>
              <w:spacing w:after="0"/>
              <w:rPr>
                <w:sz w:val="5"/>
                <w:szCs w:val="5"/>
                <w:color w:val="auto"/>
              </w:rPr>
            </w:pPr>
          </w:p>
        </w:tc>
        <w:tc>
          <w:tcPr>
            <w:tcW w:w="1320" w:type="dxa"/>
            <w:vAlign w:val="bottom"/>
            <w:tcBorders>
              <w:bottom w:val="single" w:sz="8" w:color="auto"/>
              <w:right w:val="single" w:sz="8" w:color="auto"/>
            </w:tcBorders>
          </w:tcPr>
          <w:p>
            <w:pPr>
              <w:spacing w:after="0"/>
              <w:rPr>
                <w:sz w:val="5"/>
                <w:szCs w:val="5"/>
                <w:color w:val="auto"/>
              </w:rPr>
            </w:pPr>
          </w:p>
        </w:tc>
        <w:tc>
          <w:tcPr>
            <w:tcW w:w="2020" w:type="dxa"/>
            <w:vAlign w:val="bottom"/>
            <w:tcBorders>
              <w:bottom w:val="single" w:sz="8" w:color="auto"/>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70"/>
        </w:trPr>
        <w:tc>
          <w:tcPr>
            <w:tcW w:w="720" w:type="dxa"/>
            <w:vAlign w:val="bottom"/>
            <w:tcBorders>
              <w:left w:val="single" w:sz="8" w:color="auto"/>
              <w:right w:val="single" w:sz="8" w:color="auto"/>
            </w:tcBorders>
          </w:tcPr>
          <w:p>
            <w:pPr>
              <w:spacing w:after="0"/>
              <w:rPr>
                <w:sz w:val="23"/>
                <w:szCs w:val="23"/>
                <w:color w:val="auto"/>
              </w:rPr>
            </w:pPr>
          </w:p>
        </w:tc>
        <w:tc>
          <w:tcPr>
            <w:tcW w:w="718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rPr>
              <w:t>Related party B: Hanwool</w:t>
            </w:r>
          </w:p>
        </w:tc>
        <w:tc>
          <w:tcPr>
            <w:tcW w:w="1320" w:type="dxa"/>
            <w:vAlign w:val="bottom"/>
            <w:tcBorders>
              <w:right w:val="single" w:sz="8" w:color="auto"/>
            </w:tcBorders>
          </w:tcPr>
          <w:p>
            <w:pPr>
              <w:spacing w:after="0"/>
              <w:rPr>
                <w:sz w:val="23"/>
                <w:szCs w:val="23"/>
                <w:color w:val="auto"/>
              </w:rPr>
            </w:pPr>
          </w:p>
        </w:tc>
        <w:tc>
          <w:tcPr>
            <w:tcW w:w="202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418"/>
        </w:trPr>
        <w:tc>
          <w:tcPr>
            <w:tcW w:w="720" w:type="dxa"/>
            <w:vAlign w:val="bottom"/>
            <w:tcBorders>
              <w:left w:val="single" w:sz="8" w:color="auto"/>
              <w:right w:val="single" w:sz="8" w:color="auto"/>
            </w:tcBorders>
          </w:tcPr>
          <w:p>
            <w:pPr>
              <w:spacing w:after="0"/>
              <w:rPr>
                <w:sz w:val="24"/>
                <w:szCs w:val="24"/>
                <w:color w:val="auto"/>
              </w:rPr>
            </w:pPr>
          </w:p>
        </w:tc>
        <w:tc>
          <w:tcPr>
            <w:tcW w:w="718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w w:val="94"/>
              </w:rPr>
              <w:t>The head of Hanwool Scientific, agent for sales to SK Hynix, has simultaneously headed ACM</w:t>
            </w:r>
          </w:p>
        </w:tc>
        <w:tc>
          <w:tcPr>
            <w:tcW w:w="1320" w:type="dxa"/>
            <w:vAlign w:val="bottom"/>
            <w:tcBorders>
              <w:right w:val="single" w:sz="8" w:color="auto"/>
            </w:tcBorders>
          </w:tcPr>
          <w:p>
            <w:pPr>
              <w:spacing w:after="0"/>
              <w:rPr>
                <w:sz w:val="24"/>
                <w:szCs w:val="24"/>
                <w:color w:val="auto"/>
              </w:rPr>
            </w:pPr>
          </w:p>
        </w:tc>
        <w:tc>
          <w:tcPr>
            <w:tcW w:w="20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720" w:type="dxa"/>
            <w:vAlign w:val="bottom"/>
            <w:tcBorders>
              <w:left w:val="single" w:sz="8" w:color="auto"/>
              <w:right w:val="single" w:sz="8" w:color="auto"/>
            </w:tcBorders>
          </w:tcPr>
          <w:p>
            <w:pPr>
              <w:spacing w:after="0"/>
              <w:rPr>
                <w:sz w:val="18"/>
                <w:szCs w:val="18"/>
                <w:color w:val="auto"/>
              </w:rPr>
            </w:pPr>
          </w:p>
        </w:tc>
        <w:tc>
          <w:tcPr>
            <w:tcW w:w="718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w w:val="94"/>
              </w:rPr>
              <w:t>Korea since 2017, according to his LinkedIn profile. ACMR discloses that its Korean subsidiary</w:t>
            </w:r>
          </w:p>
        </w:tc>
        <w:tc>
          <w:tcPr>
            <w:tcW w:w="1320" w:type="dxa"/>
            <w:vAlign w:val="bottom"/>
            <w:tcBorders>
              <w:right w:val="single" w:sz="8" w:color="auto"/>
            </w:tcBorders>
          </w:tcPr>
          <w:p>
            <w:pPr>
              <w:spacing w:after="0"/>
              <w:rPr>
                <w:sz w:val="18"/>
                <w:szCs w:val="18"/>
                <w:color w:val="auto"/>
              </w:rPr>
            </w:pPr>
          </w:p>
        </w:tc>
        <w:tc>
          <w:tcPr>
            <w:tcW w:w="202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20" w:type="dxa"/>
            <w:vAlign w:val="bottom"/>
            <w:tcBorders>
              <w:left w:val="single" w:sz="8" w:color="auto"/>
              <w:right w:val="single" w:sz="8" w:color="auto"/>
            </w:tcBorders>
          </w:tcPr>
          <w:p>
            <w:pPr>
              <w:spacing w:after="0"/>
              <w:rPr>
                <w:sz w:val="18"/>
                <w:szCs w:val="18"/>
                <w:color w:val="auto"/>
              </w:rPr>
            </w:pPr>
          </w:p>
        </w:tc>
        <w:tc>
          <w:tcPr>
            <w:tcW w:w="718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w w:val="93"/>
              </w:rPr>
              <w:t>has hired all the Hanwool staff—but the Hanwool account remain separate. On page 8-1-118 of</w:t>
            </w:r>
          </w:p>
        </w:tc>
        <w:tc>
          <w:tcPr>
            <w:tcW w:w="1320" w:type="dxa"/>
            <w:vAlign w:val="bottom"/>
            <w:tcBorders>
              <w:right w:val="single" w:sz="8" w:color="auto"/>
            </w:tcBorders>
          </w:tcPr>
          <w:p>
            <w:pPr>
              <w:spacing w:after="0"/>
              <w:rPr>
                <w:sz w:val="18"/>
                <w:szCs w:val="18"/>
                <w:color w:val="auto"/>
              </w:rPr>
            </w:pPr>
          </w:p>
        </w:tc>
        <w:tc>
          <w:tcPr>
            <w:tcW w:w="2020" w:type="dxa"/>
            <w:vAlign w:val="bottom"/>
            <w:tcBorders>
              <w:right w:val="single" w:sz="8" w:color="auto"/>
            </w:tcBorders>
            <w:vMerge w:val="restart"/>
          </w:tcPr>
          <w:p>
            <w:pPr>
              <w:ind w:left="60"/>
              <w:spacing w:after="0"/>
              <w:rPr>
                <w:sz w:val="20"/>
                <w:szCs w:val="20"/>
                <w:color w:val="auto"/>
              </w:rPr>
            </w:pPr>
            <w:r>
              <w:rPr>
                <w:rFonts w:ascii="Arial" w:cs="Arial" w:eastAsia="Arial" w:hAnsi="Arial"/>
                <w:sz w:val="18"/>
                <w:szCs w:val="18"/>
                <w:color w:val="auto"/>
                <w:w w:val="94"/>
              </w:rPr>
              <w:t>Other Challenge 6: About</w:t>
            </w:r>
          </w:p>
        </w:tc>
        <w:tc>
          <w:tcPr>
            <w:tcW w:w="0" w:type="dxa"/>
            <w:vAlign w:val="bottom"/>
          </w:tcPr>
          <w:p>
            <w:pPr>
              <w:spacing w:after="0"/>
              <w:rPr>
                <w:sz w:val="1"/>
                <w:szCs w:val="1"/>
                <w:color w:val="auto"/>
              </w:rPr>
            </w:pPr>
          </w:p>
        </w:tc>
      </w:tr>
      <w:tr>
        <w:trPr>
          <w:trHeight w:val="108"/>
        </w:trPr>
        <w:tc>
          <w:tcPr>
            <w:tcW w:w="720" w:type="dxa"/>
            <w:vAlign w:val="bottom"/>
            <w:tcBorders>
              <w:left w:val="single" w:sz="8" w:color="auto"/>
              <w:right w:val="single" w:sz="8" w:color="auto"/>
            </w:tcBorders>
            <w:vMerge w:val="restart"/>
          </w:tcPr>
          <w:p>
            <w:pPr>
              <w:jc w:val="right"/>
              <w:ind w:right="190"/>
              <w:spacing w:after="0"/>
              <w:rPr>
                <w:sz w:val="20"/>
                <w:szCs w:val="20"/>
                <w:color w:val="auto"/>
              </w:rPr>
            </w:pPr>
            <w:r>
              <w:rPr>
                <w:rFonts w:ascii="Arial" w:cs="Arial" w:eastAsia="Arial" w:hAnsi="Arial"/>
                <w:sz w:val="18"/>
                <w:szCs w:val="18"/>
                <w:color w:val="auto"/>
              </w:rPr>
              <w:t>17</w:t>
            </w:r>
          </w:p>
        </w:tc>
        <w:tc>
          <w:tcPr>
            <w:tcW w:w="7180" w:type="dxa"/>
            <w:vAlign w:val="bottom"/>
            <w:tcBorders>
              <w:right w:val="single" w:sz="8" w:color="auto"/>
            </w:tcBorders>
            <w:vMerge w:val="restart"/>
          </w:tcPr>
          <w:p>
            <w:pPr>
              <w:ind w:left="40"/>
              <w:spacing w:after="0"/>
              <w:rPr>
                <w:sz w:val="20"/>
                <w:szCs w:val="20"/>
                <w:color w:val="auto"/>
              </w:rPr>
            </w:pPr>
            <w:r>
              <w:rPr>
                <w:rFonts w:ascii="Arial" w:cs="Arial" w:eastAsia="Arial" w:hAnsi="Arial"/>
                <w:sz w:val="18"/>
                <w:szCs w:val="18"/>
                <w:color w:val="auto"/>
                <w:w w:val="93"/>
              </w:rPr>
              <w:t>its “first response” to the Chinese regulator, on August 11, 2020, the company says: “Currently,</w:t>
            </w:r>
          </w:p>
        </w:tc>
        <w:tc>
          <w:tcPr>
            <w:tcW w:w="1320" w:type="dxa"/>
            <w:vAlign w:val="bottom"/>
            <w:tcBorders>
              <w:right w:val="single" w:sz="8" w:color="auto"/>
            </w:tcBorders>
            <w:vMerge w:val="restart"/>
          </w:tcPr>
          <w:p>
            <w:pPr>
              <w:jc w:val="right"/>
              <w:ind w:right="490"/>
              <w:spacing w:after="0"/>
              <w:rPr>
                <w:sz w:val="20"/>
                <w:szCs w:val="20"/>
                <w:color w:val="auto"/>
              </w:rPr>
            </w:pPr>
            <w:r>
              <w:rPr>
                <w:rFonts w:ascii="Arial" w:cs="Arial" w:eastAsia="Arial" w:hAnsi="Arial"/>
                <w:sz w:val="18"/>
                <w:szCs w:val="18"/>
                <w:color w:val="auto"/>
              </w:rPr>
              <w:t>22</w:t>
            </w:r>
          </w:p>
        </w:tc>
        <w:tc>
          <w:tcPr>
            <w:tcW w:w="2020" w:type="dxa"/>
            <w:vAlign w:val="bottom"/>
            <w:tcBorders>
              <w:right w:val="single" w:sz="8" w:color="auto"/>
            </w:tcBorders>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720" w:type="dxa"/>
            <w:vAlign w:val="bottom"/>
            <w:tcBorders>
              <w:left w:val="single" w:sz="8" w:color="auto"/>
              <w:right w:val="single" w:sz="8" w:color="auto"/>
            </w:tcBorders>
            <w:vMerge w:val="continue"/>
          </w:tcPr>
          <w:p>
            <w:pPr>
              <w:spacing w:after="0"/>
              <w:rPr>
                <w:sz w:val="9"/>
                <w:szCs w:val="9"/>
                <w:color w:val="auto"/>
              </w:rPr>
            </w:pPr>
          </w:p>
        </w:tc>
        <w:tc>
          <w:tcPr>
            <w:tcW w:w="7180" w:type="dxa"/>
            <w:vAlign w:val="bottom"/>
            <w:tcBorders>
              <w:right w:val="single" w:sz="8" w:color="auto"/>
            </w:tcBorders>
            <w:vMerge w:val="continue"/>
          </w:tcPr>
          <w:p>
            <w:pPr>
              <w:spacing w:after="0"/>
              <w:rPr>
                <w:sz w:val="9"/>
                <w:szCs w:val="9"/>
                <w:color w:val="auto"/>
              </w:rPr>
            </w:pPr>
          </w:p>
        </w:tc>
        <w:tc>
          <w:tcPr>
            <w:tcW w:w="1320" w:type="dxa"/>
            <w:vAlign w:val="bottom"/>
            <w:tcBorders>
              <w:right w:val="single" w:sz="8" w:color="auto"/>
            </w:tcBorders>
            <w:vMerge w:val="continue"/>
          </w:tcPr>
          <w:p>
            <w:pPr>
              <w:spacing w:after="0"/>
              <w:rPr>
                <w:sz w:val="9"/>
                <w:szCs w:val="9"/>
                <w:color w:val="auto"/>
              </w:rPr>
            </w:pPr>
          </w:p>
        </w:tc>
        <w:tc>
          <w:tcPr>
            <w:tcW w:w="2020" w:type="dxa"/>
            <w:vAlign w:val="bottom"/>
            <w:tcBorders>
              <w:right w:val="single" w:sz="8" w:color="auto"/>
            </w:tcBorders>
            <w:vMerge w:val="restart"/>
          </w:tcPr>
          <w:p>
            <w:pPr>
              <w:ind w:left="60"/>
              <w:spacing w:after="0"/>
              <w:rPr>
                <w:sz w:val="20"/>
                <w:szCs w:val="20"/>
                <w:color w:val="auto"/>
              </w:rPr>
            </w:pPr>
            <w:r>
              <w:rPr>
                <w:rFonts w:ascii="Arial" w:cs="Arial" w:eastAsia="Arial" w:hAnsi="Arial"/>
                <w:sz w:val="18"/>
                <w:szCs w:val="18"/>
                <w:color w:val="auto"/>
              </w:rPr>
              <w:t>Hanwool</w:t>
            </w:r>
          </w:p>
        </w:tc>
        <w:tc>
          <w:tcPr>
            <w:tcW w:w="0" w:type="dxa"/>
            <w:vAlign w:val="bottom"/>
          </w:tcPr>
          <w:p>
            <w:pPr>
              <w:spacing w:after="0"/>
              <w:rPr>
                <w:sz w:val="1"/>
                <w:szCs w:val="1"/>
                <w:color w:val="auto"/>
              </w:rPr>
            </w:pPr>
          </w:p>
        </w:tc>
      </w:tr>
      <w:tr>
        <w:trPr>
          <w:trHeight w:val="122"/>
        </w:trPr>
        <w:tc>
          <w:tcPr>
            <w:tcW w:w="720" w:type="dxa"/>
            <w:vAlign w:val="bottom"/>
            <w:tcBorders>
              <w:left w:val="single" w:sz="8" w:color="auto"/>
              <w:right w:val="single" w:sz="8" w:color="auto"/>
            </w:tcBorders>
          </w:tcPr>
          <w:p>
            <w:pPr>
              <w:spacing w:after="0"/>
              <w:rPr>
                <w:sz w:val="10"/>
                <w:szCs w:val="10"/>
                <w:color w:val="auto"/>
              </w:rPr>
            </w:pPr>
          </w:p>
        </w:tc>
        <w:tc>
          <w:tcPr>
            <w:tcW w:w="7180" w:type="dxa"/>
            <w:vAlign w:val="bottom"/>
            <w:tcBorders>
              <w:right w:val="single" w:sz="8" w:color="auto"/>
            </w:tcBorders>
            <w:vMerge w:val="restart"/>
          </w:tcPr>
          <w:p>
            <w:pPr>
              <w:ind w:left="40"/>
              <w:spacing w:after="0"/>
              <w:rPr>
                <w:sz w:val="20"/>
                <w:szCs w:val="20"/>
                <w:color w:val="auto"/>
              </w:rPr>
            </w:pPr>
            <w:r>
              <w:rPr>
                <w:rFonts w:ascii="Arial" w:cs="Arial" w:eastAsia="Arial" w:hAnsi="Arial"/>
                <w:sz w:val="18"/>
                <w:szCs w:val="18"/>
                <w:color w:val="auto"/>
              </w:rPr>
              <w:t>the Hanwool Scientific Co. Ltd. team has already joined ACM Korea.”</w:t>
            </w:r>
          </w:p>
        </w:tc>
        <w:tc>
          <w:tcPr>
            <w:tcW w:w="1320" w:type="dxa"/>
            <w:vAlign w:val="bottom"/>
            <w:tcBorders>
              <w:right w:val="single" w:sz="8" w:color="auto"/>
            </w:tcBorders>
          </w:tcPr>
          <w:p>
            <w:pPr>
              <w:spacing w:after="0"/>
              <w:rPr>
                <w:sz w:val="10"/>
                <w:szCs w:val="10"/>
                <w:color w:val="auto"/>
              </w:rPr>
            </w:pPr>
          </w:p>
        </w:tc>
        <w:tc>
          <w:tcPr>
            <w:tcW w:w="2020" w:type="dxa"/>
            <w:vAlign w:val="bottom"/>
            <w:tcBorders>
              <w:right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720" w:type="dxa"/>
            <w:vAlign w:val="bottom"/>
            <w:tcBorders>
              <w:left w:val="single" w:sz="8" w:color="auto"/>
              <w:right w:val="single" w:sz="8" w:color="auto"/>
            </w:tcBorders>
          </w:tcPr>
          <w:p>
            <w:pPr>
              <w:spacing w:after="0"/>
              <w:rPr>
                <w:sz w:val="9"/>
                <w:szCs w:val="9"/>
                <w:color w:val="auto"/>
              </w:rPr>
            </w:pPr>
          </w:p>
        </w:tc>
        <w:tc>
          <w:tcPr>
            <w:tcW w:w="7180" w:type="dxa"/>
            <w:vAlign w:val="bottom"/>
            <w:tcBorders>
              <w:right w:val="single" w:sz="8" w:color="auto"/>
            </w:tcBorders>
            <w:vMerge w:val="continue"/>
          </w:tcPr>
          <w:p>
            <w:pPr>
              <w:spacing w:after="0"/>
              <w:rPr>
                <w:sz w:val="9"/>
                <w:szCs w:val="9"/>
                <w:color w:val="auto"/>
              </w:rPr>
            </w:pPr>
          </w:p>
        </w:tc>
        <w:tc>
          <w:tcPr>
            <w:tcW w:w="1320" w:type="dxa"/>
            <w:vAlign w:val="bottom"/>
            <w:tcBorders>
              <w:right w:val="single" w:sz="8" w:color="auto"/>
            </w:tcBorders>
          </w:tcPr>
          <w:p>
            <w:pPr>
              <w:spacing w:after="0"/>
              <w:rPr>
                <w:sz w:val="9"/>
                <w:szCs w:val="9"/>
                <w:color w:val="auto"/>
              </w:rPr>
            </w:pPr>
          </w:p>
        </w:tc>
        <w:tc>
          <w:tcPr>
            <w:tcW w:w="2020" w:type="dxa"/>
            <w:vAlign w:val="bottom"/>
            <w:tcBorders>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418"/>
        </w:trPr>
        <w:tc>
          <w:tcPr>
            <w:tcW w:w="720" w:type="dxa"/>
            <w:vAlign w:val="bottom"/>
            <w:tcBorders>
              <w:left w:val="single" w:sz="8" w:color="auto"/>
              <w:right w:val="single" w:sz="8" w:color="auto"/>
            </w:tcBorders>
          </w:tcPr>
          <w:p>
            <w:pPr>
              <w:spacing w:after="0"/>
              <w:rPr>
                <w:sz w:val="24"/>
                <w:szCs w:val="24"/>
                <w:color w:val="auto"/>
              </w:rPr>
            </w:pPr>
          </w:p>
        </w:tc>
        <w:tc>
          <w:tcPr>
            <w:tcW w:w="718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w w:val="94"/>
              </w:rPr>
              <w:t>Hanwool is always paired in the company’s sales disclosures with TJM Partners Ltd., which we</w:t>
            </w:r>
          </w:p>
        </w:tc>
        <w:tc>
          <w:tcPr>
            <w:tcW w:w="1320" w:type="dxa"/>
            <w:vAlign w:val="bottom"/>
            <w:tcBorders>
              <w:right w:val="single" w:sz="8" w:color="auto"/>
            </w:tcBorders>
          </w:tcPr>
          <w:p>
            <w:pPr>
              <w:spacing w:after="0"/>
              <w:rPr>
                <w:sz w:val="24"/>
                <w:szCs w:val="24"/>
                <w:color w:val="auto"/>
              </w:rPr>
            </w:pPr>
          </w:p>
        </w:tc>
        <w:tc>
          <w:tcPr>
            <w:tcW w:w="20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720" w:type="dxa"/>
            <w:vAlign w:val="bottom"/>
            <w:tcBorders>
              <w:left w:val="single" w:sz="8" w:color="auto"/>
              <w:right w:val="single" w:sz="8" w:color="auto"/>
            </w:tcBorders>
          </w:tcPr>
          <w:p>
            <w:pPr>
              <w:spacing w:after="0"/>
              <w:rPr>
                <w:sz w:val="20"/>
                <w:szCs w:val="20"/>
                <w:color w:val="auto"/>
              </w:rPr>
            </w:pPr>
          </w:p>
        </w:tc>
        <w:tc>
          <w:tcPr>
            <w:tcW w:w="718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rPr>
              <w:t>think is also a related party.</w:t>
            </w:r>
          </w:p>
        </w:tc>
        <w:tc>
          <w:tcPr>
            <w:tcW w:w="1320" w:type="dxa"/>
            <w:vAlign w:val="bottom"/>
            <w:tcBorders>
              <w:right w:val="single" w:sz="8" w:color="auto"/>
            </w:tcBorders>
          </w:tcPr>
          <w:p>
            <w:pPr>
              <w:spacing w:after="0"/>
              <w:rPr>
                <w:sz w:val="20"/>
                <w:szCs w:val="20"/>
                <w:color w:val="auto"/>
              </w:rPr>
            </w:pPr>
          </w:p>
        </w:tc>
        <w:tc>
          <w:tcPr>
            <w:tcW w:w="20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77"/>
        </w:trPr>
        <w:tc>
          <w:tcPr>
            <w:tcW w:w="720" w:type="dxa"/>
            <w:vAlign w:val="bottom"/>
            <w:tcBorders>
              <w:left w:val="single" w:sz="8" w:color="auto"/>
              <w:bottom w:val="single" w:sz="8" w:color="auto"/>
              <w:right w:val="single" w:sz="8" w:color="auto"/>
            </w:tcBorders>
          </w:tcPr>
          <w:p>
            <w:pPr>
              <w:spacing w:after="0"/>
              <w:rPr>
                <w:sz w:val="24"/>
                <w:szCs w:val="24"/>
                <w:color w:val="auto"/>
              </w:rPr>
            </w:pPr>
          </w:p>
        </w:tc>
        <w:tc>
          <w:tcPr>
            <w:tcW w:w="7180" w:type="dxa"/>
            <w:vAlign w:val="bottom"/>
            <w:tcBorders>
              <w:bottom w:val="single" w:sz="8" w:color="auto"/>
              <w:right w:val="single" w:sz="8" w:color="auto"/>
            </w:tcBorders>
          </w:tcPr>
          <w:p>
            <w:pPr>
              <w:spacing w:after="0"/>
              <w:rPr>
                <w:sz w:val="24"/>
                <w:szCs w:val="24"/>
                <w:color w:val="auto"/>
              </w:rPr>
            </w:pPr>
          </w:p>
        </w:tc>
        <w:tc>
          <w:tcPr>
            <w:tcW w:w="1320" w:type="dxa"/>
            <w:vAlign w:val="bottom"/>
            <w:tcBorders>
              <w:bottom w:val="single" w:sz="8" w:color="auto"/>
              <w:right w:val="single" w:sz="8" w:color="auto"/>
            </w:tcBorders>
          </w:tcPr>
          <w:p>
            <w:pPr>
              <w:spacing w:after="0"/>
              <w:rPr>
                <w:sz w:val="24"/>
                <w:szCs w:val="24"/>
                <w:color w:val="auto"/>
              </w:rPr>
            </w:pPr>
          </w:p>
        </w:tc>
        <w:tc>
          <w:tcPr>
            <w:tcW w:w="202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56"/>
        </w:trPr>
        <w:tc>
          <w:tcPr>
            <w:tcW w:w="720" w:type="dxa"/>
            <w:vAlign w:val="bottom"/>
            <w:tcBorders>
              <w:left w:val="single" w:sz="8" w:color="auto"/>
              <w:right w:val="single" w:sz="8" w:color="auto"/>
            </w:tcBorders>
          </w:tcPr>
          <w:p>
            <w:pPr>
              <w:spacing w:after="0"/>
              <w:rPr>
                <w:sz w:val="22"/>
                <w:szCs w:val="22"/>
                <w:color w:val="auto"/>
              </w:rPr>
            </w:pPr>
          </w:p>
        </w:tc>
        <w:tc>
          <w:tcPr>
            <w:tcW w:w="718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w w:val="95"/>
              </w:rPr>
              <w:t>We have interviewed several current and former executives of SK Hynix. They told us that the</w:t>
            </w:r>
          </w:p>
        </w:tc>
        <w:tc>
          <w:tcPr>
            <w:tcW w:w="1320" w:type="dxa"/>
            <w:vAlign w:val="bottom"/>
            <w:tcBorders>
              <w:right w:val="single" w:sz="8" w:color="auto"/>
            </w:tcBorders>
          </w:tcPr>
          <w:p>
            <w:pPr>
              <w:spacing w:after="0"/>
              <w:rPr>
                <w:sz w:val="22"/>
                <w:szCs w:val="22"/>
                <w:color w:val="auto"/>
              </w:rPr>
            </w:pPr>
          </w:p>
        </w:tc>
        <w:tc>
          <w:tcPr>
            <w:tcW w:w="2020" w:type="dxa"/>
            <w:vAlign w:val="bottom"/>
            <w:tcBorders>
              <w:right w:val="single" w:sz="8" w:color="auto"/>
            </w:tcBorders>
            <w:vMerge w:val="restart"/>
          </w:tcPr>
          <w:p>
            <w:pPr>
              <w:ind w:left="60"/>
              <w:spacing w:after="0"/>
              <w:rPr>
                <w:sz w:val="20"/>
                <w:szCs w:val="20"/>
                <w:color w:val="auto"/>
              </w:rPr>
            </w:pPr>
            <w:r>
              <w:rPr>
                <w:rFonts w:ascii="Arial" w:cs="Arial" w:eastAsia="Arial" w:hAnsi="Arial"/>
                <w:sz w:val="18"/>
                <w:szCs w:val="18"/>
                <w:color w:val="auto"/>
                <w:w w:val="94"/>
              </w:rPr>
              <w:t>Other Challenge 7: About</w:t>
            </w:r>
          </w:p>
        </w:tc>
        <w:tc>
          <w:tcPr>
            <w:tcW w:w="0" w:type="dxa"/>
            <w:vAlign w:val="bottom"/>
          </w:tcPr>
          <w:p>
            <w:pPr>
              <w:spacing w:after="0"/>
              <w:rPr>
                <w:sz w:val="1"/>
                <w:szCs w:val="1"/>
                <w:color w:val="auto"/>
              </w:rPr>
            </w:pPr>
          </w:p>
        </w:tc>
      </w:tr>
      <w:tr>
        <w:trPr>
          <w:trHeight w:val="108"/>
        </w:trPr>
        <w:tc>
          <w:tcPr>
            <w:tcW w:w="720" w:type="dxa"/>
            <w:vAlign w:val="bottom"/>
            <w:tcBorders>
              <w:left w:val="single" w:sz="8" w:color="auto"/>
              <w:right w:val="single" w:sz="8" w:color="auto"/>
            </w:tcBorders>
            <w:vMerge w:val="restart"/>
          </w:tcPr>
          <w:p>
            <w:pPr>
              <w:jc w:val="right"/>
              <w:ind w:right="190"/>
              <w:spacing w:after="0"/>
              <w:rPr>
                <w:sz w:val="20"/>
                <w:szCs w:val="20"/>
                <w:color w:val="auto"/>
              </w:rPr>
            </w:pPr>
            <w:r>
              <w:rPr>
                <w:rFonts w:ascii="Arial" w:cs="Arial" w:eastAsia="Arial" w:hAnsi="Arial"/>
                <w:sz w:val="18"/>
                <w:szCs w:val="18"/>
                <w:color w:val="auto"/>
              </w:rPr>
              <w:t>18</w:t>
            </w:r>
          </w:p>
        </w:tc>
        <w:tc>
          <w:tcPr>
            <w:tcW w:w="7180" w:type="dxa"/>
            <w:vAlign w:val="bottom"/>
            <w:tcBorders>
              <w:right w:val="single" w:sz="8" w:color="auto"/>
            </w:tcBorders>
            <w:vMerge w:val="restart"/>
          </w:tcPr>
          <w:p>
            <w:pPr>
              <w:ind w:left="40"/>
              <w:spacing w:after="0"/>
              <w:rPr>
                <w:sz w:val="20"/>
                <w:szCs w:val="20"/>
                <w:color w:val="auto"/>
              </w:rPr>
            </w:pPr>
            <w:r>
              <w:rPr>
                <w:rFonts w:ascii="Arial" w:cs="Arial" w:eastAsia="Arial" w:hAnsi="Arial"/>
                <w:sz w:val="18"/>
                <w:szCs w:val="18"/>
                <w:color w:val="auto"/>
              </w:rPr>
              <w:t>company inventory lists three more machines than ACMR has disclosed selling.</w:t>
            </w:r>
          </w:p>
        </w:tc>
        <w:tc>
          <w:tcPr>
            <w:tcW w:w="1320" w:type="dxa"/>
            <w:vAlign w:val="bottom"/>
            <w:tcBorders>
              <w:right w:val="single" w:sz="8" w:color="auto"/>
            </w:tcBorders>
            <w:vMerge w:val="restart"/>
          </w:tcPr>
          <w:p>
            <w:pPr>
              <w:jc w:val="right"/>
              <w:ind w:right="490"/>
              <w:spacing w:after="0"/>
              <w:rPr>
                <w:sz w:val="20"/>
                <w:szCs w:val="20"/>
                <w:color w:val="auto"/>
              </w:rPr>
            </w:pPr>
            <w:r>
              <w:rPr>
                <w:rFonts w:ascii="Arial" w:cs="Arial" w:eastAsia="Arial" w:hAnsi="Arial"/>
                <w:sz w:val="18"/>
                <w:szCs w:val="18"/>
                <w:color w:val="auto"/>
              </w:rPr>
              <w:t>23</w:t>
            </w:r>
          </w:p>
        </w:tc>
        <w:tc>
          <w:tcPr>
            <w:tcW w:w="2020" w:type="dxa"/>
            <w:vAlign w:val="bottom"/>
            <w:tcBorders>
              <w:right w:val="single" w:sz="8" w:color="auto"/>
            </w:tcBorders>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22"/>
        </w:trPr>
        <w:tc>
          <w:tcPr>
            <w:tcW w:w="720" w:type="dxa"/>
            <w:vAlign w:val="bottom"/>
            <w:tcBorders>
              <w:left w:val="single" w:sz="8" w:color="auto"/>
              <w:right w:val="single" w:sz="8" w:color="auto"/>
            </w:tcBorders>
            <w:vMerge w:val="continue"/>
          </w:tcPr>
          <w:p>
            <w:pPr>
              <w:spacing w:after="0"/>
              <w:rPr>
                <w:sz w:val="10"/>
                <w:szCs w:val="10"/>
                <w:color w:val="auto"/>
              </w:rPr>
            </w:pPr>
          </w:p>
        </w:tc>
        <w:tc>
          <w:tcPr>
            <w:tcW w:w="7180" w:type="dxa"/>
            <w:vAlign w:val="bottom"/>
            <w:tcBorders>
              <w:right w:val="single" w:sz="8" w:color="auto"/>
            </w:tcBorders>
            <w:vMerge w:val="continue"/>
          </w:tcPr>
          <w:p>
            <w:pPr>
              <w:spacing w:after="0"/>
              <w:rPr>
                <w:sz w:val="10"/>
                <w:szCs w:val="10"/>
                <w:color w:val="auto"/>
              </w:rPr>
            </w:pPr>
          </w:p>
        </w:tc>
        <w:tc>
          <w:tcPr>
            <w:tcW w:w="1320" w:type="dxa"/>
            <w:vAlign w:val="bottom"/>
            <w:tcBorders>
              <w:right w:val="single" w:sz="8" w:color="auto"/>
            </w:tcBorders>
            <w:vMerge w:val="continue"/>
          </w:tcPr>
          <w:p>
            <w:pPr>
              <w:spacing w:after="0"/>
              <w:rPr>
                <w:sz w:val="10"/>
                <w:szCs w:val="10"/>
                <w:color w:val="auto"/>
              </w:rPr>
            </w:pPr>
          </w:p>
        </w:tc>
        <w:tc>
          <w:tcPr>
            <w:tcW w:w="2020" w:type="dxa"/>
            <w:vAlign w:val="bottom"/>
            <w:tcBorders>
              <w:right w:val="single" w:sz="8" w:color="auto"/>
            </w:tcBorders>
            <w:vMerge w:val="restart"/>
          </w:tcPr>
          <w:p>
            <w:pPr>
              <w:ind w:left="60"/>
              <w:spacing w:after="0"/>
              <w:rPr>
                <w:sz w:val="20"/>
                <w:szCs w:val="20"/>
                <w:color w:val="auto"/>
              </w:rPr>
            </w:pPr>
            <w:r>
              <w:rPr>
                <w:rFonts w:ascii="Arial" w:cs="Arial" w:eastAsia="Arial" w:hAnsi="Arial"/>
                <w:sz w:val="18"/>
                <w:szCs w:val="18"/>
                <w:color w:val="auto"/>
              </w:rPr>
              <w:t>Sales Differences</w:t>
            </w:r>
          </w:p>
        </w:tc>
        <w:tc>
          <w:tcPr>
            <w:tcW w:w="0" w:type="dxa"/>
            <w:vAlign w:val="bottom"/>
          </w:tcPr>
          <w:p>
            <w:pPr>
              <w:spacing w:after="0"/>
              <w:rPr>
                <w:sz w:val="1"/>
                <w:szCs w:val="1"/>
                <w:color w:val="auto"/>
              </w:rPr>
            </w:pPr>
          </w:p>
        </w:tc>
      </w:tr>
      <w:tr>
        <w:trPr>
          <w:trHeight w:val="108"/>
        </w:trPr>
        <w:tc>
          <w:tcPr>
            <w:tcW w:w="720" w:type="dxa"/>
            <w:vAlign w:val="bottom"/>
            <w:tcBorders>
              <w:left w:val="single" w:sz="8" w:color="auto"/>
              <w:right w:val="single" w:sz="8" w:color="auto"/>
            </w:tcBorders>
          </w:tcPr>
          <w:p>
            <w:pPr>
              <w:spacing w:after="0"/>
              <w:rPr>
                <w:sz w:val="9"/>
                <w:szCs w:val="9"/>
                <w:color w:val="auto"/>
              </w:rPr>
            </w:pPr>
          </w:p>
        </w:tc>
        <w:tc>
          <w:tcPr>
            <w:tcW w:w="7180" w:type="dxa"/>
            <w:vAlign w:val="bottom"/>
            <w:tcBorders>
              <w:right w:val="single" w:sz="8" w:color="auto"/>
            </w:tcBorders>
          </w:tcPr>
          <w:p>
            <w:pPr>
              <w:spacing w:after="0"/>
              <w:rPr>
                <w:sz w:val="9"/>
                <w:szCs w:val="9"/>
                <w:color w:val="auto"/>
              </w:rPr>
            </w:pPr>
          </w:p>
        </w:tc>
        <w:tc>
          <w:tcPr>
            <w:tcW w:w="1320" w:type="dxa"/>
            <w:vAlign w:val="bottom"/>
            <w:tcBorders>
              <w:right w:val="single" w:sz="8" w:color="auto"/>
            </w:tcBorders>
          </w:tcPr>
          <w:p>
            <w:pPr>
              <w:spacing w:after="0"/>
              <w:rPr>
                <w:sz w:val="9"/>
                <w:szCs w:val="9"/>
                <w:color w:val="auto"/>
              </w:rPr>
            </w:pPr>
          </w:p>
        </w:tc>
        <w:tc>
          <w:tcPr>
            <w:tcW w:w="2020" w:type="dxa"/>
            <w:vAlign w:val="bottom"/>
            <w:tcBorders>
              <w:right w:val="single" w:sz="8" w:color="auto"/>
            </w:tcBorders>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69"/>
        </w:trPr>
        <w:tc>
          <w:tcPr>
            <w:tcW w:w="720" w:type="dxa"/>
            <w:vAlign w:val="bottom"/>
            <w:tcBorders>
              <w:left w:val="single" w:sz="8" w:color="auto"/>
              <w:bottom w:val="single" w:sz="8" w:color="auto"/>
              <w:right w:val="single" w:sz="8" w:color="auto"/>
            </w:tcBorders>
          </w:tcPr>
          <w:p>
            <w:pPr>
              <w:spacing w:after="0"/>
              <w:rPr>
                <w:sz w:val="14"/>
                <w:szCs w:val="14"/>
                <w:color w:val="auto"/>
              </w:rPr>
            </w:pPr>
          </w:p>
        </w:tc>
        <w:tc>
          <w:tcPr>
            <w:tcW w:w="7180" w:type="dxa"/>
            <w:vAlign w:val="bottom"/>
            <w:tcBorders>
              <w:bottom w:val="single" w:sz="8" w:color="auto"/>
              <w:right w:val="single" w:sz="8" w:color="auto"/>
            </w:tcBorders>
          </w:tcPr>
          <w:p>
            <w:pPr>
              <w:spacing w:after="0"/>
              <w:rPr>
                <w:sz w:val="14"/>
                <w:szCs w:val="14"/>
                <w:color w:val="auto"/>
              </w:rPr>
            </w:pPr>
          </w:p>
        </w:tc>
        <w:tc>
          <w:tcPr>
            <w:tcW w:w="1320" w:type="dxa"/>
            <w:vAlign w:val="bottom"/>
            <w:tcBorders>
              <w:bottom w:val="single" w:sz="8" w:color="auto"/>
              <w:right w:val="single" w:sz="8" w:color="auto"/>
            </w:tcBorders>
          </w:tcPr>
          <w:p>
            <w:pPr>
              <w:spacing w:after="0"/>
              <w:rPr>
                <w:sz w:val="14"/>
                <w:szCs w:val="14"/>
                <w:color w:val="auto"/>
              </w:rPr>
            </w:pPr>
          </w:p>
        </w:tc>
        <w:tc>
          <w:tcPr>
            <w:tcW w:w="202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56"/>
        </w:trPr>
        <w:tc>
          <w:tcPr>
            <w:tcW w:w="720" w:type="dxa"/>
            <w:vAlign w:val="bottom"/>
            <w:tcBorders>
              <w:left w:val="single" w:sz="8" w:color="auto"/>
              <w:right w:val="single" w:sz="8" w:color="auto"/>
            </w:tcBorders>
          </w:tcPr>
          <w:p>
            <w:pPr>
              <w:spacing w:after="0"/>
              <w:rPr>
                <w:sz w:val="22"/>
                <w:szCs w:val="22"/>
                <w:color w:val="auto"/>
              </w:rPr>
            </w:pPr>
          </w:p>
        </w:tc>
        <w:tc>
          <w:tcPr>
            <w:tcW w:w="718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w w:val="95"/>
              </w:rPr>
              <w:t>ACMR’s key supplier in Korea, NINEBELL Co. Ltd. stores finished inventory for ACMR. When</w:t>
            </w:r>
          </w:p>
        </w:tc>
        <w:tc>
          <w:tcPr>
            <w:tcW w:w="1320" w:type="dxa"/>
            <w:vAlign w:val="bottom"/>
            <w:tcBorders>
              <w:right w:val="single" w:sz="8" w:color="auto"/>
            </w:tcBorders>
          </w:tcPr>
          <w:p>
            <w:pPr>
              <w:spacing w:after="0"/>
              <w:rPr>
                <w:sz w:val="22"/>
                <w:szCs w:val="22"/>
                <w:color w:val="auto"/>
              </w:rPr>
            </w:pPr>
          </w:p>
        </w:tc>
        <w:tc>
          <w:tcPr>
            <w:tcW w:w="202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Other Challenge 14:</w:t>
            </w:r>
          </w:p>
        </w:tc>
        <w:tc>
          <w:tcPr>
            <w:tcW w:w="0" w:type="dxa"/>
            <w:vAlign w:val="bottom"/>
          </w:tcPr>
          <w:p>
            <w:pPr>
              <w:spacing w:after="0"/>
              <w:rPr>
                <w:sz w:val="1"/>
                <w:szCs w:val="1"/>
                <w:color w:val="auto"/>
              </w:rPr>
            </w:pPr>
          </w:p>
        </w:tc>
      </w:tr>
      <w:tr>
        <w:trPr>
          <w:trHeight w:val="216"/>
        </w:trPr>
        <w:tc>
          <w:tcPr>
            <w:tcW w:w="720" w:type="dxa"/>
            <w:vAlign w:val="bottom"/>
            <w:tcBorders>
              <w:left w:val="single" w:sz="8" w:color="auto"/>
              <w:right w:val="single" w:sz="8" w:color="auto"/>
            </w:tcBorders>
            <w:vMerge w:val="restart"/>
          </w:tcPr>
          <w:p>
            <w:pPr>
              <w:jc w:val="right"/>
              <w:ind w:right="190"/>
              <w:spacing w:after="0"/>
              <w:rPr>
                <w:sz w:val="20"/>
                <w:szCs w:val="20"/>
                <w:color w:val="auto"/>
              </w:rPr>
            </w:pPr>
            <w:r>
              <w:rPr>
                <w:rFonts w:ascii="Arial" w:cs="Arial" w:eastAsia="Arial" w:hAnsi="Arial"/>
                <w:sz w:val="18"/>
                <w:szCs w:val="18"/>
                <w:color w:val="auto"/>
              </w:rPr>
              <w:t>19</w:t>
            </w:r>
          </w:p>
        </w:tc>
        <w:tc>
          <w:tcPr>
            <w:tcW w:w="718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rPr>
              <w:t>our investigator visited NINEBELL, on premises were ACMR machines bearing the Ultra</w:t>
            </w:r>
          </w:p>
        </w:tc>
        <w:tc>
          <w:tcPr>
            <w:tcW w:w="1320" w:type="dxa"/>
            <w:vAlign w:val="bottom"/>
            <w:tcBorders>
              <w:right w:val="single" w:sz="8" w:color="auto"/>
            </w:tcBorders>
            <w:vMerge w:val="restart"/>
          </w:tcPr>
          <w:p>
            <w:pPr>
              <w:jc w:val="right"/>
              <w:ind w:right="490"/>
              <w:spacing w:after="0"/>
              <w:rPr>
                <w:sz w:val="20"/>
                <w:szCs w:val="20"/>
                <w:color w:val="auto"/>
              </w:rPr>
            </w:pPr>
            <w:r>
              <w:rPr>
                <w:rFonts w:ascii="Arial" w:cs="Arial" w:eastAsia="Arial" w:hAnsi="Arial"/>
                <w:sz w:val="18"/>
                <w:szCs w:val="18"/>
                <w:color w:val="auto"/>
              </w:rPr>
              <w:t>23</w:t>
            </w:r>
          </w:p>
        </w:tc>
        <w:tc>
          <w:tcPr>
            <w:tcW w:w="202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w w:val="97"/>
              </w:rPr>
              <w:t>About Machines Bearing</w:t>
            </w:r>
          </w:p>
        </w:tc>
        <w:tc>
          <w:tcPr>
            <w:tcW w:w="0" w:type="dxa"/>
            <w:vAlign w:val="bottom"/>
          </w:tcPr>
          <w:p>
            <w:pPr>
              <w:spacing w:after="0"/>
              <w:rPr>
                <w:sz w:val="1"/>
                <w:szCs w:val="1"/>
                <w:color w:val="auto"/>
              </w:rPr>
            </w:pPr>
          </w:p>
        </w:tc>
      </w:tr>
      <w:tr>
        <w:trPr>
          <w:trHeight w:val="122"/>
        </w:trPr>
        <w:tc>
          <w:tcPr>
            <w:tcW w:w="720" w:type="dxa"/>
            <w:vAlign w:val="bottom"/>
            <w:tcBorders>
              <w:left w:val="single" w:sz="8" w:color="auto"/>
              <w:right w:val="single" w:sz="8" w:color="auto"/>
            </w:tcBorders>
            <w:vMerge w:val="continue"/>
          </w:tcPr>
          <w:p>
            <w:pPr>
              <w:spacing w:after="0"/>
              <w:rPr>
                <w:sz w:val="10"/>
                <w:szCs w:val="10"/>
                <w:color w:val="auto"/>
              </w:rPr>
            </w:pPr>
          </w:p>
        </w:tc>
        <w:tc>
          <w:tcPr>
            <w:tcW w:w="7180" w:type="dxa"/>
            <w:vAlign w:val="bottom"/>
            <w:tcBorders>
              <w:right w:val="single" w:sz="8" w:color="auto"/>
            </w:tcBorders>
            <w:vMerge w:val="restart"/>
          </w:tcPr>
          <w:p>
            <w:pPr>
              <w:ind w:left="40"/>
              <w:spacing w:after="0"/>
              <w:rPr>
                <w:sz w:val="20"/>
                <w:szCs w:val="20"/>
                <w:color w:val="auto"/>
              </w:rPr>
            </w:pPr>
            <w:r>
              <w:rPr>
                <w:rFonts w:ascii="Arial" w:cs="Arial" w:eastAsia="Arial" w:hAnsi="Arial"/>
                <w:sz w:val="18"/>
                <w:szCs w:val="18"/>
                <w:color w:val="auto"/>
                <w:w w:val="99"/>
              </w:rPr>
              <w:t>trademark. NINEBELL is disclosed as a supplier to ACMR, not a sales agent; the fact that</w:t>
            </w:r>
          </w:p>
        </w:tc>
        <w:tc>
          <w:tcPr>
            <w:tcW w:w="1320" w:type="dxa"/>
            <w:vAlign w:val="bottom"/>
            <w:tcBorders>
              <w:right w:val="single" w:sz="8" w:color="auto"/>
            </w:tcBorders>
            <w:vMerge w:val="continue"/>
          </w:tcPr>
          <w:p>
            <w:pPr>
              <w:spacing w:after="0"/>
              <w:rPr>
                <w:sz w:val="10"/>
                <w:szCs w:val="10"/>
                <w:color w:val="auto"/>
              </w:rPr>
            </w:pPr>
          </w:p>
        </w:tc>
        <w:tc>
          <w:tcPr>
            <w:tcW w:w="2020" w:type="dxa"/>
            <w:vAlign w:val="bottom"/>
            <w:tcBorders>
              <w:right w:val="single" w:sz="8" w:color="auto"/>
            </w:tcBorders>
            <w:vMerge w:val="restart"/>
          </w:tcPr>
          <w:p>
            <w:pPr>
              <w:ind w:left="60"/>
              <w:spacing w:after="0"/>
              <w:rPr>
                <w:sz w:val="20"/>
                <w:szCs w:val="20"/>
                <w:color w:val="auto"/>
              </w:rPr>
            </w:pPr>
            <w:r>
              <w:rPr>
                <w:rFonts w:ascii="Arial" w:cs="Arial" w:eastAsia="Arial" w:hAnsi="Arial"/>
                <w:sz w:val="18"/>
                <w:szCs w:val="18"/>
                <w:color w:val="auto"/>
              </w:rPr>
              <w:t>the Ultra Trademark on</w:t>
            </w:r>
          </w:p>
        </w:tc>
        <w:tc>
          <w:tcPr>
            <w:tcW w:w="0" w:type="dxa"/>
            <w:vAlign w:val="bottom"/>
          </w:tcPr>
          <w:p>
            <w:pPr>
              <w:spacing w:after="0"/>
              <w:rPr>
                <w:sz w:val="1"/>
                <w:szCs w:val="1"/>
                <w:color w:val="auto"/>
              </w:rPr>
            </w:pPr>
          </w:p>
        </w:tc>
      </w:tr>
      <w:tr>
        <w:trPr>
          <w:trHeight w:val="94"/>
        </w:trPr>
        <w:tc>
          <w:tcPr>
            <w:tcW w:w="720" w:type="dxa"/>
            <w:vAlign w:val="bottom"/>
            <w:tcBorders>
              <w:left w:val="single" w:sz="8" w:color="auto"/>
              <w:right w:val="single" w:sz="8" w:color="auto"/>
            </w:tcBorders>
          </w:tcPr>
          <w:p>
            <w:pPr>
              <w:spacing w:after="0"/>
              <w:rPr>
                <w:sz w:val="8"/>
                <w:szCs w:val="8"/>
                <w:color w:val="auto"/>
              </w:rPr>
            </w:pPr>
          </w:p>
        </w:tc>
        <w:tc>
          <w:tcPr>
            <w:tcW w:w="7180" w:type="dxa"/>
            <w:vAlign w:val="bottom"/>
            <w:tcBorders>
              <w:right w:val="single" w:sz="8" w:color="auto"/>
            </w:tcBorders>
            <w:vMerge w:val="continue"/>
          </w:tcPr>
          <w:p>
            <w:pPr>
              <w:spacing w:after="0"/>
              <w:rPr>
                <w:sz w:val="8"/>
                <w:szCs w:val="8"/>
                <w:color w:val="auto"/>
              </w:rPr>
            </w:pPr>
          </w:p>
        </w:tc>
        <w:tc>
          <w:tcPr>
            <w:tcW w:w="1320" w:type="dxa"/>
            <w:vAlign w:val="bottom"/>
            <w:tcBorders>
              <w:right w:val="single" w:sz="8" w:color="auto"/>
            </w:tcBorders>
          </w:tcPr>
          <w:p>
            <w:pPr>
              <w:spacing w:after="0"/>
              <w:rPr>
                <w:sz w:val="8"/>
                <w:szCs w:val="8"/>
                <w:color w:val="auto"/>
              </w:rPr>
            </w:pPr>
          </w:p>
        </w:tc>
        <w:tc>
          <w:tcPr>
            <w:tcW w:w="2020" w:type="dxa"/>
            <w:vAlign w:val="bottom"/>
            <w:tcBorders>
              <w:right w:val="single" w:sz="8" w:color="auto"/>
            </w:tcBorders>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30"/>
        </w:trPr>
        <w:tc>
          <w:tcPr>
            <w:tcW w:w="720" w:type="dxa"/>
            <w:vAlign w:val="bottom"/>
            <w:tcBorders>
              <w:left w:val="single" w:sz="8" w:color="auto"/>
              <w:right w:val="single" w:sz="8" w:color="auto"/>
            </w:tcBorders>
          </w:tcPr>
          <w:p>
            <w:pPr>
              <w:spacing w:after="0"/>
              <w:rPr>
                <w:sz w:val="20"/>
                <w:szCs w:val="20"/>
                <w:color w:val="auto"/>
              </w:rPr>
            </w:pPr>
          </w:p>
        </w:tc>
        <w:tc>
          <w:tcPr>
            <w:tcW w:w="718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w w:val="98"/>
              </w:rPr>
              <w:t>machines are on premises at NINEBELL indicates that they are being sold by a third party.</w:t>
            </w:r>
          </w:p>
        </w:tc>
        <w:tc>
          <w:tcPr>
            <w:tcW w:w="1320" w:type="dxa"/>
            <w:vAlign w:val="bottom"/>
            <w:tcBorders>
              <w:right w:val="single" w:sz="8" w:color="auto"/>
            </w:tcBorders>
          </w:tcPr>
          <w:p>
            <w:pPr>
              <w:spacing w:after="0"/>
              <w:rPr>
                <w:sz w:val="20"/>
                <w:szCs w:val="20"/>
                <w:color w:val="auto"/>
              </w:rPr>
            </w:pPr>
          </w:p>
        </w:tc>
        <w:tc>
          <w:tcPr>
            <w:tcW w:w="202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Premises at NINEBELL</w:t>
            </w:r>
          </w:p>
        </w:tc>
        <w:tc>
          <w:tcPr>
            <w:tcW w:w="0" w:type="dxa"/>
            <w:vAlign w:val="bottom"/>
          </w:tcPr>
          <w:p>
            <w:pPr>
              <w:spacing w:after="0"/>
              <w:rPr>
                <w:sz w:val="1"/>
                <w:szCs w:val="1"/>
                <w:color w:val="auto"/>
              </w:rPr>
            </w:pPr>
          </w:p>
        </w:tc>
      </w:tr>
      <w:tr>
        <w:trPr>
          <w:trHeight w:val="61"/>
        </w:trPr>
        <w:tc>
          <w:tcPr>
            <w:tcW w:w="720" w:type="dxa"/>
            <w:vAlign w:val="bottom"/>
            <w:tcBorders>
              <w:left w:val="single" w:sz="8" w:color="auto"/>
              <w:bottom w:val="single" w:sz="8" w:color="auto"/>
              <w:right w:val="single" w:sz="8" w:color="auto"/>
            </w:tcBorders>
          </w:tcPr>
          <w:p>
            <w:pPr>
              <w:spacing w:after="0"/>
              <w:rPr>
                <w:sz w:val="5"/>
                <w:szCs w:val="5"/>
                <w:color w:val="auto"/>
              </w:rPr>
            </w:pPr>
          </w:p>
        </w:tc>
        <w:tc>
          <w:tcPr>
            <w:tcW w:w="7180" w:type="dxa"/>
            <w:vAlign w:val="bottom"/>
            <w:tcBorders>
              <w:bottom w:val="single" w:sz="8" w:color="auto"/>
              <w:right w:val="single" w:sz="8" w:color="auto"/>
            </w:tcBorders>
          </w:tcPr>
          <w:p>
            <w:pPr>
              <w:spacing w:after="0"/>
              <w:rPr>
                <w:sz w:val="5"/>
                <w:szCs w:val="5"/>
                <w:color w:val="auto"/>
              </w:rPr>
            </w:pPr>
          </w:p>
        </w:tc>
        <w:tc>
          <w:tcPr>
            <w:tcW w:w="1320" w:type="dxa"/>
            <w:vAlign w:val="bottom"/>
            <w:tcBorders>
              <w:bottom w:val="single" w:sz="8" w:color="auto"/>
              <w:right w:val="single" w:sz="8" w:color="auto"/>
            </w:tcBorders>
          </w:tcPr>
          <w:p>
            <w:pPr>
              <w:spacing w:after="0"/>
              <w:rPr>
                <w:sz w:val="5"/>
                <w:szCs w:val="5"/>
                <w:color w:val="auto"/>
              </w:rPr>
            </w:pPr>
          </w:p>
        </w:tc>
        <w:tc>
          <w:tcPr>
            <w:tcW w:w="2020" w:type="dxa"/>
            <w:vAlign w:val="bottom"/>
            <w:tcBorders>
              <w:bottom w:val="single" w:sz="8" w:color="auto"/>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56"/>
        </w:trPr>
        <w:tc>
          <w:tcPr>
            <w:tcW w:w="720" w:type="dxa"/>
            <w:vAlign w:val="bottom"/>
            <w:tcBorders>
              <w:left w:val="single" w:sz="8" w:color="auto"/>
              <w:right w:val="single" w:sz="8" w:color="auto"/>
            </w:tcBorders>
            <w:vMerge w:val="restart"/>
          </w:tcPr>
          <w:p>
            <w:pPr>
              <w:jc w:val="right"/>
              <w:ind w:right="190"/>
              <w:spacing w:after="0"/>
              <w:rPr>
                <w:sz w:val="20"/>
                <w:szCs w:val="20"/>
                <w:color w:val="auto"/>
              </w:rPr>
            </w:pPr>
            <w:r>
              <w:rPr>
                <w:rFonts w:ascii="Arial" w:cs="Arial" w:eastAsia="Arial" w:hAnsi="Arial"/>
                <w:sz w:val="18"/>
                <w:szCs w:val="18"/>
                <w:color w:val="auto"/>
              </w:rPr>
              <w:t>20</w:t>
            </w:r>
          </w:p>
        </w:tc>
        <w:tc>
          <w:tcPr>
            <w:tcW w:w="718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rPr>
              <w:t>Customer-Reported Sales vs Company-Reported Sales</w:t>
            </w:r>
          </w:p>
        </w:tc>
        <w:tc>
          <w:tcPr>
            <w:tcW w:w="1320" w:type="dxa"/>
            <w:vAlign w:val="bottom"/>
            <w:tcBorders>
              <w:right w:val="single" w:sz="8" w:color="auto"/>
            </w:tcBorders>
            <w:vMerge w:val="restart"/>
          </w:tcPr>
          <w:p>
            <w:pPr>
              <w:jc w:val="right"/>
              <w:ind w:right="490"/>
              <w:spacing w:after="0"/>
              <w:rPr>
                <w:sz w:val="20"/>
                <w:szCs w:val="20"/>
                <w:color w:val="auto"/>
              </w:rPr>
            </w:pPr>
            <w:r>
              <w:rPr>
                <w:rFonts w:ascii="Arial" w:cs="Arial" w:eastAsia="Arial" w:hAnsi="Arial"/>
                <w:sz w:val="18"/>
                <w:szCs w:val="18"/>
                <w:color w:val="auto"/>
              </w:rPr>
              <w:t>24</w:t>
            </w:r>
          </w:p>
        </w:tc>
        <w:tc>
          <w:tcPr>
            <w:tcW w:w="202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w w:val="94"/>
              </w:rPr>
              <w:t>Other Challenge 7: About</w:t>
            </w:r>
          </w:p>
        </w:tc>
        <w:tc>
          <w:tcPr>
            <w:tcW w:w="0" w:type="dxa"/>
            <w:vAlign w:val="bottom"/>
          </w:tcPr>
          <w:p>
            <w:pPr>
              <w:spacing w:after="0"/>
              <w:rPr>
                <w:sz w:val="1"/>
                <w:szCs w:val="1"/>
                <w:color w:val="auto"/>
              </w:rPr>
            </w:pPr>
          </w:p>
        </w:tc>
      </w:tr>
      <w:tr>
        <w:trPr>
          <w:trHeight w:val="122"/>
        </w:trPr>
        <w:tc>
          <w:tcPr>
            <w:tcW w:w="720" w:type="dxa"/>
            <w:vAlign w:val="bottom"/>
            <w:tcBorders>
              <w:left w:val="single" w:sz="8" w:color="auto"/>
              <w:right w:val="single" w:sz="8" w:color="auto"/>
            </w:tcBorders>
            <w:vMerge w:val="continue"/>
          </w:tcPr>
          <w:p>
            <w:pPr>
              <w:spacing w:after="0"/>
              <w:rPr>
                <w:sz w:val="10"/>
                <w:szCs w:val="10"/>
                <w:color w:val="auto"/>
              </w:rPr>
            </w:pPr>
          </w:p>
        </w:tc>
        <w:tc>
          <w:tcPr>
            <w:tcW w:w="7180" w:type="dxa"/>
            <w:vAlign w:val="bottom"/>
            <w:tcBorders>
              <w:right w:val="single" w:sz="8" w:color="auto"/>
            </w:tcBorders>
          </w:tcPr>
          <w:p>
            <w:pPr>
              <w:spacing w:after="0"/>
              <w:rPr>
                <w:sz w:val="10"/>
                <w:szCs w:val="10"/>
                <w:color w:val="auto"/>
              </w:rPr>
            </w:pPr>
          </w:p>
        </w:tc>
        <w:tc>
          <w:tcPr>
            <w:tcW w:w="1320" w:type="dxa"/>
            <w:vAlign w:val="bottom"/>
            <w:tcBorders>
              <w:right w:val="single" w:sz="8" w:color="auto"/>
            </w:tcBorders>
            <w:vMerge w:val="continue"/>
          </w:tcPr>
          <w:p>
            <w:pPr>
              <w:spacing w:after="0"/>
              <w:rPr>
                <w:sz w:val="10"/>
                <w:szCs w:val="10"/>
                <w:color w:val="auto"/>
              </w:rPr>
            </w:pPr>
          </w:p>
        </w:tc>
        <w:tc>
          <w:tcPr>
            <w:tcW w:w="2020" w:type="dxa"/>
            <w:vAlign w:val="bottom"/>
            <w:tcBorders>
              <w:right w:val="single" w:sz="8" w:color="auto"/>
            </w:tcBorders>
            <w:vMerge w:val="restart"/>
          </w:tcPr>
          <w:p>
            <w:pPr>
              <w:ind w:left="60"/>
              <w:spacing w:after="0"/>
              <w:rPr>
                <w:sz w:val="20"/>
                <w:szCs w:val="20"/>
                <w:color w:val="auto"/>
              </w:rPr>
            </w:pPr>
            <w:r>
              <w:rPr>
                <w:rFonts w:ascii="Arial" w:cs="Arial" w:eastAsia="Arial" w:hAnsi="Arial"/>
                <w:sz w:val="18"/>
                <w:szCs w:val="18"/>
                <w:color w:val="auto"/>
              </w:rPr>
              <w:t>Sales Differences</w:t>
            </w:r>
          </w:p>
        </w:tc>
        <w:tc>
          <w:tcPr>
            <w:tcW w:w="0" w:type="dxa"/>
            <w:vAlign w:val="bottom"/>
          </w:tcPr>
          <w:p>
            <w:pPr>
              <w:spacing w:after="0"/>
              <w:rPr>
                <w:sz w:val="1"/>
                <w:szCs w:val="1"/>
                <w:color w:val="auto"/>
              </w:rPr>
            </w:pPr>
          </w:p>
        </w:tc>
      </w:tr>
      <w:tr>
        <w:trPr>
          <w:trHeight w:val="108"/>
        </w:trPr>
        <w:tc>
          <w:tcPr>
            <w:tcW w:w="720" w:type="dxa"/>
            <w:vAlign w:val="bottom"/>
            <w:tcBorders>
              <w:left w:val="single" w:sz="8" w:color="auto"/>
              <w:right w:val="single" w:sz="8" w:color="auto"/>
            </w:tcBorders>
          </w:tcPr>
          <w:p>
            <w:pPr>
              <w:spacing w:after="0"/>
              <w:rPr>
                <w:sz w:val="9"/>
                <w:szCs w:val="9"/>
                <w:color w:val="auto"/>
              </w:rPr>
            </w:pPr>
          </w:p>
        </w:tc>
        <w:tc>
          <w:tcPr>
            <w:tcW w:w="7180" w:type="dxa"/>
            <w:vAlign w:val="bottom"/>
            <w:tcBorders>
              <w:right w:val="single" w:sz="8" w:color="auto"/>
            </w:tcBorders>
          </w:tcPr>
          <w:p>
            <w:pPr>
              <w:spacing w:after="0"/>
              <w:rPr>
                <w:sz w:val="9"/>
                <w:szCs w:val="9"/>
                <w:color w:val="auto"/>
              </w:rPr>
            </w:pPr>
          </w:p>
        </w:tc>
        <w:tc>
          <w:tcPr>
            <w:tcW w:w="1320" w:type="dxa"/>
            <w:vAlign w:val="bottom"/>
            <w:tcBorders>
              <w:right w:val="single" w:sz="8" w:color="auto"/>
            </w:tcBorders>
          </w:tcPr>
          <w:p>
            <w:pPr>
              <w:spacing w:after="0"/>
              <w:rPr>
                <w:sz w:val="9"/>
                <w:szCs w:val="9"/>
                <w:color w:val="auto"/>
              </w:rPr>
            </w:pPr>
          </w:p>
        </w:tc>
        <w:tc>
          <w:tcPr>
            <w:tcW w:w="2020" w:type="dxa"/>
            <w:vAlign w:val="bottom"/>
            <w:tcBorders>
              <w:right w:val="single" w:sz="8" w:color="auto"/>
            </w:tcBorders>
            <w:vMerge w:val="continue"/>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720" w:type="dxa"/>
            <w:vAlign w:val="bottom"/>
            <w:tcBorders>
              <w:left w:val="single" w:sz="8" w:color="auto"/>
              <w:bottom w:val="single" w:sz="8" w:color="auto"/>
              <w:right w:val="single" w:sz="8" w:color="auto"/>
            </w:tcBorders>
          </w:tcPr>
          <w:p>
            <w:pPr>
              <w:spacing w:after="0"/>
              <w:rPr>
                <w:sz w:val="5"/>
                <w:szCs w:val="5"/>
                <w:color w:val="auto"/>
              </w:rPr>
            </w:pPr>
          </w:p>
        </w:tc>
        <w:tc>
          <w:tcPr>
            <w:tcW w:w="7180" w:type="dxa"/>
            <w:vAlign w:val="bottom"/>
            <w:tcBorders>
              <w:bottom w:val="single" w:sz="8" w:color="auto"/>
              <w:right w:val="single" w:sz="8" w:color="auto"/>
            </w:tcBorders>
          </w:tcPr>
          <w:p>
            <w:pPr>
              <w:spacing w:after="0"/>
              <w:rPr>
                <w:sz w:val="5"/>
                <w:szCs w:val="5"/>
                <w:color w:val="auto"/>
              </w:rPr>
            </w:pPr>
          </w:p>
        </w:tc>
        <w:tc>
          <w:tcPr>
            <w:tcW w:w="1320" w:type="dxa"/>
            <w:vAlign w:val="bottom"/>
            <w:tcBorders>
              <w:bottom w:val="single" w:sz="8" w:color="auto"/>
              <w:right w:val="single" w:sz="8" w:color="auto"/>
            </w:tcBorders>
          </w:tcPr>
          <w:p>
            <w:pPr>
              <w:spacing w:after="0"/>
              <w:rPr>
                <w:sz w:val="5"/>
                <w:szCs w:val="5"/>
                <w:color w:val="auto"/>
              </w:rPr>
            </w:pPr>
          </w:p>
        </w:tc>
        <w:tc>
          <w:tcPr>
            <w:tcW w:w="2020" w:type="dxa"/>
            <w:vAlign w:val="bottom"/>
            <w:tcBorders>
              <w:bottom w:val="single" w:sz="8" w:color="auto"/>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56"/>
        </w:trPr>
        <w:tc>
          <w:tcPr>
            <w:tcW w:w="720" w:type="dxa"/>
            <w:vAlign w:val="bottom"/>
            <w:tcBorders>
              <w:left w:val="single" w:sz="8" w:color="auto"/>
              <w:right w:val="single" w:sz="8" w:color="auto"/>
            </w:tcBorders>
          </w:tcPr>
          <w:p>
            <w:pPr>
              <w:spacing w:after="0"/>
              <w:rPr>
                <w:sz w:val="22"/>
                <w:szCs w:val="22"/>
                <w:color w:val="auto"/>
              </w:rPr>
            </w:pPr>
          </w:p>
        </w:tc>
        <w:tc>
          <w:tcPr>
            <w:tcW w:w="718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w w:val="94"/>
              </w:rPr>
              <w:t>TJM PARTNERS LTD. A Korean company established in 2004 by Mok Jung Lai, who is also a</w:t>
            </w:r>
          </w:p>
        </w:tc>
        <w:tc>
          <w:tcPr>
            <w:tcW w:w="1320" w:type="dxa"/>
            <w:vAlign w:val="bottom"/>
            <w:tcBorders>
              <w:right w:val="single" w:sz="8" w:color="auto"/>
            </w:tcBorders>
          </w:tcPr>
          <w:p>
            <w:pPr>
              <w:spacing w:after="0"/>
              <w:rPr>
                <w:sz w:val="22"/>
                <w:szCs w:val="22"/>
                <w:color w:val="auto"/>
              </w:rPr>
            </w:pPr>
          </w:p>
        </w:tc>
        <w:tc>
          <w:tcPr>
            <w:tcW w:w="202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16"/>
        </w:trPr>
        <w:tc>
          <w:tcPr>
            <w:tcW w:w="720" w:type="dxa"/>
            <w:vAlign w:val="bottom"/>
            <w:tcBorders>
              <w:left w:val="single" w:sz="8" w:color="auto"/>
              <w:right w:val="single" w:sz="8" w:color="auto"/>
            </w:tcBorders>
            <w:vMerge w:val="restart"/>
          </w:tcPr>
          <w:p>
            <w:pPr>
              <w:jc w:val="right"/>
              <w:ind w:right="190"/>
              <w:spacing w:after="0"/>
              <w:rPr>
                <w:sz w:val="20"/>
                <w:szCs w:val="20"/>
                <w:color w:val="auto"/>
              </w:rPr>
            </w:pPr>
            <w:r>
              <w:rPr>
                <w:rFonts w:ascii="Arial" w:cs="Arial" w:eastAsia="Arial" w:hAnsi="Arial"/>
                <w:sz w:val="18"/>
                <w:szCs w:val="18"/>
                <w:color w:val="auto"/>
              </w:rPr>
              <w:t>21</w:t>
            </w:r>
          </w:p>
        </w:tc>
        <w:tc>
          <w:tcPr>
            <w:tcW w:w="718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w w:val="99"/>
              </w:rPr>
              <w:t>principal of HJS Eng, a co-patent holder for many of the ACMR and Nomura patents. The</w:t>
            </w:r>
          </w:p>
        </w:tc>
        <w:tc>
          <w:tcPr>
            <w:tcW w:w="1320" w:type="dxa"/>
            <w:vAlign w:val="bottom"/>
            <w:tcBorders>
              <w:right w:val="single" w:sz="8" w:color="auto"/>
            </w:tcBorders>
            <w:vMerge w:val="restart"/>
          </w:tcPr>
          <w:p>
            <w:pPr>
              <w:jc w:val="right"/>
              <w:ind w:right="490"/>
              <w:spacing w:after="0"/>
              <w:rPr>
                <w:sz w:val="20"/>
                <w:szCs w:val="20"/>
                <w:color w:val="auto"/>
              </w:rPr>
            </w:pPr>
            <w:r>
              <w:rPr>
                <w:rFonts w:ascii="Arial" w:cs="Arial" w:eastAsia="Arial" w:hAnsi="Arial"/>
                <w:sz w:val="18"/>
                <w:szCs w:val="18"/>
                <w:color w:val="auto"/>
              </w:rPr>
              <w:t>26</w:t>
            </w:r>
          </w:p>
        </w:tc>
        <w:tc>
          <w:tcPr>
            <w:tcW w:w="202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w w:val="94"/>
              </w:rPr>
              <w:t>Other Challenge 6: About</w:t>
            </w:r>
          </w:p>
        </w:tc>
        <w:tc>
          <w:tcPr>
            <w:tcW w:w="0" w:type="dxa"/>
            <w:vAlign w:val="bottom"/>
          </w:tcPr>
          <w:p>
            <w:pPr>
              <w:spacing w:after="0"/>
              <w:rPr>
                <w:sz w:val="1"/>
                <w:szCs w:val="1"/>
                <w:color w:val="auto"/>
              </w:rPr>
            </w:pPr>
          </w:p>
        </w:tc>
      </w:tr>
      <w:tr>
        <w:trPr>
          <w:trHeight w:val="122"/>
        </w:trPr>
        <w:tc>
          <w:tcPr>
            <w:tcW w:w="720" w:type="dxa"/>
            <w:vAlign w:val="bottom"/>
            <w:tcBorders>
              <w:left w:val="single" w:sz="8" w:color="auto"/>
              <w:right w:val="single" w:sz="8" w:color="auto"/>
            </w:tcBorders>
            <w:vMerge w:val="continue"/>
          </w:tcPr>
          <w:p>
            <w:pPr>
              <w:spacing w:after="0"/>
              <w:rPr>
                <w:sz w:val="10"/>
                <w:szCs w:val="10"/>
                <w:color w:val="auto"/>
              </w:rPr>
            </w:pPr>
          </w:p>
        </w:tc>
        <w:tc>
          <w:tcPr>
            <w:tcW w:w="7180" w:type="dxa"/>
            <w:vAlign w:val="bottom"/>
            <w:tcBorders>
              <w:right w:val="single" w:sz="8" w:color="auto"/>
            </w:tcBorders>
            <w:vMerge w:val="restart"/>
          </w:tcPr>
          <w:p>
            <w:pPr>
              <w:ind w:left="40"/>
              <w:spacing w:after="0"/>
              <w:rPr>
                <w:sz w:val="20"/>
                <w:szCs w:val="20"/>
                <w:color w:val="auto"/>
              </w:rPr>
            </w:pPr>
            <w:r>
              <w:rPr>
                <w:rFonts w:ascii="Arial" w:cs="Arial" w:eastAsia="Arial" w:hAnsi="Arial"/>
                <w:sz w:val="18"/>
                <w:szCs w:val="18"/>
                <w:color w:val="auto"/>
              </w:rPr>
              <w:t>company always works with Hanwool and does not appear to have separate operations.</w:t>
            </w:r>
          </w:p>
        </w:tc>
        <w:tc>
          <w:tcPr>
            <w:tcW w:w="1320" w:type="dxa"/>
            <w:vAlign w:val="bottom"/>
            <w:tcBorders>
              <w:right w:val="single" w:sz="8" w:color="auto"/>
            </w:tcBorders>
            <w:vMerge w:val="continue"/>
          </w:tcPr>
          <w:p>
            <w:pPr>
              <w:spacing w:after="0"/>
              <w:rPr>
                <w:sz w:val="10"/>
                <w:szCs w:val="10"/>
                <w:color w:val="auto"/>
              </w:rPr>
            </w:pPr>
          </w:p>
        </w:tc>
        <w:tc>
          <w:tcPr>
            <w:tcW w:w="2020" w:type="dxa"/>
            <w:vAlign w:val="bottom"/>
            <w:tcBorders>
              <w:right w:val="single" w:sz="8" w:color="auto"/>
            </w:tcBorders>
            <w:vMerge w:val="restart"/>
          </w:tcPr>
          <w:p>
            <w:pPr>
              <w:ind w:left="60"/>
              <w:spacing w:after="0"/>
              <w:rPr>
                <w:sz w:val="20"/>
                <w:szCs w:val="20"/>
                <w:color w:val="auto"/>
              </w:rPr>
            </w:pPr>
            <w:r>
              <w:rPr>
                <w:rFonts w:ascii="Arial" w:cs="Arial" w:eastAsia="Arial" w:hAnsi="Arial"/>
                <w:sz w:val="18"/>
                <w:szCs w:val="18"/>
                <w:color w:val="auto"/>
              </w:rPr>
              <w:t>Hanwool</w:t>
            </w:r>
          </w:p>
        </w:tc>
        <w:tc>
          <w:tcPr>
            <w:tcW w:w="0" w:type="dxa"/>
            <w:vAlign w:val="bottom"/>
          </w:tcPr>
          <w:p>
            <w:pPr>
              <w:spacing w:after="0"/>
              <w:rPr>
                <w:sz w:val="1"/>
                <w:szCs w:val="1"/>
                <w:color w:val="auto"/>
              </w:rPr>
            </w:pPr>
          </w:p>
        </w:tc>
      </w:tr>
      <w:tr>
        <w:trPr>
          <w:trHeight w:val="108"/>
        </w:trPr>
        <w:tc>
          <w:tcPr>
            <w:tcW w:w="720" w:type="dxa"/>
            <w:vAlign w:val="bottom"/>
            <w:tcBorders>
              <w:left w:val="single" w:sz="8" w:color="auto"/>
              <w:right w:val="single" w:sz="8" w:color="auto"/>
            </w:tcBorders>
          </w:tcPr>
          <w:p>
            <w:pPr>
              <w:spacing w:after="0"/>
              <w:rPr>
                <w:sz w:val="9"/>
                <w:szCs w:val="9"/>
                <w:color w:val="auto"/>
              </w:rPr>
            </w:pPr>
          </w:p>
        </w:tc>
        <w:tc>
          <w:tcPr>
            <w:tcW w:w="7180" w:type="dxa"/>
            <w:vAlign w:val="bottom"/>
            <w:tcBorders>
              <w:right w:val="single" w:sz="8" w:color="auto"/>
            </w:tcBorders>
            <w:vMerge w:val="continue"/>
          </w:tcPr>
          <w:p>
            <w:pPr>
              <w:spacing w:after="0"/>
              <w:rPr>
                <w:sz w:val="9"/>
                <w:szCs w:val="9"/>
                <w:color w:val="auto"/>
              </w:rPr>
            </w:pPr>
          </w:p>
        </w:tc>
        <w:tc>
          <w:tcPr>
            <w:tcW w:w="1320" w:type="dxa"/>
            <w:vAlign w:val="bottom"/>
            <w:tcBorders>
              <w:right w:val="single" w:sz="8" w:color="auto"/>
            </w:tcBorders>
          </w:tcPr>
          <w:p>
            <w:pPr>
              <w:spacing w:after="0"/>
              <w:rPr>
                <w:sz w:val="9"/>
                <w:szCs w:val="9"/>
                <w:color w:val="auto"/>
              </w:rPr>
            </w:pPr>
          </w:p>
        </w:tc>
        <w:tc>
          <w:tcPr>
            <w:tcW w:w="2020" w:type="dxa"/>
            <w:vAlign w:val="bottom"/>
            <w:tcBorders>
              <w:right w:val="single" w:sz="8" w:color="auto"/>
            </w:tcBorders>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77"/>
        </w:trPr>
        <w:tc>
          <w:tcPr>
            <w:tcW w:w="720" w:type="dxa"/>
            <w:vAlign w:val="bottom"/>
            <w:tcBorders>
              <w:left w:val="single" w:sz="8" w:color="auto"/>
              <w:bottom w:val="single" w:sz="8" w:color="auto"/>
              <w:right w:val="single" w:sz="8" w:color="auto"/>
            </w:tcBorders>
          </w:tcPr>
          <w:p>
            <w:pPr>
              <w:spacing w:after="0"/>
              <w:rPr>
                <w:sz w:val="24"/>
                <w:szCs w:val="24"/>
                <w:color w:val="auto"/>
              </w:rPr>
            </w:pPr>
          </w:p>
        </w:tc>
        <w:tc>
          <w:tcPr>
            <w:tcW w:w="7180" w:type="dxa"/>
            <w:vAlign w:val="bottom"/>
            <w:tcBorders>
              <w:bottom w:val="single" w:sz="8" w:color="auto"/>
              <w:right w:val="single" w:sz="8" w:color="auto"/>
            </w:tcBorders>
          </w:tcPr>
          <w:p>
            <w:pPr>
              <w:spacing w:after="0"/>
              <w:rPr>
                <w:sz w:val="24"/>
                <w:szCs w:val="24"/>
                <w:color w:val="auto"/>
              </w:rPr>
            </w:pPr>
          </w:p>
        </w:tc>
        <w:tc>
          <w:tcPr>
            <w:tcW w:w="1320" w:type="dxa"/>
            <w:vAlign w:val="bottom"/>
            <w:tcBorders>
              <w:bottom w:val="single" w:sz="8" w:color="auto"/>
              <w:right w:val="single" w:sz="8" w:color="auto"/>
            </w:tcBorders>
          </w:tcPr>
          <w:p>
            <w:pPr>
              <w:spacing w:after="0"/>
              <w:rPr>
                <w:sz w:val="24"/>
                <w:szCs w:val="24"/>
                <w:color w:val="auto"/>
              </w:rPr>
            </w:pPr>
          </w:p>
        </w:tc>
        <w:tc>
          <w:tcPr>
            <w:tcW w:w="202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720" w:type="dxa"/>
            <w:vAlign w:val="bottom"/>
            <w:tcBorders>
              <w:left w:val="single" w:sz="8" w:color="auto"/>
              <w:right w:val="single" w:sz="8" w:color="auto"/>
            </w:tcBorders>
          </w:tcPr>
          <w:p>
            <w:pPr>
              <w:spacing w:after="0"/>
              <w:rPr>
                <w:sz w:val="23"/>
                <w:szCs w:val="23"/>
                <w:color w:val="auto"/>
              </w:rPr>
            </w:pPr>
          </w:p>
        </w:tc>
        <w:tc>
          <w:tcPr>
            <w:tcW w:w="718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rPr>
              <w:t>Acting as own “agent”</w:t>
            </w:r>
          </w:p>
        </w:tc>
        <w:tc>
          <w:tcPr>
            <w:tcW w:w="1320" w:type="dxa"/>
            <w:vAlign w:val="bottom"/>
            <w:tcBorders>
              <w:right w:val="single" w:sz="8" w:color="auto"/>
            </w:tcBorders>
          </w:tcPr>
          <w:p>
            <w:pPr>
              <w:spacing w:after="0"/>
              <w:rPr>
                <w:sz w:val="23"/>
                <w:szCs w:val="23"/>
                <w:color w:val="auto"/>
              </w:rPr>
            </w:pPr>
          </w:p>
        </w:tc>
        <w:tc>
          <w:tcPr>
            <w:tcW w:w="2020" w:type="dxa"/>
            <w:vAlign w:val="bottom"/>
            <w:tcBorders>
              <w:right w:val="single" w:sz="8" w:color="auto"/>
            </w:tcBorders>
            <w:vMerge w:val="restart"/>
          </w:tcPr>
          <w:p>
            <w:pPr>
              <w:ind w:left="60"/>
              <w:spacing w:after="0"/>
              <w:rPr>
                <w:sz w:val="20"/>
                <w:szCs w:val="20"/>
                <w:color w:val="auto"/>
              </w:rPr>
            </w:pPr>
            <w:r>
              <w:rPr>
                <w:rFonts w:ascii="Arial" w:cs="Arial" w:eastAsia="Arial" w:hAnsi="Arial"/>
                <w:sz w:val="18"/>
                <w:szCs w:val="18"/>
                <w:color w:val="auto"/>
                <w:w w:val="94"/>
              </w:rPr>
              <w:t>Other Challenge 7: About</w:t>
            </w:r>
          </w:p>
        </w:tc>
        <w:tc>
          <w:tcPr>
            <w:tcW w:w="0" w:type="dxa"/>
            <w:vAlign w:val="bottom"/>
          </w:tcPr>
          <w:p>
            <w:pPr>
              <w:spacing w:after="0"/>
              <w:rPr>
                <w:sz w:val="1"/>
                <w:szCs w:val="1"/>
                <w:color w:val="auto"/>
              </w:rPr>
            </w:pPr>
          </w:p>
        </w:tc>
      </w:tr>
      <w:tr>
        <w:trPr>
          <w:trHeight w:val="202"/>
        </w:trPr>
        <w:tc>
          <w:tcPr>
            <w:tcW w:w="720" w:type="dxa"/>
            <w:vAlign w:val="bottom"/>
            <w:tcBorders>
              <w:left w:val="single" w:sz="8" w:color="auto"/>
              <w:right w:val="single" w:sz="8" w:color="auto"/>
            </w:tcBorders>
            <w:vMerge w:val="restart"/>
          </w:tcPr>
          <w:p>
            <w:pPr>
              <w:jc w:val="right"/>
              <w:ind w:right="190"/>
              <w:spacing w:after="0"/>
              <w:rPr>
                <w:sz w:val="20"/>
                <w:szCs w:val="20"/>
                <w:color w:val="auto"/>
              </w:rPr>
            </w:pPr>
            <w:r>
              <w:rPr>
                <w:rFonts w:ascii="Arial" w:cs="Arial" w:eastAsia="Arial" w:hAnsi="Arial"/>
                <w:sz w:val="18"/>
                <w:szCs w:val="18"/>
                <w:color w:val="auto"/>
              </w:rPr>
              <w:t>22</w:t>
            </w:r>
          </w:p>
        </w:tc>
        <w:tc>
          <w:tcPr>
            <w:tcW w:w="7180" w:type="dxa"/>
            <w:vAlign w:val="bottom"/>
            <w:tcBorders>
              <w:right w:val="single" w:sz="8" w:color="auto"/>
            </w:tcBorders>
          </w:tcPr>
          <w:p>
            <w:pPr>
              <w:spacing w:after="0"/>
              <w:rPr>
                <w:sz w:val="17"/>
                <w:szCs w:val="17"/>
                <w:color w:val="auto"/>
              </w:rPr>
            </w:pPr>
          </w:p>
        </w:tc>
        <w:tc>
          <w:tcPr>
            <w:tcW w:w="1320" w:type="dxa"/>
            <w:vAlign w:val="bottom"/>
            <w:tcBorders>
              <w:right w:val="single" w:sz="8" w:color="auto"/>
            </w:tcBorders>
            <w:vMerge w:val="restart"/>
          </w:tcPr>
          <w:p>
            <w:pPr>
              <w:jc w:val="right"/>
              <w:ind w:right="490"/>
              <w:spacing w:after="0"/>
              <w:rPr>
                <w:sz w:val="20"/>
                <w:szCs w:val="20"/>
                <w:color w:val="auto"/>
              </w:rPr>
            </w:pPr>
            <w:r>
              <w:rPr>
                <w:rFonts w:ascii="Arial" w:cs="Arial" w:eastAsia="Arial" w:hAnsi="Arial"/>
                <w:sz w:val="18"/>
                <w:szCs w:val="18"/>
                <w:color w:val="auto"/>
              </w:rPr>
              <w:t>27</w:t>
            </w:r>
          </w:p>
        </w:tc>
        <w:tc>
          <w:tcPr>
            <w:tcW w:w="2020" w:type="dxa"/>
            <w:vAlign w:val="bottom"/>
            <w:tcBorders>
              <w:right w:val="single" w:sz="8" w:color="auto"/>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22"/>
        </w:trPr>
        <w:tc>
          <w:tcPr>
            <w:tcW w:w="720" w:type="dxa"/>
            <w:vAlign w:val="bottom"/>
            <w:tcBorders>
              <w:left w:val="single" w:sz="8" w:color="auto"/>
              <w:right w:val="single" w:sz="8" w:color="auto"/>
            </w:tcBorders>
            <w:vMerge w:val="continue"/>
          </w:tcPr>
          <w:p>
            <w:pPr>
              <w:spacing w:after="0"/>
              <w:rPr>
                <w:sz w:val="10"/>
                <w:szCs w:val="10"/>
                <w:color w:val="auto"/>
              </w:rPr>
            </w:pPr>
          </w:p>
        </w:tc>
        <w:tc>
          <w:tcPr>
            <w:tcW w:w="7180" w:type="dxa"/>
            <w:vAlign w:val="bottom"/>
            <w:tcBorders>
              <w:right w:val="single" w:sz="8" w:color="auto"/>
            </w:tcBorders>
            <w:vMerge w:val="restart"/>
          </w:tcPr>
          <w:p>
            <w:pPr>
              <w:ind w:left="40"/>
              <w:spacing w:after="0"/>
              <w:rPr>
                <w:sz w:val="20"/>
                <w:szCs w:val="20"/>
                <w:color w:val="auto"/>
              </w:rPr>
            </w:pPr>
            <w:r>
              <w:rPr>
                <w:rFonts w:ascii="Arial" w:cs="Arial" w:eastAsia="Arial" w:hAnsi="Arial"/>
                <w:sz w:val="18"/>
                <w:szCs w:val="18"/>
                <w:color w:val="auto"/>
                <w:w w:val="91"/>
              </w:rPr>
              <w:t>Yangtze Memory and Huahong were both customers and end customers. In other words, Yangtze</w:t>
            </w:r>
          </w:p>
        </w:tc>
        <w:tc>
          <w:tcPr>
            <w:tcW w:w="1320" w:type="dxa"/>
            <w:vAlign w:val="bottom"/>
            <w:tcBorders>
              <w:right w:val="single" w:sz="8" w:color="auto"/>
            </w:tcBorders>
            <w:vMerge w:val="continue"/>
          </w:tcPr>
          <w:p>
            <w:pPr>
              <w:spacing w:after="0"/>
              <w:rPr>
                <w:sz w:val="10"/>
                <w:szCs w:val="10"/>
                <w:color w:val="auto"/>
              </w:rPr>
            </w:pPr>
          </w:p>
        </w:tc>
        <w:tc>
          <w:tcPr>
            <w:tcW w:w="2020" w:type="dxa"/>
            <w:vAlign w:val="bottom"/>
            <w:tcBorders>
              <w:right w:val="single" w:sz="8" w:color="auto"/>
            </w:tcBorders>
            <w:vMerge w:val="restart"/>
          </w:tcPr>
          <w:p>
            <w:pPr>
              <w:ind w:left="60"/>
              <w:spacing w:after="0"/>
              <w:rPr>
                <w:sz w:val="20"/>
                <w:szCs w:val="20"/>
                <w:color w:val="auto"/>
              </w:rPr>
            </w:pPr>
            <w:r>
              <w:rPr>
                <w:rFonts w:ascii="Arial" w:cs="Arial" w:eastAsia="Arial" w:hAnsi="Arial"/>
                <w:sz w:val="18"/>
                <w:szCs w:val="18"/>
                <w:color w:val="auto"/>
              </w:rPr>
              <w:t>Sales Differences</w:t>
            </w:r>
          </w:p>
        </w:tc>
        <w:tc>
          <w:tcPr>
            <w:tcW w:w="0" w:type="dxa"/>
            <w:vAlign w:val="bottom"/>
          </w:tcPr>
          <w:p>
            <w:pPr>
              <w:spacing w:after="0"/>
              <w:rPr>
                <w:sz w:val="1"/>
                <w:szCs w:val="1"/>
                <w:color w:val="auto"/>
              </w:rPr>
            </w:pPr>
          </w:p>
        </w:tc>
      </w:tr>
      <w:tr>
        <w:trPr>
          <w:trHeight w:val="94"/>
        </w:trPr>
        <w:tc>
          <w:tcPr>
            <w:tcW w:w="720" w:type="dxa"/>
            <w:vAlign w:val="bottom"/>
            <w:tcBorders>
              <w:left w:val="single" w:sz="8" w:color="auto"/>
              <w:right w:val="single" w:sz="8" w:color="auto"/>
            </w:tcBorders>
          </w:tcPr>
          <w:p>
            <w:pPr>
              <w:spacing w:after="0"/>
              <w:rPr>
                <w:sz w:val="8"/>
                <w:szCs w:val="8"/>
                <w:color w:val="auto"/>
              </w:rPr>
            </w:pPr>
          </w:p>
        </w:tc>
        <w:tc>
          <w:tcPr>
            <w:tcW w:w="7180" w:type="dxa"/>
            <w:vAlign w:val="bottom"/>
            <w:tcBorders>
              <w:right w:val="single" w:sz="8" w:color="auto"/>
            </w:tcBorders>
            <w:vMerge w:val="continue"/>
          </w:tcPr>
          <w:p>
            <w:pPr>
              <w:spacing w:after="0"/>
              <w:rPr>
                <w:sz w:val="8"/>
                <w:szCs w:val="8"/>
                <w:color w:val="auto"/>
              </w:rPr>
            </w:pPr>
          </w:p>
        </w:tc>
        <w:tc>
          <w:tcPr>
            <w:tcW w:w="1320" w:type="dxa"/>
            <w:vAlign w:val="bottom"/>
            <w:tcBorders>
              <w:right w:val="single" w:sz="8" w:color="auto"/>
            </w:tcBorders>
          </w:tcPr>
          <w:p>
            <w:pPr>
              <w:spacing w:after="0"/>
              <w:rPr>
                <w:sz w:val="8"/>
                <w:szCs w:val="8"/>
                <w:color w:val="auto"/>
              </w:rPr>
            </w:pPr>
          </w:p>
        </w:tc>
        <w:tc>
          <w:tcPr>
            <w:tcW w:w="2020" w:type="dxa"/>
            <w:vAlign w:val="bottom"/>
            <w:tcBorders>
              <w:right w:val="single" w:sz="8" w:color="auto"/>
            </w:tcBorders>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30"/>
        </w:trPr>
        <w:tc>
          <w:tcPr>
            <w:tcW w:w="720" w:type="dxa"/>
            <w:vAlign w:val="bottom"/>
            <w:tcBorders>
              <w:left w:val="single" w:sz="8" w:color="auto"/>
              <w:right w:val="single" w:sz="8" w:color="auto"/>
            </w:tcBorders>
          </w:tcPr>
          <w:p>
            <w:pPr>
              <w:spacing w:after="0"/>
              <w:rPr>
                <w:sz w:val="20"/>
                <w:szCs w:val="20"/>
                <w:color w:val="auto"/>
              </w:rPr>
            </w:pPr>
          </w:p>
        </w:tc>
        <w:tc>
          <w:tcPr>
            <w:tcW w:w="718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rPr>
              <w:t>Memory and Huahong were collecting hefty commissions on selling to themselves.</w:t>
            </w:r>
          </w:p>
        </w:tc>
        <w:tc>
          <w:tcPr>
            <w:tcW w:w="1320" w:type="dxa"/>
            <w:vAlign w:val="bottom"/>
            <w:tcBorders>
              <w:right w:val="single" w:sz="8" w:color="auto"/>
            </w:tcBorders>
          </w:tcPr>
          <w:p>
            <w:pPr>
              <w:spacing w:after="0"/>
              <w:rPr>
                <w:sz w:val="20"/>
                <w:szCs w:val="20"/>
                <w:color w:val="auto"/>
              </w:rPr>
            </w:pPr>
          </w:p>
        </w:tc>
        <w:tc>
          <w:tcPr>
            <w:tcW w:w="20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61"/>
        </w:trPr>
        <w:tc>
          <w:tcPr>
            <w:tcW w:w="720" w:type="dxa"/>
            <w:vAlign w:val="bottom"/>
            <w:tcBorders>
              <w:left w:val="single" w:sz="8" w:color="auto"/>
              <w:bottom w:val="single" w:sz="8" w:color="auto"/>
              <w:right w:val="single" w:sz="8" w:color="auto"/>
            </w:tcBorders>
          </w:tcPr>
          <w:p>
            <w:pPr>
              <w:spacing w:after="0"/>
              <w:rPr>
                <w:sz w:val="5"/>
                <w:szCs w:val="5"/>
                <w:color w:val="auto"/>
              </w:rPr>
            </w:pPr>
          </w:p>
        </w:tc>
        <w:tc>
          <w:tcPr>
            <w:tcW w:w="7180" w:type="dxa"/>
            <w:vAlign w:val="bottom"/>
            <w:tcBorders>
              <w:bottom w:val="single" w:sz="8" w:color="auto"/>
              <w:right w:val="single" w:sz="8" w:color="auto"/>
            </w:tcBorders>
          </w:tcPr>
          <w:p>
            <w:pPr>
              <w:spacing w:after="0"/>
              <w:rPr>
                <w:sz w:val="5"/>
                <w:szCs w:val="5"/>
                <w:color w:val="auto"/>
              </w:rPr>
            </w:pPr>
          </w:p>
        </w:tc>
        <w:tc>
          <w:tcPr>
            <w:tcW w:w="1320" w:type="dxa"/>
            <w:vAlign w:val="bottom"/>
            <w:tcBorders>
              <w:bottom w:val="single" w:sz="8" w:color="auto"/>
              <w:right w:val="single" w:sz="8" w:color="auto"/>
            </w:tcBorders>
          </w:tcPr>
          <w:p>
            <w:pPr>
              <w:spacing w:after="0"/>
              <w:rPr>
                <w:sz w:val="5"/>
                <w:szCs w:val="5"/>
                <w:color w:val="auto"/>
              </w:rPr>
            </w:pPr>
          </w:p>
        </w:tc>
        <w:tc>
          <w:tcPr>
            <w:tcW w:w="2020" w:type="dxa"/>
            <w:vAlign w:val="bottom"/>
            <w:tcBorders>
              <w:bottom w:val="single" w:sz="8" w:color="auto"/>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582"/>
        </w:trPr>
        <w:tc>
          <w:tcPr>
            <w:tcW w:w="720" w:type="dxa"/>
            <w:vAlign w:val="bottom"/>
          </w:tcPr>
          <w:p>
            <w:pPr>
              <w:spacing w:after="0"/>
              <w:rPr>
                <w:sz w:val="24"/>
                <w:szCs w:val="24"/>
                <w:color w:val="auto"/>
              </w:rPr>
            </w:pPr>
          </w:p>
        </w:tc>
        <w:tc>
          <w:tcPr>
            <w:tcW w:w="7180" w:type="dxa"/>
            <w:vAlign w:val="bottom"/>
          </w:tcPr>
          <w:p>
            <w:pPr>
              <w:ind w:left="4660"/>
              <w:spacing w:after="0"/>
              <w:rPr>
                <w:sz w:val="20"/>
                <w:szCs w:val="20"/>
                <w:color w:val="auto"/>
              </w:rPr>
            </w:pPr>
            <w:r>
              <w:rPr>
                <w:rFonts w:ascii="Arial" w:cs="Arial" w:eastAsia="Arial" w:hAnsi="Arial"/>
                <w:sz w:val="14"/>
                <w:szCs w:val="14"/>
                <w:color w:val="auto"/>
              </w:rPr>
              <w:t>8-4-1-11</w:t>
            </w:r>
          </w:p>
        </w:tc>
        <w:tc>
          <w:tcPr>
            <w:tcW w:w="1320" w:type="dxa"/>
            <w:vAlign w:val="bottom"/>
          </w:tcPr>
          <w:p>
            <w:pPr>
              <w:spacing w:after="0"/>
              <w:rPr>
                <w:sz w:val="24"/>
                <w:szCs w:val="24"/>
                <w:color w:val="auto"/>
              </w:rPr>
            </w:pPr>
          </w:p>
        </w:tc>
        <w:tc>
          <w:tcPr>
            <w:tcW w:w="2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6"/>
        </w:trPr>
        <w:tc>
          <w:tcPr>
            <w:tcW w:w="720" w:type="dxa"/>
            <w:vAlign w:val="bottom"/>
            <w:tcBorders>
              <w:bottom w:val="single" w:sz="8" w:color="auto"/>
            </w:tcBorders>
          </w:tcPr>
          <w:p>
            <w:pPr>
              <w:spacing w:after="0"/>
              <w:rPr>
                <w:sz w:val="4"/>
                <w:szCs w:val="4"/>
                <w:color w:val="auto"/>
              </w:rPr>
            </w:pPr>
          </w:p>
        </w:tc>
        <w:tc>
          <w:tcPr>
            <w:tcW w:w="7180" w:type="dxa"/>
            <w:vAlign w:val="bottom"/>
            <w:tcBorders>
              <w:bottom w:val="single" w:sz="8" w:color="auto"/>
            </w:tcBorders>
          </w:tcPr>
          <w:p>
            <w:pPr>
              <w:spacing w:after="0"/>
              <w:rPr>
                <w:sz w:val="4"/>
                <w:szCs w:val="4"/>
                <w:color w:val="auto"/>
              </w:rPr>
            </w:pPr>
          </w:p>
        </w:tc>
        <w:tc>
          <w:tcPr>
            <w:tcW w:w="1320" w:type="dxa"/>
            <w:vAlign w:val="bottom"/>
            <w:tcBorders>
              <w:bottom w:val="single" w:sz="8" w:color="auto"/>
            </w:tcBorders>
          </w:tcPr>
          <w:p>
            <w:pPr>
              <w:spacing w:after="0"/>
              <w:rPr>
                <w:sz w:val="4"/>
                <w:szCs w:val="4"/>
                <w:color w:val="auto"/>
              </w:rPr>
            </w:pPr>
          </w:p>
        </w:tc>
        <w:tc>
          <w:tcPr>
            <w:tcW w:w="202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120" w:right="339" w:bottom="1440" w:gutter="0" w:footer="0" w:header="0"/>
        </w:sectPr>
      </w:pPr>
    </w:p>
    <w:bookmarkStart w:id="15" w:name="page16"/>
    <w:bookmarkEnd w:id="15"/>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283"/>
        </w:trPr>
        <w:tc>
          <w:tcPr>
            <w:tcW w:w="720" w:type="dxa"/>
            <w:vAlign w:val="bottom"/>
            <w:tcBorders>
              <w:top w:val="single" w:sz="8" w:color="auto"/>
              <w:left w:val="single" w:sz="8" w:color="auto"/>
              <w:right w:val="single" w:sz="8" w:color="auto"/>
            </w:tcBorders>
            <w:vMerge w:val="restart"/>
          </w:tcPr>
          <w:p>
            <w:pPr>
              <w:jc w:val="right"/>
              <w:ind w:right="190"/>
              <w:spacing w:after="0"/>
              <w:rPr>
                <w:sz w:val="20"/>
                <w:szCs w:val="20"/>
                <w:color w:val="auto"/>
              </w:rPr>
            </w:pPr>
            <w:r>
              <w:rPr>
                <w:rFonts w:ascii="Arial" w:cs="Arial" w:eastAsia="Arial" w:hAnsi="Arial"/>
                <w:sz w:val="18"/>
                <w:szCs w:val="18"/>
                <w:color w:val="auto"/>
              </w:rPr>
              <w:t>23</w:t>
            </w:r>
          </w:p>
        </w:tc>
        <w:tc>
          <w:tcPr>
            <w:tcW w:w="7180" w:type="dxa"/>
            <w:vAlign w:val="bottom"/>
            <w:tcBorders>
              <w:top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Gap between sales to customers and to the same “final” customers (mln USD)</w:t>
            </w:r>
          </w:p>
        </w:tc>
        <w:tc>
          <w:tcPr>
            <w:tcW w:w="1320" w:type="dxa"/>
            <w:vAlign w:val="bottom"/>
            <w:tcBorders>
              <w:top w:val="single" w:sz="8" w:color="auto"/>
              <w:right w:val="single" w:sz="8" w:color="auto"/>
            </w:tcBorders>
            <w:vMerge w:val="restart"/>
          </w:tcPr>
          <w:p>
            <w:pPr>
              <w:jc w:val="center"/>
              <w:spacing w:after="0"/>
              <w:rPr>
                <w:sz w:val="20"/>
                <w:szCs w:val="20"/>
                <w:color w:val="auto"/>
              </w:rPr>
            </w:pPr>
            <w:r>
              <w:rPr>
                <w:rFonts w:ascii="Arial" w:cs="Arial" w:eastAsia="Arial" w:hAnsi="Arial"/>
                <w:sz w:val="18"/>
                <w:szCs w:val="18"/>
                <w:color w:val="auto"/>
                <w:w w:val="89"/>
              </w:rPr>
              <w:t>27</w:t>
            </w:r>
          </w:p>
        </w:tc>
        <w:tc>
          <w:tcPr>
            <w:tcW w:w="2020" w:type="dxa"/>
            <w:vAlign w:val="bottom"/>
            <w:tcBorders>
              <w:top w:val="single" w:sz="8" w:color="auto"/>
              <w:right w:val="single" w:sz="8" w:color="auto"/>
            </w:tcBorders>
          </w:tcPr>
          <w:p>
            <w:pPr>
              <w:ind w:left="60"/>
              <w:spacing w:after="0"/>
              <w:rPr>
                <w:sz w:val="20"/>
                <w:szCs w:val="20"/>
                <w:color w:val="auto"/>
              </w:rPr>
            </w:pPr>
            <w:r>
              <w:rPr>
                <w:rFonts w:ascii="Arial" w:cs="Arial" w:eastAsia="Arial" w:hAnsi="Arial"/>
                <w:sz w:val="18"/>
                <w:szCs w:val="18"/>
                <w:color w:val="auto"/>
                <w:w w:val="94"/>
              </w:rPr>
              <w:t>Other Challenge 7: About</w:t>
            </w:r>
          </w:p>
        </w:tc>
        <w:tc>
          <w:tcPr>
            <w:tcW w:w="0" w:type="dxa"/>
            <w:vAlign w:val="bottom"/>
          </w:tcPr>
          <w:p>
            <w:pPr>
              <w:spacing w:after="0"/>
              <w:rPr>
                <w:sz w:val="1"/>
                <w:szCs w:val="1"/>
                <w:color w:val="auto"/>
              </w:rPr>
            </w:pPr>
          </w:p>
        </w:tc>
      </w:tr>
      <w:tr>
        <w:trPr>
          <w:trHeight w:val="122"/>
        </w:trPr>
        <w:tc>
          <w:tcPr>
            <w:tcW w:w="720" w:type="dxa"/>
            <w:vAlign w:val="bottom"/>
            <w:tcBorders>
              <w:left w:val="single" w:sz="8" w:color="auto"/>
              <w:right w:val="single" w:sz="8" w:color="auto"/>
            </w:tcBorders>
            <w:vMerge w:val="continue"/>
          </w:tcPr>
          <w:p>
            <w:pPr>
              <w:spacing w:after="0"/>
              <w:rPr>
                <w:sz w:val="10"/>
                <w:szCs w:val="10"/>
                <w:color w:val="auto"/>
              </w:rPr>
            </w:pPr>
          </w:p>
        </w:tc>
        <w:tc>
          <w:tcPr>
            <w:tcW w:w="7180" w:type="dxa"/>
            <w:vAlign w:val="bottom"/>
            <w:tcBorders>
              <w:right w:val="single" w:sz="8" w:color="auto"/>
            </w:tcBorders>
          </w:tcPr>
          <w:p>
            <w:pPr>
              <w:spacing w:after="0"/>
              <w:rPr>
                <w:sz w:val="10"/>
                <w:szCs w:val="10"/>
                <w:color w:val="auto"/>
              </w:rPr>
            </w:pPr>
          </w:p>
        </w:tc>
        <w:tc>
          <w:tcPr>
            <w:tcW w:w="1320" w:type="dxa"/>
            <w:vAlign w:val="bottom"/>
            <w:tcBorders>
              <w:right w:val="single" w:sz="8" w:color="auto"/>
            </w:tcBorders>
            <w:vMerge w:val="continue"/>
          </w:tcPr>
          <w:p>
            <w:pPr>
              <w:spacing w:after="0"/>
              <w:rPr>
                <w:sz w:val="10"/>
                <w:szCs w:val="10"/>
                <w:color w:val="auto"/>
              </w:rPr>
            </w:pPr>
          </w:p>
        </w:tc>
        <w:tc>
          <w:tcPr>
            <w:tcW w:w="2020" w:type="dxa"/>
            <w:vAlign w:val="bottom"/>
            <w:tcBorders>
              <w:right w:val="single" w:sz="8" w:color="auto"/>
            </w:tcBorders>
            <w:vMerge w:val="restart"/>
          </w:tcPr>
          <w:p>
            <w:pPr>
              <w:ind w:left="60"/>
              <w:spacing w:after="0"/>
              <w:rPr>
                <w:sz w:val="20"/>
                <w:szCs w:val="20"/>
                <w:color w:val="auto"/>
              </w:rPr>
            </w:pPr>
            <w:r>
              <w:rPr>
                <w:rFonts w:ascii="Arial" w:cs="Arial" w:eastAsia="Arial" w:hAnsi="Arial"/>
                <w:sz w:val="18"/>
                <w:szCs w:val="18"/>
                <w:color w:val="auto"/>
              </w:rPr>
              <w:t>Sales Differences</w:t>
            </w:r>
          </w:p>
        </w:tc>
        <w:tc>
          <w:tcPr>
            <w:tcW w:w="0" w:type="dxa"/>
            <w:vAlign w:val="bottom"/>
          </w:tcPr>
          <w:p>
            <w:pPr>
              <w:spacing w:after="0"/>
              <w:rPr>
                <w:sz w:val="1"/>
                <w:szCs w:val="1"/>
                <w:color w:val="auto"/>
              </w:rPr>
            </w:pPr>
          </w:p>
        </w:tc>
      </w:tr>
      <w:tr>
        <w:trPr>
          <w:trHeight w:val="108"/>
        </w:trPr>
        <w:tc>
          <w:tcPr>
            <w:tcW w:w="720" w:type="dxa"/>
            <w:vAlign w:val="bottom"/>
            <w:tcBorders>
              <w:left w:val="single" w:sz="8" w:color="auto"/>
              <w:right w:val="single" w:sz="8" w:color="auto"/>
            </w:tcBorders>
          </w:tcPr>
          <w:p>
            <w:pPr>
              <w:spacing w:after="0"/>
              <w:rPr>
                <w:sz w:val="9"/>
                <w:szCs w:val="9"/>
                <w:color w:val="auto"/>
              </w:rPr>
            </w:pPr>
          </w:p>
        </w:tc>
        <w:tc>
          <w:tcPr>
            <w:tcW w:w="7180" w:type="dxa"/>
            <w:vAlign w:val="bottom"/>
            <w:tcBorders>
              <w:right w:val="single" w:sz="8" w:color="auto"/>
            </w:tcBorders>
          </w:tcPr>
          <w:p>
            <w:pPr>
              <w:spacing w:after="0"/>
              <w:rPr>
                <w:sz w:val="9"/>
                <w:szCs w:val="9"/>
                <w:color w:val="auto"/>
              </w:rPr>
            </w:pPr>
          </w:p>
        </w:tc>
        <w:tc>
          <w:tcPr>
            <w:tcW w:w="1320" w:type="dxa"/>
            <w:vAlign w:val="bottom"/>
            <w:tcBorders>
              <w:right w:val="single" w:sz="8" w:color="auto"/>
            </w:tcBorders>
          </w:tcPr>
          <w:p>
            <w:pPr>
              <w:spacing w:after="0"/>
              <w:rPr>
                <w:sz w:val="9"/>
                <w:szCs w:val="9"/>
                <w:color w:val="auto"/>
              </w:rPr>
            </w:pPr>
          </w:p>
        </w:tc>
        <w:tc>
          <w:tcPr>
            <w:tcW w:w="2020" w:type="dxa"/>
            <w:vAlign w:val="bottom"/>
            <w:tcBorders>
              <w:right w:val="single" w:sz="8" w:color="auto"/>
            </w:tcBorders>
            <w:vMerge w:val="continue"/>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720" w:type="dxa"/>
            <w:vAlign w:val="bottom"/>
            <w:tcBorders>
              <w:left w:val="single" w:sz="8" w:color="auto"/>
              <w:bottom w:val="single" w:sz="8" w:color="auto"/>
              <w:right w:val="single" w:sz="8" w:color="auto"/>
            </w:tcBorders>
          </w:tcPr>
          <w:p>
            <w:pPr>
              <w:spacing w:after="0"/>
              <w:rPr>
                <w:sz w:val="5"/>
                <w:szCs w:val="5"/>
                <w:color w:val="auto"/>
              </w:rPr>
            </w:pPr>
          </w:p>
        </w:tc>
        <w:tc>
          <w:tcPr>
            <w:tcW w:w="7180" w:type="dxa"/>
            <w:vAlign w:val="bottom"/>
            <w:tcBorders>
              <w:bottom w:val="single" w:sz="8" w:color="auto"/>
              <w:right w:val="single" w:sz="8" w:color="auto"/>
            </w:tcBorders>
          </w:tcPr>
          <w:p>
            <w:pPr>
              <w:spacing w:after="0"/>
              <w:rPr>
                <w:sz w:val="5"/>
                <w:szCs w:val="5"/>
                <w:color w:val="auto"/>
              </w:rPr>
            </w:pPr>
          </w:p>
        </w:tc>
        <w:tc>
          <w:tcPr>
            <w:tcW w:w="1320" w:type="dxa"/>
            <w:vAlign w:val="bottom"/>
            <w:tcBorders>
              <w:bottom w:val="single" w:sz="8" w:color="auto"/>
              <w:right w:val="single" w:sz="8" w:color="auto"/>
            </w:tcBorders>
          </w:tcPr>
          <w:p>
            <w:pPr>
              <w:spacing w:after="0"/>
              <w:rPr>
                <w:sz w:val="5"/>
                <w:szCs w:val="5"/>
                <w:color w:val="auto"/>
              </w:rPr>
            </w:pPr>
          </w:p>
        </w:tc>
        <w:tc>
          <w:tcPr>
            <w:tcW w:w="2020" w:type="dxa"/>
            <w:vAlign w:val="bottom"/>
            <w:tcBorders>
              <w:bottom w:val="single" w:sz="8" w:color="auto"/>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56"/>
        </w:trPr>
        <w:tc>
          <w:tcPr>
            <w:tcW w:w="720" w:type="dxa"/>
            <w:vAlign w:val="bottom"/>
            <w:tcBorders>
              <w:left w:val="single" w:sz="8" w:color="auto"/>
              <w:right w:val="single" w:sz="8" w:color="auto"/>
            </w:tcBorders>
          </w:tcPr>
          <w:p>
            <w:pPr>
              <w:spacing w:after="0"/>
              <w:rPr>
                <w:sz w:val="22"/>
                <w:szCs w:val="22"/>
                <w:color w:val="auto"/>
              </w:rPr>
            </w:pPr>
          </w:p>
        </w:tc>
        <w:tc>
          <w:tcPr>
            <w:tcW w:w="718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w w:val="96"/>
              </w:rPr>
              <w:t>We think most of the $12.9 mln spent on R&amp;D is actually a cost of goods sold. Our interviews</w:t>
            </w:r>
          </w:p>
        </w:tc>
        <w:tc>
          <w:tcPr>
            <w:tcW w:w="1320" w:type="dxa"/>
            <w:vAlign w:val="bottom"/>
            <w:tcBorders>
              <w:right w:val="single" w:sz="8" w:color="auto"/>
            </w:tcBorders>
          </w:tcPr>
          <w:p>
            <w:pPr>
              <w:spacing w:after="0"/>
              <w:rPr>
                <w:sz w:val="22"/>
                <w:szCs w:val="22"/>
                <w:color w:val="auto"/>
              </w:rPr>
            </w:pPr>
          </w:p>
        </w:tc>
        <w:tc>
          <w:tcPr>
            <w:tcW w:w="2020" w:type="dxa"/>
            <w:vAlign w:val="bottom"/>
            <w:tcBorders>
              <w:right w:val="single" w:sz="8" w:color="auto"/>
            </w:tcBorders>
            <w:vMerge w:val="restart"/>
          </w:tcPr>
          <w:p>
            <w:pPr>
              <w:ind w:left="60"/>
              <w:spacing w:after="0"/>
              <w:rPr>
                <w:sz w:val="20"/>
                <w:szCs w:val="20"/>
                <w:color w:val="auto"/>
              </w:rPr>
            </w:pPr>
            <w:r>
              <w:rPr>
                <w:rFonts w:ascii="Arial" w:cs="Arial" w:eastAsia="Arial" w:hAnsi="Arial"/>
                <w:sz w:val="18"/>
                <w:szCs w:val="18"/>
                <w:color w:val="auto"/>
                <w:w w:val="94"/>
              </w:rPr>
              <w:t>Other Challenge 8: About</w:t>
            </w:r>
          </w:p>
        </w:tc>
        <w:tc>
          <w:tcPr>
            <w:tcW w:w="0" w:type="dxa"/>
            <w:vAlign w:val="bottom"/>
          </w:tcPr>
          <w:p>
            <w:pPr>
              <w:spacing w:after="0"/>
              <w:rPr>
                <w:sz w:val="1"/>
                <w:szCs w:val="1"/>
                <w:color w:val="auto"/>
              </w:rPr>
            </w:pPr>
          </w:p>
        </w:tc>
      </w:tr>
      <w:tr>
        <w:trPr>
          <w:trHeight w:val="108"/>
        </w:trPr>
        <w:tc>
          <w:tcPr>
            <w:tcW w:w="720" w:type="dxa"/>
            <w:vAlign w:val="bottom"/>
            <w:tcBorders>
              <w:left w:val="single" w:sz="8" w:color="auto"/>
              <w:right w:val="single" w:sz="8" w:color="auto"/>
            </w:tcBorders>
            <w:vMerge w:val="restart"/>
          </w:tcPr>
          <w:p>
            <w:pPr>
              <w:jc w:val="right"/>
              <w:ind w:right="190"/>
              <w:spacing w:after="0"/>
              <w:rPr>
                <w:sz w:val="20"/>
                <w:szCs w:val="20"/>
                <w:color w:val="auto"/>
              </w:rPr>
            </w:pPr>
            <w:r>
              <w:rPr>
                <w:rFonts w:ascii="Arial" w:cs="Arial" w:eastAsia="Arial" w:hAnsi="Arial"/>
                <w:sz w:val="18"/>
                <w:szCs w:val="18"/>
                <w:color w:val="auto"/>
              </w:rPr>
              <w:t>24</w:t>
            </w:r>
          </w:p>
        </w:tc>
        <w:tc>
          <w:tcPr>
            <w:tcW w:w="7180" w:type="dxa"/>
            <w:vAlign w:val="bottom"/>
            <w:tcBorders>
              <w:right w:val="single" w:sz="8" w:color="auto"/>
            </w:tcBorders>
            <w:vMerge w:val="restart"/>
          </w:tcPr>
          <w:p>
            <w:pPr>
              <w:ind w:left="40"/>
              <w:spacing w:after="0"/>
              <w:rPr>
                <w:sz w:val="20"/>
                <w:szCs w:val="20"/>
                <w:color w:val="auto"/>
              </w:rPr>
            </w:pPr>
            <w:r>
              <w:rPr>
                <w:rFonts w:ascii="Arial" w:cs="Arial" w:eastAsia="Arial" w:hAnsi="Arial"/>
                <w:sz w:val="18"/>
                <w:szCs w:val="18"/>
                <w:color w:val="auto"/>
                <w:w w:val="93"/>
              </w:rPr>
              <w:t>indicate that a big chunk of R&amp;D activity consists of customizing and building machines for sale.</w:t>
            </w:r>
          </w:p>
        </w:tc>
        <w:tc>
          <w:tcPr>
            <w:tcW w:w="13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89"/>
              </w:rPr>
              <w:t>29</w:t>
            </w:r>
          </w:p>
        </w:tc>
        <w:tc>
          <w:tcPr>
            <w:tcW w:w="2020" w:type="dxa"/>
            <w:vAlign w:val="bottom"/>
            <w:tcBorders>
              <w:right w:val="single" w:sz="8" w:color="auto"/>
            </w:tcBorders>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22"/>
        </w:trPr>
        <w:tc>
          <w:tcPr>
            <w:tcW w:w="720" w:type="dxa"/>
            <w:vAlign w:val="bottom"/>
            <w:tcBorders>
              <w:left w:val="single" w:sz="8" w:color="auto"/>
              <w:right w:val="single" w:sz="8" w:color="auto"/>
            </w:tcBorders>
            <w:vMerge w:val="continue"/>
          </w:tcPr>
          <w:p>
            <w:pPr>
              <w:spacing w:after="0"/>
              <w:rPr>
                <w:sz w:val="10"/>
                <w:szCs w:val="10"/>
                <w:color w:val="auto"/>
              </w:rPr>
            </w:pPr>
          </w:p>
        </w:tc>
        <w:tc>
          <w:tcPr>
            <w:tcW w:w="7180" w:type="dxa"/>
            <w:vAlign w:val="bottom"/>
            <w:tcBorders>
              <w:right w:val="single" w:sz="8" w:color="auto"/>
            </w:tcBorders>
            <w:vMerge w:val="continue"/>
          </w:tcPr>
          <w:p>
            <w:pPr>
              <w:spacing w:after="0"/>
              <w:rPr>
                <w:sz w:val="10"/>
                <w:szCs w:val="10"/>
                <w:color w:val="auto"/>
              </w:rPr>
            </w:pPr>
          </w:p>
        </w:tc>
        <w:tc>
          <w:tcPr>
            <w:tcW w:w="1320" w:type="dxa"/>
            <w:vAlign w:val="bottom"/>
            <w:tcBorders>
              <w:right w:val="single" w:sz="8" w:color="auto"/>
            </w:tcBorders>
            <w:vMerge w:val="continue"/>
          </w:tcPr>
          <w:p>
            <w:pPr>
              <w:spacing w:after="0"/>
              <w:rPr>
                <w:sz w:val="10"/>
                <w:szCs w:val="10"/>
                <w:color w:val="auto"/>
              </w:rPr>
            </w:pPr>
          </w:p>
        </w:tc>
        <w:tc>
          <w:tcPr>
            <w:tcW w:w="2020" w:type="dxa"/>
            <w:vAlign w:val="bottom"/>
            <w:tcBorders>
              <w:right w:val="single" w:sz="8" w:color="auto"/>
            </w:tcBorders>
            <w:vMerge w:val="restart"/>
          </w:tcPr>
          <w:p>
            <w:pPr>
              <w:ind w:left="60"/>
              <w:spacing w:after="0"/>
              <w:rPr>
                <w:sz w:val="20"/>
                <w:szCs w:val="20"/>
                <w:color w:val="auto"/>
              </w:rPr>
            </w:pPr>
            <w:r>
              <w:rPr>
                <w:rFonts w:ascii="Arial" w:cs="Arial" w:eastAsia="Arial" w:hAnsi="Arial"/>
                <w:sz w:val="18"/>
                <w:szCs w:val="18"/>
                <w:color w:val="auto"/>
              </w:rPr>
              <w:t>R&amp;D Expenses</w:t>
            </w:r>
          </w:p>
        </w:tc>
        <w:tc>
          <w:tcPr>
            <w:tcW w:w="0" w:type="dxa"/>
            <w:vAlign w:val="bottom"/>
          </w:tcPr>
          <w:p>
            <w:pPr>
              <w:spacing w:after="0"/>
              <w:rPr>
                <w:sz w:val="1"/>
                <w:szCs w:val="1"/>
                <w:color w:val="auto"/>
              </w:rPr>
            </w:pPr>
          </w:p>
        </w:tc>
      </w:tr>
      <w:tr>
        <w:trPr>
          <w:trHeight w:val="108"/>
        </w:trPr>
        <w:tc>
          <w:tcPr>
            <w:tcW w:w="720" w:type="dxa"/>
            <w:vAlign w:val="bottom"/>
            <w:tcBorders>
              <w:left w:val="single" w:sz="8" w:color="auto"/>
              <w:right w:val="single" w:sz="8" w:color="auto"/>
            </w:tcBorders>
          </w:tcPr>
          <w:p>
            <w:pPr>
              <w:spacing w:after="0"/>
              <w:rPr>
                <w:sz w:val="9"/>
                <w:szCs w:val="9"/>
                <w:color w:val="auto"/>
              </w:rPr>
            </w:pPr>
          </w:p>
        </w:tc>
        <w:tc>
          <w:tcPr>
            <w:tcW w:w="7180" w:type="dxa"/>
            <w:vAlign w:val="bottom"/>
            <w:tcBorders>
              <w:right w:val="single" w:sz="8" w:color="auto"/>
            </w:tcBorders>
          </w:tcPr>
          <w:p>
            <w:pPr>
              <w:spacing w:after="0"/>
              <w:rPr>
                <w:sz w:val="9"/>
                <w:szCs w:val="9"/>
                <w:color w:val="auto"/>
              </w:rPr>
            </w:pPr>
          </w:p>
        </w:tc>
        <w:tc>
          <w:tcPr>
            <w:tcW w:w="1320" w:type="dxa"/>
            <w:vAlign w:val="bottom"/>
            <w:tcBorders>
              <w:right w:val="single" w:sz="8" w:color="auto"/>
            </w:tcBorders>
          </w:tcPr>
          <w:p>
            <w:pPr>
              <w:spacing w:after="0"/>
              <w:rPr>
                <w:sz w:val="9"/>
                <w:szCs w:val="9"/>
                <w:color w:val="auto"/>
              </w:rPr>
            </w:pPr>
          </w:p>
        </w:tc>
        <w:tc>
          <w:tcPr>
            <w:tcW w:w="2020" w:type="dxa"/>
            <w:vAlign w:val="bottom"/>
            <w:tcBorders>
              <w:right w:val="single" w:sz="8" w:color="auto"/>
            </w:tcBorders>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69"/>
        </w:trPr>
        <w:tc>
          <w:tcPr>
            <w:tcW w:w="720" w:type="dxa"/>
            <w:vAlign w:val="bottom"/>
            <w:tcBorders>
              <w:left w:val="single" w:sz="8" w:color="auto"/>
              <w:bottom w:val="single" w:sz="8" w:color="auto"/>
              <w:right w:val="single" w:sz="8" w:color="auto"/>
            </w:tcBorders>
          </w:tcPr>
          <w:p>
            <w:pPr>
              <w:spacing w:after="0"/>
              <w:rPr>
                <w:sz w:val="14"/>
                <w:szCs w:val="14"/>
                <w:color w:val="auto"/>
              </w:rPr>
            </w:pPr>
          </w:p>
        </w:tc>
        <w:tc>
          <w:tcPr>
            <w:tcW w:w="7180" w:type="dxa"/>
            <w:vAlign w:val="bottom"/>
            <w:tcBorders>
              <w:bottom w:val="single" w:sz="8" w:color="auto"/>
              <w:right w:val="single" w:sz="8" w:color="auto"/>
            </w:tcBorders>
          </w:tcPr>
          <w:p>
            <w:pPr>
              <w:spacing w:after="0"/>
              <w:rPr>
                <w:sz w:val="14"/>
                <w:szCs w:val="14"/>
                <w:color w:val="auto"/>
              </w:rPr>
            </w:pPr>
          </w:p>
        </w:tc>
        <w:tc>
          <w:tcPr>
            <w:tcW w:w="1320" w:type="dxa"/>
            <w:vAlign w:val="bottom"/>
            <w:tcBorders>
              <w:bottom w:val="single" w:sz="8" w:color="auto"/>
              <w:right w:val="single" w:sz="8" w:color="auto"/>
            </w:tcBorders>
          </w:tcPr>
          <w:p>
            <w:pPr>
              <w:spacing w:after="0"/>
              <w:rPr>
                <w:sz w:val="14"/>
                <w:szCs w:val="14"/>
                <w:color w:val="auto"/>
              </w:rPr>
            </w:pPr>
          </w:p>
        </w:tc>
        <w:tc>
          <w:tcPr>
            <w:tcW w:w="202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56"/>
        </w:trPr>
        <w:tc>
          <w:tcPr>
            <w:tcW w:w="720" w:type="dxa"/>
            <w:vAlign w:val="bottom"/>
            <w:tcBorders>
              <w:left w:val="single" w:sz="8" w:color="auto"/>
              <w:right w:val="single" w:sz="8" w:color="auto"/>
            </w:tcBorders>
          </w:tcPr>
          <w:p>
            <w:pPr>
              <w:spacing w:after="0"/>
              <w:rPr>
                <w:sz w:val="22"/>
                <w:szCs w:val="22"/>
                <w:color w:val="auto"/>
              </w:rPr>
            </w:pPr>
          </w:p>
        </w:tc>
        <w:tc>
          <w:tcPr>
            <w:tcW w:w="718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w w:val="93"/>
              </w:rPr>
              <w:t>In the itemized tax-payable table of ACMR’s disclosures, there is no disclosed Value-Added Tax</w:t>
            </w:r>
          </w:p>
        </w:tc>
        <w:tc>
          <w:tcPr>
            <w:tcW w:w="1320" w:type="dxa"/>
            <w:vAlign w:val="bottom"/>
            <w:tcBorders>
              <w:right w:val="single" w:sz="8" w:color="auto"/>
            </w:tcBorders>
          </w:tcPr>
          <w:p>
            <w:pPr>
              <w:spacing w:after="0"/>
              <w:rPr>
                <w:sz w:val="22"/>
                <w:szCs w:val="22"/>
                <w:color w:val="auto"/>
              </w:rPr>
            </w:pPr>
          </w:p>
        </w:tc>
        <w:tc>
          <w:tcPr>
            <w:tcW w:w="202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30"/>
        </w:trPr>
        <w:tc>
          <w:tcPr>
            <w:tcW w:w="720" w:type="dxa"/>
            <w:vAlign w:val="bottom"/>
            <w:tcBorders>
              <w:left w:val="single" w:sz="8" w:color="auto"/>
              <w:right w:val="single" w:sz="8" w:color="auto"/>
            </w:tcBorders>
          </w:tcPr>
          <w:p>
            <w:pPr>
              <w:spacing w:after="0"/>
              <w:rPr>
                <w:sz w:val="20"/>
                <w:szCs w:val="20"/>
                <w:color w:val="auto"/>
              </w:rPr>
            </w:pPr>
          </w:p>
        </w:tc>
        <w:tc>
          <w:tcPr>
            <w:tcW w:w="718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w w:val="97"/>
              </w:rPr>
              <w:t>(VAT) payable: this is highly unusual and in fact almost impossible for an equipment maker.</w:t>
            </w:r>
          </w:p>
        </w:tc>
        <w:tc>
          <w:tcPr>
            <w:tcW w:w="1320" w:type="dxa"/>
            <w:vAlign w:val="bottom"/>
            <w:tcBorders>
              <w:right w:val="single" w:sz="8" w:color="auto"/>
            </w:tcBorders>
          </w:tcPr>
          <w:p>
            <w:pPr>
              <w:spacing w:after="0"/>
              <w:rPr>
                <w:sz w:val="20"/>
                <w:szCs w:val="20"/>
                <w:color w:val="auto"/>
              </w:rPr>
            </w:pPr>
          </w:p>
        </w:tc>
        <w:tc>
          <w:tcPr>
            <w:tcW w:w="20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310"/>
        </w:trPr>
        <w:tc>
          <w:tcPr>
            <w:tcW w:w="720" w:type="dxa"/>
            <w:vAlign w:val="bottom"/>
            <w:tcBorders>
              <w:left w:val="single" w:sz="8" w:color="auto"/>
              <w:right w:val="single" w:sz="8" w:color="auto"/>
            </w:tcBorders>
            <w:vMerge w:val="restart"/>
          </w:tcPr>
          <w:p>
            <w:pPr>
              <w:jc w:val="right"/>
              <w:ind w:right="190"/>
              <w:spacing w:after="0"/>
              <w:rPr>
                <w:sz w:val="20"/>
                <w:szCs w:val="20"/>
                <w:color w:val="auto"/>
              </w:rPr>
            </w:pPr>
            <w:r>
              <w:rPr>
                <w:rFonts w:ascii="Arial" w:cs="Arial" w:eastAsia="Arial" w:hAnsi="Arial"/>
                <w:sz w:val="18"/>
                <w:szCs w:val="18"/>
                <w:color w:val="auto"/>
              </w:rPr>
              <w:t>25</w:t>
            </w:r>
          </w:p>
        </w:tc>
        <w:tc>
          <w:tcPr>
            <w:tcW w:w="7180" w:type="dxa"/>
            <w:vAlign w:val="bottom"/>
            <w:tcBorders>
              <w:right w:val="single" w:sz="8" w:color="auto"/>
            </w:tcBorders>
            <w:vMerge w:val="restart"/>
          </w:tcPr>
          <w:p>
            <w:pPr>
              <w:ind w:left="40"/>
              <w:spacing w:after="0"/>
              <w:rPr>
                <w:sz w:val="20"/>
                <w:szCs w:val="20"/>
                <w:color w:val="auto"/>
              </w:rPr>
            </w:pPr>
            <w:r>
              <w:rPr>
                <w:rFonts w:ascii="Arial" w:cs="Arial" w:eastAsia="Arial" w:hAnsi="Arial"/>
                <w:sz w:val="18"/>
                <w:szCs w:val="18"/>
                <w:color w:val="auto"/>
                <w:w w:val="93"/>
              </w:rPr>
              <w:t>We think the company improperly claims tax exemptions by reporting that parts are imported as</w:t>
            </w:r>
          </w:p>
        </w:tc>
        <w:tc>
          <w:tcPr>
            <w:tcW w:w="13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89"/>
              </w:rPr>
              <w:t>30</w:t>
            </w:r>
          </w:p>
        </w:tc>
        <w:tc>
          <w:tcPr>
            <w:tcW w:w="202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w w:val="94"/>
              </w:rPr>
              <w:t>Other Challenge 9: About</w:t>
            </w:r>
          </w:p>
        </w:tc>
        <w:tc>
          <w:tcPr>
            <w:tcW w:w="0" w:type="dxa"/>
            <w:vAlign w:val="bottom"/>
          </w:tcPr>
          <w:p>
            <w:pPr>
              <w:spacing w:after="0"/>
              <w:rPr>
                <w:sz w:val="1"/>
                <w:szCs w:val="1"/>
                <w:color w:val="auto"/>
              </w:rPr>
            </w:pPr>
          </w:p>
        </w:tc>
      </w:tr>
      <w:tr>
        <w:trPr>
          <w:trHeight w:val="108"/>
        </w:trPr>
        <w:tc>
          <w:tcPr>
            <w:tcW w:w="720" w:type="dxa"/>
            <w:vAlign w:val="bottom"/>
            <w:tcBorders>
              <w:left w:val="single" w:sz="8" w:color="auto"/>
              <w:right w:val="single" w:sz="8" w:color="auto"/>
            </w:tcBorders>
            <w:vMerge w:val="continue"/>
          </w:tcPr>
          <w:p>
            <w:pPr>
              <w:spacing w:after="0"/>
              <w:rPr>
                <w:sz w:val="9"/>
                <w:szCs w:val="9"/>
                <w:color w:val="auto"/>
              </w:rPr>
            </w:pPr>
          </w:p>
        </w:tc>
        <w:tc>
          <w:tcPr>
            <w:tcW w:w="7180" w:type="dxa"/>
            <w:vAlign w:val="bottom"/>
            <w:tcBorders>
              <w:right w:val="single" w:sz="8" w:color="auto"/>
            </w:tcBorders>
            <w:vMerge w:val="continue"/>
          </w:tcPr>
          <w:p>
            <w:pPr>
              <w:spacing w:after="0"/>
              <w:rPr>
                <w:sz w:val="9"/>
                <w:szCs w:val="9"/>
                <w:color w:val="auto"/>
              </w:rPr>
            </w:pPr>
          </w:p>
        </w:tc>
        <w:tc>
          <w:tcPr>
            <w:tcW w:w="1320" w:type="dxa"/>
            <w:vAlign w:val="bottom"/>
            <w:tcBorders>
              <w:right w:val="single" w:sz="8" w:color="auto"/>
            </w:tcBorders>
            <w:vMerge w:val="continue"/>
          </w:tcPr>
          <w:p>
            <w:pPr>
              <w:spacing w:after="0"/>
              <w:rPr>
                <w:sz w:val="9"/>
                <w:szCs w:val="9"/>
                <w:color w:val="auto"/>
              </w:rPr>
            </w:pPr>
          </w:p>
        </w:tc>
        <w:tc>
          <w:tcPr>
            <w:tcW w:w="2020" w:type="dxa"/>
            <w:vAlign w:val="bottom"/>
            <w:tcBorders>
              <w:right w:val="single" w:sz="8" w:color="auto"/>
            </w:tcBorders>
            <w:vMerge w:val="restart"/>
          </w:tcPr>
          <w:p>
            <w:pPr>
              <w:ind w:left="60"/>
              <w:spacing w:after="0"/>
              <w:rPr>
                <w:sz w:val="20"/>
                <w:szCs w:val="20"/>
                <w:color w:val="auto"/>
              </w:rPr>
            </w:pPr>
            <w:r>
              <w:rPr>
                <w:rFonts w:ascii="Arial" w:cs="Arial" w:eastAsia="Arial" w:hAnsi="Arial"/>
                <w:sz w:val="18"/>
                <w:szCs w:val="18"/>
                <w:color w:val="auto"/>
              </w:rPr>
              <w:t>VAT</w:t>
            </w:r>
          </w:p>
        </w:tc>
        <w:tc>
          <w:tcPr>
            <w:tcW w:w="0" w:type="dxa"/>
            <w:vAlign w:val="bottom"/>
          </w:tcPr>
          <w:p>
            <w:pPr>
              <w:spacing w:after="0"/>
              <w:rPr>
                <w:sz w:val="1"/>
                <w:szCs w:val="1"/>
                <w:color w:val="auto"/>
              </w:rPr>
            </w:pPr>
          </w:p>
        </w:tc>
      </w:tr>
      <w:tr>
        <w:trPr>
          <w:trHeight w:val="122"/>
        </w:trPr>
        <w:tc>
          <w:tcPr>
            <w:tcW w:w="720" w:type="dxa"/>
            <w:vAlign w:val="bottom"/>
            <w:tcBorders>
              <w:left w:val="single" w:sz="8" w:color="auto"/>
              <w:right w:val="single" w:sz="8" w:color="auto"/>
            </w:tcBorders>
          </w:tcPr>
          <w:p>
            <w:pPr>
              <w:spacing w:after="0"/>
              <w:rPr>
                <w:sz w:val="10"/>
                <w:szCs w:val="10"/>
                <w:color w:val="auto"/>
              </w:rPr>
            </w:pPr>
          </w:p>
        </w:tc>
        <w:tc>
          <w:tcPr>
            <w:tcW w:w="7180" w:type="dxa"/>
            <w:vAlign w:val="bottom"/>
            <w:tcBorders>
              <w:right w:val="single" w:sz="8" w:color="auto"/>
            </w:tcBorders>
            <w:vMerge w:val="restart"/>
          </w:tcPr>
          <w:p>
            <w:pPr>
              <w:ind w:left="40"/>
              <w:spacing w:after="0"/>
              <w:rPr>
                <w:sz w:val="20"/>
                <w:szCs w:val="20"/>
                <w:color w:val="auto"/>
              </w:rPr>
            </w:pPr>
            <w:r>
              <w:rPr>
                <w:rFonts w:ascii="Arial" w:cs="Arial" w:eastAsia="Arial" w:hAnsi="Arial"/>
                <w:sz w:val="18"/>
                <w:szCs w:val="18"/>
                <w:color w:val="auto"/>
                <w:w w:val="96"/>
              </w:rPr>
              <w:t>part of its capital investment and for R&amp;D when really these are raw materials for operational</w:t>
            </w:r>
          </w:p>
        </w:tc>
        <w:tc>
          <w:tcPr>
            <w:tcW w:w="1320" w:type="dxa"/>
            <w:vAlign w:val="bottom"/>
            <w:tcBorders>
              <w:right w:val="single" w:sz="8" w:color="auto"/>
            </w:tcBorders>
          </w:tcPr>
          <w:p>
            <w:pPr>
              <w:spacing w:after="0"/>
              <w:rPr>
                <w:sz w:val="10"/>
                <w:szCs w:val="10"/>
                <w:color w:val="auto"/>
              </w:rPr>
            </w:pPr>
          </w:p>
        </w:tc>
        <w:tc>
          <w:tcPr>
            <w:tcW w:w="2020" w:type="dxa"/>
            <w:vAlign w:val="bottom"/>
            <w:tcBorders>
              <w:right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4"/>
        </w:trPr>
        <w:tc>
          <w:tcPr>
            <w:tcW w:w="720" w:type="dxa"/>
            <w:vAlign w:val="bottom"/>
            <w:tcBorders>
              <w:left w:val="single" w:sz="8" w:color="auto"/>
              <w:right w:val="single" w:sz="8" w:color="auto"/>
            </w:tcBorders>
          </w:tcPr>
          <w:p>
            <w:pPr>
              <w:spacing w:after="0"/>
              <w:rPr>
                <w:sz w:val="8"/>
                <w:szCs w:val="8"/>
                <w:color w:val="auto"/>
              </w:rPr>
            </w:pPr>
          </w:p>
        </w:tc>
        <w:tc>
          <w:tcPr>
            <w:tcW w:w="7180" w:type="dxa"/>
            <w:vAlign w:val="bottom"/>
            <w:tcBorders>
              <w:right w:val="single" w:sz="8" w:color="auto"/>
            </w:tcBorders>
            <w:vMerge w:val="continue"/>
          </w:tcPr>
          <w:p>
            <w:pPr>
              <w:spacing w:after="0"/>
              <w:rPr>
                <w:sz w:val="8"/>
                <w:szCs w:val="8"/>
                <w:color w:val="auto"/>
              </w:rPr>
            </w:pPr>
          </w:p>
        </w:tc>
        <w:tc>
          <w:tcPr>
            <w:tcW w:w="1320" w:type="dxa"/>
            <w:vAlign w:val="bottom"/>
            <w:tcBorders>
              <w:right w:val="single" w:sz="8" w:color="auto"/>
            </w:tcBorders>
          </w:tcPr>
          <w:p>
            <w:pPr>
              <w:spacing w:after="0"/>
              <w:rPr>
                <w:sz w:val="8"/>
                <w:szCs w:val="8"/>
                <w:color w:val="auto"/>
              </w:rPr>
            </w:pPr>
          </w:p>
        </w:tc>
        <w:tc>
          <w:tcPr>
            <w:tcW w:w="2020" w:type="dxa"/>
            <w:vAlign w:val="bottom"/>
            <w:tcBorders>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230"/>
        </w:trPr>
        <w:tc>
          <w:tcPr>
            <w:tcW w:w="720" w:type="dxa"/>
            <w:vAlign w:val="bottom"/>
            <w:tcBorders>
              <w:left w:val="single" w:sz="8" w:color="auto"/>
              <w:right w:val="single" w:sz="8" w:color="auto"/>
            </w:tcBorders>
          </w:tcPr>
          <w:p>
            <w:pPr>
              <w:spacing w:after="0"/>
              <w:rPr>
                <w:sz w:val="20"/>
                <w:szCs w:val="20"/>
                <w:color w:val="auto"/>
              </w:rPr>
            </w:pPr>
          </w:p>
        </w:tc>
        <w:tc>
          <w:tcPr>
            <w:tcW w:w="718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rPr>
              <w:t>production.</w:t>
            </w:r>
          </w:p>
        </w:tc>
        <w:tc>
          <w:tcPr>
            <w:tcW w:w="1320" w:type="dxa"/>
            <w:vAlign w:val="bottom"/>
            <w:tcBorders>
              <w:right w:val="single" w:sz="8" w:color="auto"/>
            </w:tcBorders>
          </w:tcPr>
          <w:p>
            <w:pPr>
              <w:spacing w:after="0"/>
              <w:rPr>
                <w:sz w:val="20"/>
                <w:szCs w:val="20"/>
                <w:color w:val="auto"/>
              </w:rPr>
            </w:pPr>
          </w:p>
        </w:tc>
        <w:tc>
          <w:tcPr>
            <w:tcW w:w="20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77"/>
        </w:trPr>
        <w:tc>
          <w:tcPr>
            <w:tcW w:w="720" w:type="dxa"/>
            <w:vAlign w:val="bottom"/>
            <w:tcBorders>
              <w:left w:val="single" w:sz="8" w:color="auto"/>
              <w:bottom w:val="single" w:sz="8" w:color="auto"/>
              <w:right w:val="single" w:sz="8" w:color="auto"/>
            </w:tcBorders>
          </w:tcPr>
          <w:p>
            <w:pPr>
              <w:spacing w:after="0"/>
              <w:rPr>
                <w:sz w:val="24"/>
                <w:szCs w:val="24"/>
                <w:color w:val="auto"/>
              </w:rPr>
            </w:pPr>
          </w:p>
        </w:tc>
        <w:tc>
          <w:tcPr>
            <w:tcW w:w="7180" w:type="dxa"/>
            <w:vAlign w:val="bottom"/>
            <w:tcBorders>
              <w:bottom w:val="single" w:sz="8" w:color="auto"/>
              <w:right w:val="single" w:sz="8" w:color="auto"/>
            </w:tcBorders>
          </w:tcPr>
          <w:p>
            <w:pPr>
              <w:spacing w:after="0"/>
              <w:rPr>
                <w:sz w:val="24"/>
                <w:szCs w:val="24"/>
                <w:color w:val="auto"/>
              </w:rPr>
            </w:pPr>
          </w:p>
        </w:tc>
        <w:tc>
          <w:tcPr>
            <w:tcW w:w="1320" w:type="dxa"/>
            <w:vAlign w:val="bottom"/>
            <w:tcBorders>
              <w:bottom w:val="single" w:sz="8" w:color="auto"/>
              <w:right w:val="single" w:sz="8" w:color="auto"/>
            </w:tcBorders>
          </w:tcPr>
          <w:p>
            <w:pPr>
              <w:spacing w:after="0"/>
              <w:rPr>
                <w:sz w:val="24"/>
                <w:szCs w:val="24"/>
                <w:color w:val="auto"/>
              </w:rPr>
            </w:pPr>
          </w:p>
        </w:tc>
        <w:tc>
          <w:tcPr>
            <w:tcW w:w="202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56"/>
        </w:trPr>
        <w:tc>
          <w:tcPr>
            <w:tcW w:w="720" w:type="dxa"/>
            <w:vAlign w:val="bottom"/>
            <w:tcBorders>
              <w:left w:val="single" w:sz="8" w:color="auto"/>
              <w:right w:val="single" w:sz="8" w:color="auto"/>
            </w:tcBorders>
          </w:tcPr>
          <w:p>
            <w:pPr>
              <w:spacing w:after="0"/>
              <w:rPr>
                <w:sz w:val="22"/>
                <w:szCs w:val="22"/>
                <w:color w:val="auto"/>
              </w:rPr>
            </w:pPr>
          </w:p>
        </w:tc>
        <w:tc>
          <w:tcPr>
            <w:tcW w:w="718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w w:val="93"/>
              </w:rPr>
              <w:t>We think the company improperly claims tax exemptions by reporting that parts are imported as</w:t>
            </w:r>
          </w:p>
        </w:tc>
        <w:tc>
          <w:tcPr>
            <w:tcW w:w="1320" w:type="dxa"/>
            <w:vAlign w:val="bottom"/>
            <w:tcBorders>
              <w:right w:val="single" w:sz="8" w:color="auto"/>
            </w:tcBorders>
          </w:tcPr>
          <w:p>
            <w:pPr>
              <w:spacing w:after="0"/>
              <w:rPr>
                <w:sz w:val="22"/>
                <w:szCs w:val="22"/>
                <w:color w:val="auto"/>
              </w:rPr>
            </w:pPr>
          </w:p>
        </w:tc>
        <w:tc>
          <w:tcPr>
            <w:tcW w:w="202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16"/>
        </w:trPr>
        <w:tc>
          <w:tcPr>
            <w:tcW w:w="720" w:type="dxa"/>
            <w:vAlign w:val="bottom"/>
            <w:tcBorders>
              <w:left w:val="single" w:sz="8" w:color="auto"/>
              <w:right w:val="single" w:sz="8" w:color="auto"/>
            </w:tcBorders>
          </w:tcPr>
          <w:p>
            <w:pPr>
              <w:spacing w:after="0"/>
              <w:rPr>
                <w:sz w:val="18"/>
                <w:szCs w:val="18"/>
                <w:color w:val="auto"/>
              </w:rPr>
            </w:pPr>
          </w:p>
        </w:tc>
        <w:tc>
          <w:tcPr>
            <w:tcW w:w="718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w w:val="96"/>
              </w:rPr>
              <w:t>part of its capital investment and for R&amp;D when really these are raw materials for operational</w:t>
            </w:r>
          </w:p>
        </w:tc>
        <w:tc>
          <w:tcPr>
            <w:tcW w:w="1320" w:type="dxa"/>
            <w:vAlign w:val="bottom"/>
            <w:tcBorders>
              <w:right w:val="single" w:sz="8" w:color="auto"/>
            </w:tcBorders>
          </w:tcPr>
          <w:p>
            <w:pPr>
              <w:spacing w:after="0"/>
              <w:rPr>
                <w:sz w:val="18"/>
                <w:szCs w:val="18"/>
                <w:color w:val="auto"/>
              </w:rPr>
            </w:pPr>
          </w:p>
        </w:tc>
        <w:tc>
          <w:tcPr>
            <w:tcW w:w="202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20" w:type="dxa"/>
            <w:vAlign w:val="bottom"/>
            <w:tcBorders>
              <w:left w:val="single" w:sz="8" w:color="auto"/>
              <w:right w:val="single" w:sz="8" w:color="auto"/>
            </w:tcBorders>
          </w:tcPr>
          <w:p>
            <w:pPr>
              <w:spacing w:after="0"/>
              <w:rPr>
                <w:sz w:val="18"/>
                <w:szCs w:val="18"/>
                <w:color w:val="auto"/>
              </w:rPr>
            </w:pPr>
          </w:p>
        </w:tc>
        <w:tc>
          <w:tcPr>
            <w:tcW w:w="718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w w:val="95"/>
              </w:rPr>
              <w:t>production. A supplier told us he believes the CEO, David Wang, may hand-carry some of the</w:t>
            </w:r>
          </w:p>
        </w:tc>
        <w:tc>
          <w:tcPr>
            <w:tcW w:w="1320" w:type="dxa"/>
            <w:vAlign w:val="bottom"/>
            <w:tcBorders>
              <w:right w:val="single" w:sz="8" w:color="auto"/>
            </w:tcBorders>
          </w:tcPr>
          <w:p>
            <w:pPr>
              <w:spacing w:after="0"/>
              <w:rPr>
                <w:sz w:val="18"/>
                <w:szCs w:val="18"/>
                <w:color w:val="auto"/>
              </w:rPr>
            </w:pPr>
          </w:p>
        </w:tc>
        <w:tc>
          <w:tcPr>
            <w:tcW w:w="202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Other Challenge 10:</w:t>
            </w:r>
          </w:p>
        </w:tc>
        <w:tc>
          <w:tcPr>
            <w:tcW w:w="0" w:type="dxa"/>
            <w:vAlign w:val="bottom"/>
          </w:tcPr>
          <w:p>
            <w:pPr>
              <w:spacing w:after="0"/>
              <w:rPr>
                <w:sz w:val="1"/>
                <w:szCs w:val="1"/>
                <w:color w:val="auto"/>
              </w:rPr>
            </w:pPr>
          </w:p>
        </w:tc>
      </w:tr>
      <w:tr>
        <w:trPr>
          <w:trHeight w:val="216"/>
        </w:trPr>
        <w:tc>
          <w:tcPr>
            <w:tcW w:w="720" w:type="dxa"/>
            <w:vAlign w:val="bottom"/>
            <w:tcBorders>
              <w:left w:val="single" w:sz="8" w:color="auto"/>
              <w:right w:val="single" w:sz="8" w:color="auto"/>
            </w:tcBorders>
          </w:tcPr>
          <w:p>
            <w:pPr>
              <w:spacing w:after="0"/>
              <w:rPr>
                <w:sz w:val="18"/>
                <w:szCs w:val="18"/>
                <w:color w:val="auto"/>
              </w:rPr>
            </w:pPr>
          </w:p>
        </w:tc>
        <w:tc>
          <w:tcPr>
            <w:tcW w:w="718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w w:val="90"/>
              </w:rPr>
              <w:t>components to China. This would seem too petty a means for evading taxes, but there is evidence</w:t>
            </w:r>
          </w:p>
        </w:tc>
        <w:tc>
          <w:tcPr>
            <w:tcW w:w="1320" w:type="dxa"/>
            <w:vAlign w:val="bottom"/>
            <w:tcBorders>
              <w:right w:val="single" w:sz="8" w:color="auto"/>
            </w:tcBorders>
          </w:tcPr>
          <w:p>
            <w:pPr>
              <w:spacing w:after="0"/>
              <w:rPr>
                <w:sz w:val="18"/>
                <w:szCs w:val="18"/>
                <w:color w:val="auto"/>
              </w:rPr>
            </w:pPr>
          </w:p>
        </w:tc>
        <w:tc>
          <w:tcPr>
            <w:tcW w:w="202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About the False</w:t>
            </w:r>
          </w:p>
        </w:tc>
        <w:tc>
          <w:tcPr>
            <w:tcW w:w="0" w:type="dxa"/>
            <w:vAlign w:val="bottom"/>
          </w:tcPr>
          <w:p>
            <w:pPr>
              <w:spacing w:after="0"/>
              <w:rPr>
                <w:sz w:val="1"/>
                <w:szCs w:val="1"/>
                <w:color w:val="auto"/>
              </w:rPr>
            </w:pPr>
          </w:p>
        </w:tc>
      </w:tr>
      <w:tr>
        <w:trPr>
          <w:trHeight w:val="216"/>
        </w:trPr>
        <w:tc>
          <w:tcPr>
            <w:tcW w:w="720" w:type="dxa"/>
            <w:vAlign w:val="bottom"/>
            <w:tcBorders>
              <w:left w:val="single" w:sz="8" w:color="auto"/>
              <w:right w:val="single" w:sz="8" w:color="auto"/>
            </w:tcBorders>
          </w:tcPr>
          <w:p>
            <w:pPr>
              <w:jc w:val="right"/>
              <w:ind w:right="190"/>
              <w:spacing w:after="0"/>
              <w:rPr>
                <w:sz w:val="20"/>
                <w:szCs w:val="20"/>
                <w:color w:val="auto"/>
              </w:rPr>
            </w:pPr>
            <w:r>
              <w:rPr>
                <w:rFonts w:ascii="Arial" w:cs="Arial" w:eastAsia="Arial" w:hAnsi="Arial"/>
                <w:sz w:val="18"/>
                <w:szCs w:val="18"/>
                <w:color w:val="auto"/>
              </w:rPr>
              <w:t>26</w:t>
            </w:r>
          </w:p>
        </w:tc>
        <w:tc>
          <w:tcPr>
            <w:tcW w:w="718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rPr>
              <w:t>from the disclosures that it is true. ACMR had to pay a fine on October 9, 2019 for a false</w:t>
            </w:r>
          </w:p>
        </w:tc>
        <w:tc>
          <w:tcPr>
            <w:tcW w:w="13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1"/>
              </w:rPr>
              <w:t>30-31</w:t>
            </w:r>
          </w:p>
        </w:tc>
        <w:tc>
          <w:tcPr>
            <w:tcW w:w="202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Declaration of Goods</w:t>
            </w:r>
          </w:p>
        </w:tc>
        <w:tc>
          <w:tcPr>
            <w:tcW w:w="0" w:type="dxa"/>
            <w:vAlign w:val="bottom"/>
          </w:tcPr>
          <w:p>
            <w:pPr>
              <w:spacing w:after="0"/>
              <w:rPr>
                <w:sz w:val="1"/>
                <w:szCs w:val="1"/>
                <w:color w:val="auto"/>
              </w:rPr>
            </w:pPr>
          </w:p>
        </w:tc>
      </w:tr>
      <w:tr>
        <w:trPr>
          <w:trHeight w:val="216"/>
        </w:trPr>
        <w:tc>
          <w:tcPr>
            <w:tcW w:w="720" w:type="dxa"/>
            <w:vAlign w:val="bottom"/>
            <w:tcBorders>
              <w:left w:val="single" w:sz="8" w:color="auto"/>
              <w:right w:val="single" w:sz="8" w:color="auto"/>
            </w:tcBorders>
          </w:tcPr>
          <w:p>
            <w:pPr>
              <w:spacing w:after="0"/>
              <w:rPr>
                <w:sz w:val="18"/>
                <w:szCs w:val="18"/>
                <w:color w:val="auto"/>
              </w:rPr>
            </w:pPr>
          </w:p>
        </w:tc>
        <w:tc>
          <w:tcPr>
            <w:tcW w:w="718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w w:val="94"/>
              </w:rPr>
              <w:t>declaration at the Shanghai Pudong International Airport, where ACMR staff apparently carried</w:t>
            </w:r>
          </w:p>
        </w:tc>
        <w:tc>
          <w:tcPr>
            <w:tcW w:w="1320" w:type="dxa"/>
            <w:vAlign w:val="bottom"/>
            <w:tcBorders>
              <w:right w:val="single" w:sz="8" w:color="auto"/>
            </w:tcBorders>
          </w:tcPr>
          <w:p>
            <w:pPr>
              <w:spacing w:after="0"/>
              <w:rPr>
                <w:sz w:val="18"/>
                <w:szCs w:val="18"/>
                <w:color w:val="auto"/>
              </w:rPr>
            </w:pPr>
          </w:p>
        </w:tc>
        <w:tc>
          <w:tcPr>
            <w:tcW w:w="202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w w:val="94"/>
              </w:rPr>
              <w:t>Imported through Pudong</w:t>
            </w:r>
          </w:p>
        </w:tc>
        <w:tc>
          <w:tcPr>
            <w:tcW w:w="0" w:type="dxa"/>
            <w:vAlign w:val="bottom"/>
          </w:tcPr>
          <w:p>
            <w:pPr>
              <w:spacing w:after="0"/>
              <w:rPr>
                <w:sz w:val="1"/>
                <w:szCs w:val="1"/>
                <w:color w:val="auto"/>
              </w:rPr>
            </w:pPr>
          </w:p>
        </w:tc>
      </w:tr>
      <w:tr>
        <w:trPr>
          <w:trHeight w:val="216"/>
        </w:trPr>
        <w:tc>
          <w:tcPr>
            <w:tcW w:w="720" w:type="dxa"/>
            <w:vAlign w:val="bottom"/>
            <w:tcBorders>
              <w:left w:val="single" w:sz="8" w:color="auto"/>
              <w:right w:val="single" w:sz="8" w:color="auto"/>
            </w:tcBorders>
          </w:tcPr>
          <w:p>
            <w:pPr>
              <w:spacing w:after="0"/>
              <w:rPr>
                <w:sz w:val="18"/>
                <w:szCs w:val="18"/>
                <w:color w:val="auto"/>
              </w:rPr>
            </w:pPr>
          </w:p>
        </w:tc>
        <w:tc>
          <w:tcPr>
            <w:tcW w:w="718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w w:val="99"/>
              </w:rPr>
              <w:t>parts “used for power of silicon chip cleaning machine.”17 Procuring inventory via staff air</w:t>
            </w:r>
          </w:p>
        </w:tc>
        <w:tc>
          <w:tcPr>
            <w:tcW w:w="1320" w:type="dxa"/>
            <w:vAlign w:val="bottom"/>
            <w:tcBorders>
              <w:right w:val="single" w:sz="8" w:color="auto"/>
            </w:tcBorders>
          </w:tcPr>
          <w:p>
            <w:pPr>
              <w:spacing w:after="0"/>
              <w:rPr>
                <w:sz w:val="18"/>
                <w:szCs w:val="18"/>
                <w:color w:val="auto"/>
              </w:rPr>
            </w:pPr>
          </w:p>
        </w:tc>
        <w:tc>
          <w:tcPr>
            <w:tcW w:w="202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Airport</w:t>
            </w:r>
          </w:p>
        </w:tc>
        <w:tc>
          <w:tcPr>
            <w:tcW w:w="0" w:type="dxa"/>
            <w:vAlign w:val="bottom"/>
          </w:tcPr>
          <w:p>
            <w:pPr>
              <w:spacing w:after="0"/>
              <w:rPr>
                <w:sz w:val="1"/>
                <w:szCs w:val="1"/>
                <w:color w:val="auto"/>
              </w:rPr>
            </w:pPr>
          </w:p>
        </w:tc>
      </w:tr>
      <w:tr>
        <w:trPr>
          <w:trHeight w:val="230"/>
        </w:trPr>
        <w:tc>
          <w:tcPr>
            <w:tcW w:w="720" w:type="dxa"/>
            <w:vAlign w:val="bottom"/>
            <w:tcBorders>
              <w:left w:val="single" w:sz="8" w:color="auto"/>
              <w:right w:val="single" w:sz="8" w:color="auto"/>
            </w:tcBorders>
          </w:tcPr>
          <w:p>
            <w:pPr>
              <w:spacing w:after="0"/>
              <w:rPr>
                <w:sz w:val="20"/>
                <w:szCs w:val="20"/>
                <w:color w:val="auto"/>
              </w:rPr>
            </w:pPr>
          </w:p>
        </w:tc>
        <w:tc>
          <w:tcPr>
            <w:tcW w:w="718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w w:val="93"/>
              </w:rPr>
              <w:t>luggage is not sustainable for a publicly listed company that claims to be expanding operations.”</w:t>
            </w:r>
          </w:p>
        </w:tc>
        <w:tc>
          <w:tcPr>
            <w:tcW w:w="1320" w:type="dxa"/>
            <w:vAlign w:val="bottom"/>
            <w:tcBorders>
              <w:right w:val="single" w:sz="8" w:color="auto"/>
            </w:tcBorders>
          </w:tcPr>
          <w:p>
            <w:pPr>
              <w:spacing w:after="0"/>
              <w:rPr>
                <w:sz w:val="20"/>
                <w:szCs w:val="20"/>
                <w:color w:val="auto"/>
              </w:rPr>
            </w:pPr>
          </w:p>
        </w:tc>
        <w:tc>
          <w:tcPr>
            <w:tcW w:w="20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77"/>
        </w:trPr>
        <w:tc>
          <w:tcPr>
            <w:tcW w:w="720" w:type="dxa"/>
            <w:vAlign w:val="bottom"/>
            <w:tcBorders>
              <w:left w:val="single" w:sz="8" w:color="auto"/>
              <w:bottom w:val="single" w:sz="8" w:color="auto"/>
              <w:right w:val="single" w:sz="8" w:color="auto"/>
            </w:tcBorders>
          </w:tcPr>
          <w:p>
            <w:pPr>
              <w:spacing w:after="0"/>
              <w:rPr>
                <w:sz w:val="24"/>
                <w:szCs w:val="24"/>
                <w:color w:val="auto"/>
              </w:rPr>
            </w:pPr>
          </w:p>
        </w:tc>
        <w:tc>
          <w:tcPr>
            <w:tcW w:w="7180" w:type="dxa"/>
            <w:vAlign w:val="bottom"/>
            <w:tcBorders>
              <w:bottom w:val="single" w:sz="8" w:color="auto"/>
              <w:right w:val="single" w:sz="8" w:color="auto"/>
            </w:tcBorders>
          </w:tcPr>
          <w:p>
            <w:pPr>
              <w:spacing w:after="0"/>
              <w:rPr>
                <w:sz w:val="24"/>
                <w:szCs w:val="24"/>
                <w:color w:val="auto"/>
              </w:rPr>
            </w:pPr>
          </w:p>
        </w:tc>
        <w:tc>
          <w:tcPr>
            <w:tcW w:w="1320" w:type="dxa"/>
            <w:vAlign w:val="bottom"/>
            <w:tcBorders>
              <w:bottom w:val="single" w:sz="8" w:color="auto"/>
              <w:right w:val="single" w:sz="8" w:color="auto"/>
            </w:tcBorders>
          </w:tcPr>
          <w:p>
            <w:pPr>
              <w:spacing w:after="0"/>
              <w:rPr>
                <w:sz w:val="24"/>
                <w:szCs w:val="24"/>
                <w:color w:val="auto"/>
              </w:rPr>
            </w:pPr>
          </w:p>
        </w:tc>
        <w:tc>
          <w:tcPr>
            <w:tcW w:w="202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56"/>
        </w:trPr>
        <w:tc>
          <w:tcPr>
            <w:tcW w:w="720" w:type="dxa"/>
            <w:vAlign w:val="bottom"/>
            <w:tcBorders>
              <w:left w:val="single" w:sz="8" w:color="auto"/>
              <w:right w:val="single" w:sz="8" w:color="auto"/>
            </w:tcBorders>
          </w:tcPr>
          <w:p>
            <w:pPr>
              <w:spacing w:after="0"/>
              <w:rPr>
                <w:sz w:val="22"/>
                <w:szCs w:val="22"/>
                <w:color w:val="auto"/>
              </w:rPr>
            </w:pPr>
          </w:p>
        </w:tc>
        <w:tc>
          <w:tcPr>
            <w:tcW w:w="718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w w:val="98"/>
              </w:rPr>
              <w:t>A former longtime R&amp;D employee of ACMR told us that when he joined the company, “I felt</w:t>
            </w:r>
          </w:p>
        </w:tc>
        <w:tc>
          <w:tcPr>
            <w:tcW w:w="1320" w:type="dxa"/>
            <w:vAlign w:val="bottom"/>
            <w:tcBorders>
              <w:right w:val="single" w:sz="8" w:color="auto"/>
            </w:tcBorders>
          </w:tcPr>
          <w:p>
            <w:pPr>
              <w:spacing w:after="0"/>
              <w:rPr>
                <w:sz w:val="22"/>
                <w:szCs w:val="22"/>
                <w:color w:val="auto"/>
              </w:rPr>
            </w:pPr>
          </w:p>
        </w:tc>
        <w:tc>
          <w:tcPr>
            <w:tcW w:w="202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16"/>
        </w:trPr>
        <w:tc>
          <w:tcPr>
            <w:tcW w:w="720" w:type="dxa"/>
            <w:vAlign w:val="bottom"/>
            <w:tcBorders>
              <w:left w:val="single" w:sz="8" w:color="auto"/>
              <w:right w:val="single" w:sz="8" w:color="auto"/>
            </w:tcBorders>
          </w:tcPr>
          <w:p>
            <w:pPr>
              <w:spacing w:after="0"/>
              <w:rPr>
                <w:sz w:val="18"/>
                <w:szCs w:val="18"/>
                <w:color w:val="auto"/>
              </w:rPr>
            </w:pPr>
          </w:p>
        </w:tc>
        <w:tc>
          <w:tcPr>
            <w:tcW w:w="718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w w:val="98"/>
              </w:rPr>
              <w:t>there was no technological content in their product. A components supplier who has known</w:t>
            </w:r>
          </w:p>
        </w:tc>
        <w:tc>
          <w:tcPr>
            <w:tcW w:w="1320" w:type="dxa"/>
            <w:vAlign w:val="bottom"/>
            <w:tcBorders>
              <w:right w:val="single" w:sz="8" w:color="auto"/>
            </w:tcBorders>
          </w:tcPr>
          <w:p>
            <w:pPr>
              <w:spacing w:after="0"/>
              <w:rPr>
                <w:sz w:val="18"/>
                <w:szCs w:val="18"/>
                <w:color w:val="auto"/>
              </w:rPr>
            </w:pPr>
          </w:p>
        </w:tc>
        <w:tc>
          <w:tcPr>
            <w:tcW w:w="2020" w:type="dxa"/>
            <w:vAlign w:val="bottom"/>
            <w:tcBorders>
              <w:right w:val="single" w:sz="8" w:color="auto"/>
            </w:tcBorders>
            <w:vMerge w:val="restart"/>
          </w:tcPr>
          <w:p>
            <w:pPr>
              <w:ind w:left="60"/>
              <w:spacing w:after="0"/>
              <w:rPr>
                <w:sz w:val="20"/>
                <w:szCs w:val="20"/>
                <w:color w:val="auto"/>
              </w:rPr>
            </w:pPr>
            <w:r>
              <w:rPr>
                <w:rFonts w:ascii="Arial" w:cs="Arial" w:eastAsia="Arial" w:hAnsi="Arial"/>
                <w:sz w:val="18"/>
                <w:szCs w:val="18"/>
                <w:color w:val="auto"/>
              </w:rPr>
              <w:t>Other Comments in the</w:t>
            </w:r>
          </w:p>
        </w:tc>
        <w:tc>
          <w:tcPr>
            <w:tcW w:w="0" w:type="dxa"/>
            <w:vAlign w:val="bottom"/>
          </w:tcPr>
          <w:p>
            <w:pPr>
              <w:spacing w:after="0"/>
              <w:rPr>
                <w:sz w:val="1"/>
                <w:szCs w:val="1"/>
                <w:color w:val="auto"/>
              </w:rPr>
            </w:pPr>
          </w:p>
        </w:tc>
      </w:tr>
      <w:tr>
        <w:trPr>
          <w:trHeight w:val="108"/>
        </w:trPr>
        <w:tc>
          <w:tcPr>
            <w:tcW w:w="720" w:type="dxa"/>
            <w:vAlign w:val="bottom"/>
            <w:tcBorders>
              <w:left w:val="single" w:sz="8" w:color="auto"/>
              <w:right w:val="single" w:sz="8" w:color="auto"/>
            </w:tcBorders>
            <w:vMerge w:val="restart"/>
          </w:tcPr>
          <w:p>
            <w:pPr>
              <w:jc w:val="right"/>
              <w:ind w:right="190"/>
              <w:spacing w:after="0"/>
              <w:rPr>
                <w:sz w:val="20"/>
                <w:szCs w:val="20"/>
                <w:color w:val="auto"/>
              </w:rPr>
            </w:pPr>
            <w:r>
              <w:rPr>
                <w:rFonts w:ascii="Arial" w:cs="Arial" w:eastAsia="Arial" w:hAnsi="Arial"/>
                <w:sz w:val="18"/>
                <w:szCs w:val="18"/>
                <w:color w:val="auto"/>
              </w:rPr>
              <w:t>27</w:t>
            </w:r>
          </w:p>
        </w:tc>
        <w:tc>
          <w:tcPr>
            <w:tcW w:w="7180" w:type="dxa"/>
            <w:vAlign w:val="bottom"/>
            <w:tcBorders>
              <w:right w:val="single" w:sz="8" w:color="auto"/>
            </w:tcBorders>
            <w:vMerge w:val="restart"/>
          </w:tcPr>
          <w:p>
            <w:pPr>
              <w:ind w:left="40"/>
              <w:spacing w:after="0"/>
              <w:rPr>
                <w:sz w:val="20"/>
                <w:szCs w:val="20"/>
                <w:color w:val="auto"/>
              </w:rPr>
            </w:pPr>
            <w:r>
              <w:rPr>
                <w:rFonts w:ascii="Arial" w:cs="Arial" w:eastAsia="Arial" w:hAnsi="Arial"/>
                <w:sz w:val="18"/>
                <w:szCs w:val="18"/>
                <w:color w:val="auto"/>
                <w:w w:val="93"/>
              </w:rPr>
              <w:t>ACMR for a decade told us: “They don’t have much in way of R&amp;D, a lab, manufacturing. It’s an</w:t>
            </w:r>
          </w:p>
        </w:tc>
        <w:tc>
          <w:tcPr>
            <w:tcW w:w="13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89"/>
              </w:rPr>
              <w:t>32</w:t>
            </w:r>
          </w:p>
        </w:tc>
        <w:tc>
          <w:tcPr>
            <w:tcW w:w="2020" w:type="dxa"/>
            <w:vAlign w:val="bottom"/>
            <w:tcBorders>
              <w:right w:val="single" w:sz="8" w:color="auto"/>
            </w:tcBorders>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720" w:type="dxa"/>
            <w:vAlign w:val="bottom"/>
            <w:tcBorders>
              <w:left w:val="single" w:sz="8" w:color="auto"/>
              <w:right w:val="single" w:sz="8" w:color="auto"/>
            </w:tcBorders>
            <w:vMerge w:val="continue"/>
          </w:tcPr>
          <w:p>
            <w:pPr>
              <w:spacing w:after="0"/>
              <w:rPr>
                <w:sz w:val="9"/>
                <w:szCs w:val="9"/>
                <w:color w:val="auto"/>
              </w:rPr>
            </w:pPr>
          </w:p>
        </w:tc>
        <w:tc>
          <w:tcPr>
            <w:tcW w:w="7180" w:type="dxa"/>
            <w:vAlign w:val="bottom"/>
            <w:tcBorders>
              <w:right w:val="single" w:sz="8" w:color="auto"/>
            </w:tcBorders>
            <w:vMerge w:val="continue"/>
          </w:tcPr>
          <w:p>
            <w:pPr>
              <w:spacing w:after="0"/>
              <w:rPr>
                <w:sz w:val="9"/>
                <w:szCs w:val="9"/>
                <w:color w:val="auto"/>
              </w:rPr>
            </w:pPr>
          </w:p>
        </w:tc>
        <w:tc>
          <w:tcPr>
            <w:tcW w:w="1320" w:type="dxa"/>
            <w:vAlign w:val="bottom"/>
            <w:tcBorders>
              <w:right w:val="single" w:sz="8" w:color="auto"/>
            </w:tcBorders>
            <w:vMerge w:val="continue"/>
          </w:tcPr>
          <w:p>
            <w:pPr>
              <w:spacing w:after="0"/>
              <w:rPr>
                <w:sz w:val="9"/>
                <w:szCs w:val="9"/>
                <w:color w:val="auto"/>
              </w:rPr>
            </w:pPr>
          </w:p>
        </w:tc>
        <w:tc>
          <w:tcPr>
            <w:tcW w:w="2020" w:type="dxa"/>
            <w:vAlign w:val="bottom"/>
            <w:tcBorders>
              <w:right w:val="single" w:sz="8" w:color="auto"/>
            </w:tcBorders>
            <w:vMerge w:val="restart"/>
          </w:tcPr>
          <w:p>
            <w:pPr>
              <w:ind w:left="60"/>
              <w:spacing w:after="0"/>
              <w:rPr>
                <w:sz w:val="20"/>
                <w:szCs w:val="20"/>
                <w:color w:val="auto"/>
              </w:rPr>
            </w:pPr>
            <w:r>
              <w:rPr>
                <w:rFonts w:ascii="Arial" w:cs="Arial" w:eastAsia="Arial" w:hAnsi="Arial"/>
                <w:sz w:val="18"/>
                <w:szCs w:val="18"/>
                <w:color w:val="auto"/>
              </w:rPr>
              <w:t>Short-sell Report</w:t>
            </w:r>
          </w:p>
        </w:tc>
        <w:tc>
          <w:tcPr>
            <w:tcW w:w="0" w:type="dxa"/>
            <w:vAlign w:val="bottom"/>
          </w:tcPr>
          <w:p>
            <w:pPr>
              <w:spacing w:after="0"/>
              <w:rPr>
                <w:sz w:val="1"/>
                <w:szCs w:val="1"/>
                <w:color w:val="auto"/>
              </w:rPr>
            </w:pPr>
          </w:p>
        </w:tc>
      </w:tr>
      <w:tr>
        <w:trPr>
          <w:trHeight w:val="122"/>
        </w:trPr>
        <w:tc>
          <w:tcPr>
            <w:tcW w:w="720" w:type="dxa"/>
            <w:vAlign w:val="bottom"/>
            <w:tcBorders>
              <w:left w:val="single" w:sz="8" w:color="auto"/>
              <w:right w:val="single" w:sz="8" w:color="auto"/>
            </w:tcBorders>
          </w:tcPr>
          <w:p>
            <w:pPr>
              <w:spacing w:after="0"/>
              <w:rPr>
                <w:sz w:val="10"/>
                <w:szCs w:val="10"/>
                <w:color w:val="auto"/>
              </w:rPr>
            </w:pPr>
          </w:p>
        </w:tc>
        <w:tc>
          <w:tcPr>
            <w:tcW w:w="7180" w:type="dxa"/>
            <w:vAlign w:val="bottom"/>
            <w:tcBorders>
              <w:right w:val="single" w:sz="8" w:color="auto"/>
            </w:tcBorders>
            <w:vMerge w:val="restart"/>
          </w:tcPr>
          <w:p>
            <w:pPr>
              <w:ind w:left="40"/>
              <w:spacing w:after="0"/>
              <w:rPr>
                <w:sz w:val="20"/>
                <w:szCs w:val="20"/>
                <w:color w:val="auto"/>
              </w:rPr>
            </w:pPr>
            <w:r>
              <w:rPr>
                <w:rFonts w:ascii="Arial" w:cs="Arial" w:eastAsia="Arial" w:hAnsi="Arial"/>
                <w:sz w:val="18"/>
                <w:szCs w:val="18"/>
                <w:color w:val="auto"/>
              </w:rPr>
              <w:t>assembly operation.</w:t>
            </w:r>
          </w:p>
        </w:tc>
        <w:tc>
          <w:tcPr>
            <w:tcW w:w="1320" w:type="dxa"/>
            <w:vAlign w:val="bottom"/>
            <w:tcBorders>
              <w:right w:val="single" w:sz="8" w:color="auto"/>
            </w:tcBorders>
          </w:tcPr>
          <w:p>
            <w:pPr>
              <w:spacing w:after="0"/>
              <w:rPr>
                <w:sz w:val="10"/>
                <w:szCs w:val="10"/>
                <w:color w:val="auto"/>
              </w:rPr>
            </w:pPr>
          </w:p>
        </w:tc>
        <w:tc>
          <w:tcPr>
            <w:tcW w:w="2020" w:type="dxa"/>
            <w:vAlign w:val="bottom"/>
            <w:tcBorders>
              <w:right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720" w:type="dxa"/>
            <w:vAlign w:val="bottom"/>
            <w:tcBorders>
              <w:left w:val="single" w:sz="8" w:color="auto"/>
              <w:right w:val="single" w:sz="8" w:color="auto"/>
            </w:tcBorders>
          </w:tcPr>
          <w:p>
            <w:pPr>
              <w:spacing w:after="0"/>
              <w:rPr>
                <w:sz w:val="9"/>
                <w:szCs w:val="9"/>
                <w:color w:val="auto"/>
              </w:rPr>
            </w:pPr>
          </w:p>
        </w:tc>
        <w:tc>
          <w:tcPr>
            <w:tcW w:w="7180" w:type="dxa"/>
            <w:vAlign w:val="bottom"/>
            <w:tcBorders>
              <w:right w:val="single" w:sz="8" w:color="auto"/>
            </w:tcBorders>
            <w:vMerge w:val="continue"/>
          </w:tcPr>
          <w:p>
            <w:pPr>
              <w:spacing w:after="0"/>
              <w:rPr>
                <w:sz w:val="9"/>
                <w:szCs w:val="9"/>
                <w:color w:val="auto"/>
              </w:rPr>
            </w:pPr>
          </w:p>
        </w:tc>
        <w:tc>
          <w:tcPr>
            <w:tcW w:w="1320" w:type="dxa"/>
            <w:vAlign w:val="bottom"/>
            <w:tcBorders>
              <w:right w:val="single" w:sz="8" w:color="auto"/>
            </w:tcBorders>
          </w:tcPr>
          <w:p>
            <w:pPr>
              <w:spacing w:after="0"/>
              <w:rPr>
                <w:sz w:val="9"/>
                <w:szCs w:val="9"/>
                <w:color w:val="auto"/>
              </w:rPr>
            </w:pPr>
          </w:p>
        </w:tc>
        <w:tc>
          <w:tcPr>
            <w:tcW w:w="2020" w:type="dxa"/>
            <w:vAlign w:val="bottom"/>
            <w:tcBorders>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277"/>
        </w:trPr>
        <w:tc>
          <w:tcPr>
            <w:tcW w:w="720" w:type="dxa"/>
            <w:vAlign w:val="bottom"/>
            <w:tcBorders>
              <w:left w:val="single" w:sz="8" w:color="auto"/>
              <w:bottom w:val="single" w:sz="8" w:color="auto"/>
              <w:right w:val="single" w:sz="8" w:color="auto"/>
            </w:tcBorders>
          </w:tcPr>
          <w:p>
            <w:pPr>
              <w:spacing w:after="0"/>
              <w:rPr>
                <w:sz w:val="24"/>
                <w:szCs w:val="24"/>
                <w:color w:val="auto"/>
              </w:rPr>
            </w:pPr>
          </w:p>
        </w:tc>
        <w:tc>
          <w:tcPr>
            <w:tcW w:w="7180" w:type="dxa"/>
            <w:vAlign w:val="bottom"/>
            <w:tcBorders>
              <w:bottom w:val="single" w:sz="8" w:color="auto"/>
              <w:right w:val="single" w:sz="8" w:color="auto"/>
            </w:tcBorders>
          </w:tcPr>
          <w:p>
            <w:pPr>
              <w:spacing w:after="0"/>
              <w:rPr>
                <w:sz w:val="24"/>
                <w:szCs w:val="24"/>
                <w:color w:val="auto"/>
              </w:rPr>
            </w:pPr>
          </w:p>
        </w:tc>
        <w:tc>
          <w:tcPr>
            <w:tcW w:w="1320" w:type="dxa"/>
            <w:vAlign w:val="bottom"/>
            <w:tcBorders>
              <w:bottom w:val="single" w:sz="8" w:color="auto"/>
              <w:right w:val="single" w:sz="8" w:color="auto"/>
            </w:tcBorders>
          </w:tcPr>
          <w:p>
            <w:pPr>
              <w:spacing w:after="0"/>
              <w:rPr>
                <w:sz w:val="24"/>
                <w:szCs w:val="24"/>
                <w:color w:val="auto"/>
              </w:rPr>
            </w:pPr>
          </w:p>
        </w:tc>
        <w:tc>
          <w:tcPr>
            <w:tcW w:w="202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56"/>
        </w:trPr>
        <w:tc>
          <w:tcPr>
            <w:tcW w:w="720" w:type="dxa"/>
            <w:vAlign w:val="bottom"/>
            <w:tcBorders>
              <w:left w:val="single" w:sz="8" w:color="auto"/>
              <w:right w:val="single" w:sz="8" w:color="auto"/>
            </w:tcBorders>
          </w:tcPr>
          <w:p>
            <w:pPr>
              <w:spacing w:after="0"/>
              <w:rPr>
                <w:sz w:val="22"/>
                <w:szCs w:val="22"/>
                <w:color w:val="auto"/>
              </w:rPr>
            </w:pPr>
          </w:p>
        </w:tc>
        <w:tc>
          <w:tcPr>
            <w:tcW w:w="718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w w:val="96"/>
              </w:rPr>
              <w:t>We have spoken with a half dozen production workers at ACMR’s Shanghai plant, with more</w:t>
            </w:r>
          </w:p>
        </w:tc>
        <w:tc>
          <w:tcPr>
            <w:tcW w:w="1320" w:type="dxa"/>
            <w:vAlign w:val="bottom"/>
            <w:tcBorders>
              <w:right w:val="single" w:sz="8" w:color="auto"/>
            </w:tcBorders>
          </w:tcPr>
          <w:p>
            <w:pPr>
              <w:spacing w:after="0"/>
              <w:rPr>
                <w:sz w:val="22"/>
                <w:szCs w:val="22"/>
                <w:color w:val="auto"/>
              </w:rPr>
            </w:pPr>
          </w:p>
        </w:tc>
        <w:tc>
          <w:tcPr>
            <w:tcW w:w="202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16"/>
        </w:trPr>
        <w:tc>
          <w:tcPr>
            <w:tcW w:w="720" w:type="dxa"/>
            <w:vAlign w:val="bottom"/>
            <w:tcBorders>
              <w:left w:val="single" w:sz="8" w:color="auto"/>
              <w:right w:val="single" w:sz="8" w:color="auto"/>
            </w:tcBorders>
          </w:tcPr>
          <w:p>
            <w:pPr>
              <w:spacing w:after="0"/>
              <w:rPr>
                <w:sz w:val="18"/>
                <w:szCs w:val="18"/>
                <w:color w:val="auto"/>
              </w:rPr>
            </w:pPr>
          </w:p>
        </w:tc>
        <w:tc>
          <w:tcPr>
            <w:tcW w:w="718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w w:val="92"/>
              </w:rPr>
              <w:t>than a dozen suppliers, and with customers. We have concluded that ACMR purchases valuable</w:t>
            </w:r>
          </w:p>
        </w:tc>
        <w:tc>
          <w:tcPr>
            <w:tcW w:w="1320" w:type="dxa"/>
            <w:vAlign w:val="bottom"/>
            <w:tcBorders>
              <w:right w:val="single" w:sz="8" w:color="auto"/>
            </w:tcBorders>
          </w:tcPr>
          <w:p>
            <w:pPr>
              <w:spacing w:after="0"/>
              <w:rPr>
                <w:sz w:val="18"/>
                <w:szCs w:val="18"/>
                <w:color w:val="auto"/>
              </w:rPr>
            </w:pPr>
          </w:p>
        </w:tc>
        <w:tc>
          <w:tcPr>
            <w:tcW w:w="202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20" w:type="dxa"/>
            <w:vAlign w:val="bottom"/>
            <w:tcBorders>
              <w:left w:val="single" w:sz="8" w:color="auto"/>
              <w:right w:val="single" w:sz="8" w:color="auto"/>
            </w:tcBorders>
          </w:tcPr>
          <w:p>
            <w:pPr>
              <w:spacing w:after="0"/>
              <w:rPr>
                <w:sz w:val="18"/>
                <w:szCs w:val="18"/>
                <w:color w:val="auto"/>
              </w:rPr>
            </w:pPr>
          </w:p>
        </w:tc>
        <w:tc>
          <w:tcPr>
            <w:tcW w:w="718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w w:val="97"/>
              </w:rPr>
              <w:t>parts from third parties and performs a low-value assembly operation that principally entails</w:t>
            </w:r>
          </w:p>
        </w:tc>
        <w:tc>
          <w:tcPr>
            <w:tcW w:w="1320" w:type="dxa"/>
            <w:vAlign w:val="bottom"/>
            <w:tcBorders>
              <w:right w:val="single" w:sz="8" w:color="auto"/>
            </w:tcBorders>
          </w:tcPr>
          <w:p>
            <w:pPr>
              <w:spacing w:after="0"/>
              <w:rPr>
                <w:sz w:val="18"/>
                <w:szCs w:val="18"/>
                <w:color w:val="auto"/>
              </w:rPr>
            </w:pPr>
          </w:p>
        </w:tc>
        <w:tc>
          <w:tcPr>
            <w:tcW w:w="2020" w:type="dxa"/>
            <w:vAlign w:val="bottom"/>
            <w:tcBorders>
              <w:right w:val="single" w:sz="8" w:color="auto"/>
            </w:tcBorders>
            <w:vMerge w:val="restart"/>
          </w:tcPr>
          <w:p>
            <w:pPr>
              <w:ind w:left="60"/>
              <w:spacing w:after="0"/>
              <w:rPr>
                <w:sz w:val="20"/>
                <w:szCs w:val="20"/>
                <w:color w:val="auto"/>
              </w:rPr>
            </w:pPr>
            <w:r>
              <w:rPr>
                <w:rFonts w:ascii="Arial" w:cs="Arial" w:eastAsia="Arial" w:hAnsi="Arial"/>
                <w:sz w:val="18"/>
                <w:szCs w:val="18"/>
                <w:color w:val="auto"/>
              </w:rPr>
              <w:t>Other Comments in the</w:t>
            </w:r>
          </w:p>
        </w:tc>
        <w:tc>
          <w:tcPr>
            <w:tcW w:w="0" w:type="dxa"/>
            <w:vAlign w:val="bottom"/>
          </w:tcPr>
          <w:p>
            <w:pPr>
              <w:spacing w:after="0"/>
              <w:rPr>
                <w:sz w:val="1"/>
                <w:szCs w:val="1"/>
                <w:color w:val="auto"/>
              </w:rPr>
            </w:pPr>
          </w:p>
        </w:tc>
      </w:tr>
      <w:tr>
        <w:trPr>
          <w:trHeight w:val="108"/>
        </w:trPr>
        <w:tc>
          <w:tcPr>
            <w:tcW w:w="720" w:type="dxa"/>
            <w:vAlign w:val="bottom"/>
            <w:tcBorders>
              <w:left w:val="single" w:sz="8" w:color="auto"/>
              <w:right w:val="single" w:sz="8" w:color="auto"/>
            </w:tcBorders>
            <w:vMerge w:val="restart"/>
          </w:tcPr>
          <w:p>
            <w:pPr>
              <w:jc w:val="right"/>
              <w:ind w:right="190"/>
              <w:spacing w:after="0"/>
              <w:rPr>
                <w:sz w:val="20"/>
                <w:szCs w:val="20"/>
                <w:color w:val="auto"/>
              </w:rPr>
            </w:pPr>
            <w:r>
              <w:rPr>
                <w:rFonts w:ascii="Arial" w:cs="Arial" w:eastAsia="Arial" w:hAnsi="Arial"/>
                <w:sz w:val="18"/>
                <w:szCs w:val="18"/>
                <w:color w:val="auto"/>
              </w:rPr>
              <w:t>28</w:t>
            </w:r>
          </w:p>
        </w:tc>
        <w:tc>
          <w:tcPr>
            <w:tcW w:w="7180" w:type="dxa"/>
            <w:vAlign w:val="bottom"/>
            <w:tcBorders>
              <w:right w:val="single" w:sz="8" w:color="auto"/>
            </w:tcBorders>
            <w:vMerge w:val="restart"/>
          </w:tcPr>
          <w:p>
            <w:pPr>
              <w:ind w:left="40"/>
              <w:spacing w:after="0"/>
              <w:rPr>
                <w:sz w:val="20"/>
                <w:szCs w:val="20"/>
                <w:color w:val="auto"/>
              </w:rPr>
            </w:pPr>
            <w:r>
              <w:rPr>
                <w:rFonts w:ascii="Arial" w:cs="Arial" w:eastAsia="Arial" w:hAnsi="Arial"/>
                <w:sz w:val="18"/>
                <w:szCs w:val="18"/>
                <w:color w:val="auto"/>
                <w:w w:val="93"/>
              </w:rPr>
              <w:t>connecting tubes (the machine “plumbing”) and electrical circuits and then testing the machines.</w:t>
            </w:r>
          </w:p>
        </w:tc>
        <w:tc>
          <w:tcPr>
            <w:tcW w:w="13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89"/>
              </w:rPr>
              <w:t>32</w:t>
            </w:r>
          </w:p>
        </w:tc>
        <w:tc>
          <w:tcPr>
            <w:tcW w:w="2020" w:type="dxa"/>
            <w:vAlign w:val="bottom"/>
            <w:tcBorders>
              <w:right w:val="single" w:sz="8" w:color="auto"/>
            </w:tcBorders>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720" w:type="dxa"/>
            <w:vAlign w:val="bottom"/>
            <w:tcBorders>
              <w:left w:val="single" w:sz="8" w:color="auto"/>
              <w:right w:val="single" w:sz="8" w:color="auto"/>
            </w:tcBorders>
            <w:vMerge w:val="continue"/>
          </w:tcPr>
          <w:p>
            <w:pPr>
              <w:spacing w:after="0"/>
              <w:rPr>
                <w:sz w:val="9"/>
                <w:szCs w:val="9"/>
                <w:color w:val="auto"/>
              </w:rPr>
            </w:pPr>
          </w:p>
        </w:tc>
        <w:tc>
          <w:tcPr>
            <w:tcW w:w="7180" w:type="dxa"/>
            <w:vAlign w:val="bottom"/>
            <w:tcBorders>
              <w:right w:val="single" w:sz="8" w:color="auto"/>
            </w:tcBorders>
            <w:vMerge w:val="continue"/>
          </w:tcPr>
          <w:p>
            <w:pPr>
              <w:spacing w:after="0"/>
              <w:rPr>
                <w:sz w:val="9"/>
                <w:szCs w:val="9"/>
                <w:color w:val="auto"/>
              </w:rPr>
            </w:pPr>
          </w:p>
        </w:tc>
        <w:tc>
          <w:tcPr>
            <w:tcW w:w="1320" w:type="dxa"/>
            <w:vAlign w:val="bottom"/>
            <w:tcBorders>
              <w:right w:val="single" w:sz="8" w:color="auto"/>
            </w:tcBorders>
            <w:vMerge w:val="continue"/>
          </w:tcPr>
          <w:p>
            <w:pPr>
              <w:spacing w:after="0"/>
              <w:rPr>
                <w:sz w:val="9"/>
                <w:szCs w:val="9"/>
                <w:color w:val="auto"/>
              </w:rPr>
            </w:pPr>
          </w:p>
        </w:tc>
        <w:tc>
          <w:tcPr>
            <w:tcW w:w="2020" w:type="dxa"/>
            <w:vAlign w:val="bottom"/>
            <w:tcBorders>
              <w:right w:val="single" w:sz="8" w:color="auto"/>
            </w:tcBorders>
            <w:vMerge w:val="restart"/>
          </w:tcPr>
          <w:p>
            <w:pPr>
              <w:ind w:left="60"/>
              <w:spacing w:after="0"/>
              <w:rPr>
                <w:sz w:val="20"/>
                <w:szCs w:val="20"/>
                <w:color w:val="auto"/>
              </w:rPr>
            </w:pPr>
            <w:r>
              <w:rPr>
                <w:rFonts w:ascii="Arial" w:cs="Arial" w:eastAsia="Arial" w:hAnsi="Arial"/>
                <w:sz w:val="18"/>
                <w:szCs w:val="18"/>
                <w:color w:val="auto"/>
              </w:rPr>
              <w:t>Short-sell Report</w:t>
            </w:r>
          </w:p>
        </w:tc>
        <w:tc>
          <w:tcPr>
            <w:tcW w:w="0" w:type="dxa"/>
            <w:vAlign w:val="bottom"/>
          </w:tcPr>
          <w:p>
            <w:pPr>
              <w:spacing w:after="0"/>
              <w:rPr>
                <w:sz w:val="1"/>
                <w:szCs w:val="1"/>
                <w:color w:val="auto"/>
              </w:rPr>
            </w:pPr>
          </w:p>
        </w:tc>
      </w:tr>
      <w:tr>
        <w:trPr>
          <w:trHeight w:val="122"/>
        </w:trPr>
        <w:tc>
          <w:tcPr>
            <w:tcW w:w="720" w:type="dxa"/>
            <w:vAlign w:val="bottom"/>
            <w:tcBorders>
              <w:left w:val="single" w:sz="8" w:color="auto"/>
              <w:right w:val="single" w:sz="8" w:color="auto"/>
            </w:tcBorders>
          </w:tcPr>
          <w:p>
            <w:pPr>
              <w:spacing w:after="0"/>
              <w:rPr>
                <w:sz w:val="10"/>
                <w:szCs w:val="10"/>
                <w:color w:val="auto"/>
              </w:rPr>
            </w:pPr>
          </w:p>
        </w:tc>
        <w:tc>
          <w:tcPr>
            <w:tcW w:w="7180" w:type="dxa"/>
            <w:vAlign w:val="bottom"/>
            <w:tcBorders>
              <w:right w:val="single" w:sz="8" w:color="auto"/>
            </w:tcBorders>
            <w:vMerge w:val="restart"/>
          </w:tcPr>
          <w:p>
            <w:pPr>
              <w:ind w:left="40"/>
              <w:spacing w:after="0"/>
              <w:rPr>
                <w:sz w:val="20"/>
                <w:szCs w:val="20"/>
                <w:color w:val="auto"/>
              </w:rPr>
            </w:pPr>
            <w:r>
              <w:rPr>
                <w:rFonts w:ascii="Arial" w:cs="Arial" w:eastAsia="Arial" w:hAnsi="Arial"/>
                <w:sz w:val="18"/>
                <w:szCs w:val="18"/>
                <w:color w:val="auto"/>
              </w:rPr>
              <w:t>That is contrary to the bull case on ACMR: company presentations constantly stress</w:t>
            </w:r>
          </w:p>
        </w:tc>
        <w:tc>
          <w:tcPr>
            <w:tcW w:w="1320" w:type="dxa"/>
            <w:vAlign w:val="bottom"/>
            <w:tcBorders>
              <w:right w:val="single" w:sz="8" w:color="auto"/>
            </w:tcBorders>
          </w:tcPr>
          <w:p>
            <w:pPr>
              <w:spacing w:after="0"/>
              <w:rPr>
                <w:sz w:val="10"/>
                <w:szCs w:val="10"/>
                <w:color w:val="auto"/>
              </w:rPr>
            </w:pPr>
          </w:p>
        </w:tc>
        <w:tc>
          <w:tcPr>
            <w:tcW w:w="2020" w:type="dxa"/>
            <w:vAlign w:val="bottom"/>
            <w:tcBorders>
              <w:right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4"/>
        </w:trPr>
        <w:tc>
          <w:tcPr>
            <w:tcW w:w="720" w:type="dxa"/>
            <w:vAlign w:val="bottom"/>
            <w:tcBorders>
              <w:left w:val="single" w:sz="8" w:color="auto"/>
              <w:right w:val="single" w:sz="8" w:color="auto"/>
            </w:tcBorders>
          </w:tcPr>
          <w:p>
            <w:pPr>
              <w:spacing w:after="0"/>
              <w:rPr>
                <w:sz w:val="8"/>
                <w:szCs w:val="8"/>
                <w:color w:val="auto"/>
              </w:rPr>
            </w:pPr>
          </w:p>
        </w:tc>
        <w:tc>
          <w:tcPr>
            <w:tcW w:w="7180" w:type="dxa"/>
            <w:vAlign w:val="bottom"/>
            <w:tcBorders>
              <w:right w:val="single" w:sz="8" w:color="auto"/>
            </w:tcBorders>
            <w:vMerge w:val="continue"/>
          </w:tcPr>
          <w:p>
            <w:pPr>
              <w:spacing w:after="0"/>
              <w:rPr>
                <w:sz w:val="8"/>
                <w:szCs w:val="8"/>
                <w:color w:val="auto"/>
              </w:rPr>
            </w:pPr>
          </w:p>
        </w:tc>
        <w:tc>
          <w:tcPr>
            <w:tcW w:w="1320" w:type="dxa"/>
            <w:vAlign w:val="bottom"/>
            <w:tcBorders>
              <w:right w:val="single" w:sz="8" w:color="auto"/>
            </w:tcBorders>
          </w:tcPr>
          <w:p>
            <w:pPr>
              <w:spacing w:after="0"/>
              <w:rPr>
                <w:sz w:val="8"/>
                <w:szCs w:val="8"/>
                <w:color w:val="auto"/>
              </w:rPr>
            </w:pPr>
          </w:p>
        </w:tc>
        <w:tc>
          <w:tcPr>
            <w:tcW w:w="2020" w:type="dxa"/>
            <w:vAlign w:val="bottom"/>
            <w:tcBorders>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230"/>
        </w:trPr>
        <w:tc>
          <w:tcPr>
            <w:tcW w:w="720" w:type="dxa"/>
            <w:vAlign w:val="bottom"/>
            <w:tcBorders>
              <w:left w:val="single" w:sz="8" w:color="auto"/>
              <w:right w:val="single" w:sz="8" w:color="auto"/>
            </w:tcBorders>
          </w:tcPr>
          <w:p>
            <w:pPr>
              <w:spacing w:after="0"/>
              <w:rPr>
                <w:sz w:val="20"/>
                <w:szCs w:val="20"/>
                <w:color w:val="auto"/>
              </w:rPr>
            </w:pPr>
          </w:p>
        </w:tc>
        <w:tc>
          <w:tcPr>
            <w:tcW w:w="718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rPr>
              <w:t>“differentiated megasonic technology” and “proprietary technology.”</w:t>
            </w:r>
          </w:p>
        </w:tc>
        <w:tc>
          <w:tcPr>
            <w:tcW w:w="1320" w:type="dxa"/>
            <w:vAlign w:val="bottom"/>
            <w:tcBorders>
              <w:right w:val="single" w:sz="8" w:color="auto"/>
            </w:tcBorders>
          </w:tcPr>
          <w:p>
            <w:pPr>
              <w:spacing w:after="0"/>
              <w:rPr>
                <w:sz w:val="20"/>
                <w:szCs w:val="20"/>
                <w:color w:val="auto"/>
              </w:rPr>
            </w:pPr>
          </w:p>
        </w:tc>
        <w:tc>
          <w:tcPr>
            <w:tcW w:w="20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77"/>
        </w:trPr>
        <w:tc>
          <w:tcPr>
            <w:tcW w:w="720" w:type="dxa"/>
            <w:vAlign w:val="bottom"/>
            <w:tcBorders>
              <w:left w:val="single" w:sz="8" w:color="auto"/>
              <w:bottom w:val="single" w:sz="8" w:color="auto"/>
              <w:right w:val="single" w:sz="8" w:color="auto"/>
            </w:tcBorders>
          </w:tcPr>
          <w:p>
            <w:pPr>
              <w:spacing w:after="0"/>
              <w:rPr>
                <w:sz w:val="24"/>
                <w:szCs w:val="24"/>
                <w:color w:val="auto"/>
              </w:rPr>
            </w:pPr>
          </w:p>
        </w:tc>
        <w:tc>
          <w:tcPr>
            <w:tcW w:w="7180" w:type="dxa"/>
            <w:vAlign w:val="bottom"/>
            <w:tcBorders>
              <w:bottom w:val="single" w:sz="8" w:color="auto"/>
              <w:right w:val="single" w:sz="8" w:color="auto"/>
            </w:tcBorders>
          </w:tcPr>
          <w:p>
            <w:pPr>
              <w:spacing w:after="0"/>
              <w:rPr>
                <w:sz w:val="24"/>
                <w:szCs w:val="24"/>
                <w:color w:val="auto"/>
              </w:rPr>
            </w:pPr>
          </w:p>
        </w:tc>
        <w:tc>
          <w:tcPr>
            <w:tcW w:w="1320" w:type="dxa"/>
            <w:vAlign w:val="bottom"/>
            <w:tcBorders>
              <w:bottom w:val="single" w:sz="8" w:color="auto"/>
              <w:right w:val="single" w:sz="8" w:color="auto"/>
            </w:tcBorders>
          </w:tcPr>
          <w:p>
            <w:pPr>
              <w:spacing w:after="0"/>
              <w:rPr>
                <w:sz w:val="24"/>
                <w:szCs w:val="24"/>
                <w:color w:val="auto"/>
              </w:rPr>
            </w:pPr>
          </w:p>
        </w:tc>
        <w:tc>
          <w:tcPr>
            <w:tcW w:w="202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56"/>
        </w:trPr>
        <w:tc>
          <w:tcPr>
            <w:tcW w:w="720" w:type="dxa"/>
            <w:vAlign w:val="bottom"/>
            <w:tcBorders>
              <w:left w:val="single" w:sz="8" w:color="auto"/>
              <w:right w:val="single" w:sz="8" w:color="auto"/>
            </w:tcBorders>
          </w:tcPr>
          <w:p>
            <w:pPr>
              <w:spacing w:after="0"/>
              <w:rPr>
                <w:sz w:val="22"/>
                <w:szCs w:val="22"/>
                <w:color w:val="auto"/>
              </w:rPr>
            </w:pPr>
          </w:p>
        </w:tc>
        <w:tc>
          <w:tcPr>
            <w:tcW w:w="718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w w:val="98"/>
              </w:rPr>
              <w:t>A longtime ACMR sales executive told us customers identify products by searching images</w:t>
            </w:r>
          </w:p>
        </w:tc>
        <w:tc>
          <w:tcPr>
            <w:tcW w:w="1320" w:type="dxa"/>
            <w:vAlign w:val="bottom"/>
            <w:tcBorders>
              <w:right w:val="single" w:sz="8" w:color="auto"/>
            </w:tcBorders>
          </w:tcPr>
          <w:p>
            <w:pPr>
              <w:spacing w:after="0"/>
              <w:rPr>
                <w:sz w:val="22"/>
                <w:szCs w:val="22"/>
                <w:color w:val="auto"/>
              </w:rPr>
            </w:pPr>
          </w:p>
        </w:tc>
        <w:tc>
          <w:tcPr>
            <w:tcW w:w="202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16"/>
        </w:trPr>
        <w:tc>
          <w:tcPr>
            <w:tcW w:w="720" w:type="dxa"/>
            <w:vAlign w:val="bottom"/>
            <w:tcBorders>
              <w:left w:val="single" w:sz="8" w:color="auto"/>
              <w:right w:val="single" w:sz="8" w:color="auto"/>
            </w:tcBorders>
          </w:tcPr>
          <w:p>
            <w:pPr>
              <w:spacing w:after="0"/>
              <w:rPr>
                <w:sz w:val="18"/>
                <w:szCs w:val="18"/>
                <w:color w:val="auto"/>
              </w:rPr>
            </w:pPr>
          </w:p>
        </w:tc>
        <w:tc>
          <w:tcPr>
            <w:tcW w:w="718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w w:val="95"/>
              </w:rPr>
              <w:t>online. The company does not have a Chinese-language website, and a he told us that to find</w:t>
            </w:r>
          </w:p>
        </w:tc>
        <w:tc>
          <w:tcPr>
            <w:tcW w:w="1320" w:type="dxa"/>
            <w:vAlign w:val="bottom"/>
            <w:tcBorders>
              <w:right w:val="single" w:sz="8" w:color="auto"/>
            </w:tcBorders>
          </w:tcPr>
          <w:p>
            <w:pPr>
              <w:spacing w:after="0"/>
              <w:rPr>
                <w:sz w:val="18"/>
                <w:szCs w:val="18"/>
                <w:color w:val="auto"/>
              </w:rPr>
            </w:pPr>
          </w:p>
        </w:tc>
        <w:tc>
          <w:tcPr>
            <w:tcW w:w="202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20" w:type="dxa"/>
            <w:vAlign w:val="bottom"/>
            <w:tcBorders>
              <w:left w:val="single" w:sz="8" w:color="auto"/>
              <w:right w:val="single" w:sz="8" w:color="auto"/>
            </w:tcBorders>
          </w:tcPr>
          <w:p>
            <w:pPr>
              <w:spacing w:after="0"/>
              <w:rPr>
                <w:sz w:val="18"/>
                <w:szCs w:val="18"/>
                <w:color w:val="auto"/>
              </w:rPr>
            </w:pPr>
          </w:p>
        </w:tc>
        <w:tc>
          <w:tcPr>
            <w:tcW w:w="718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w w:val="97"/>
              </w:rPr>
              <w:t>products, we should search Baidu. “That’s what I do. I search with the term ‘ACM Research</w:t>
            </w:r>
          </w:p>
        </w:tc>
        <w:tc>
          <w:tcPr>
            <w:tcW w:w="1320" w:type="dxa"/>
            <w:vAlign w:val="bottom"/>
            <w:tcBorders>
              <w:right w:val="single" w:sz="8" w:color="auto"/>
            </w:tcBorders>
          </w:tcPr>
          <w:p>
            <w:pPr>
              <w:spacing w:after="0"/>
              <w:rPr>
                <w:sz w:val="18"/>
                <w:szCs w:val="18"/>
                <w:color w:val="auto"/>
              </w:rPr>
            </w:pPr>
          </w:p>
        </w:tc>
        <w:tc>
          <w:tcPr>
            <w:tcW w:w="202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20" w:type="dxa"/>
            <w:vAlign w:val="bottom"/>
            <w:tcBorders>
              <w:left w:val="single" w:sz="8" w:color="auto"/>
              <w:right w:val="single" w:sz="8" w:color="auto"/>
            </w:tcBorders>
          </w:tcPr>
          <w:p>
            <w:pPr>
              <w:spacing w:after="0"/>
              <w:rPr>
                <w:sz w:val="18"/>
                <w:szCs w:val="18"/>
                <w:color w:val="auto"/>
              </w:rPr>
            </w:pPr>
          </w:p>
        </w:tc>
        <w:tc>
          <w:tcPr>
            <w:tcW w:w="718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w w:val="96"/>
              </w:rPr>
              <w:t>semiconductor.’” Clients provide ACMR with specifications, and ACMR builds the machine to</w:t>
            </w:r>
          </w:p>
        </w:tc>
        <w:tc>
          <w:tcPr>
            <w:tcW w:w="1320" w:type="dxa"/>
            <w:vAlign w:val="bottom"/>
            <w:tcBorders>
              <w:right w:val="single" w:sz="8" w:color="auto"/>
            </w:tcBorders>
          </w:tcPr>
          <w:p>
            <w:pPr>
              <w:spacing w:after="0"/>
              <w:rPr>
                <w:sz w:val="18"/>
                <w:szCs w:val="18"/>
                <w:color w:val="auto"/>
              </w:rPr>
            </w:pPr>
          </w:p>
        </w:tc>
        <w:tc>
          <w:tcPr>
            <w:tcW w:w="2020" w:type="dxa"/>
            <w:vAlign w:val="bottom"/>
            <w:tcBorders>
              <w:right w:val="single" w:sz="8" w:color="auto"/>
            </w:tcBorders>
            <w:vMerge w:val="restart"/>
          </w:tcPr>
          <w:p>
            <w:pPr>
              <w:ind w:left="60"/>
              <w:spacing w:after="0"/>
              <w:rPr>
                <w:sz w:val="20"/>
                <w:szCs w:val="20"/>
                <w:color w:val="auto"/>
              </w:rPr>
            </w:pPr>
            <w:r>
              <w:rPr>
                <w:rFonts w:ascii="Arial" w:cs="Arial" w:eastAsia="Arial" w:hAnsi="Arial"/>
                <w:sz w:val="18"/>
                <w:szCs w:val="18"/>
                <w:color w:val="auto"/>
              </w:rPr>
              <w:t>Other Comments in the</w:t>
            </w:r>
          </w:p>
        </w:tc>
        <w:tc>
          <w:tcPr>
            <w:tcW w:w="0" w:type="dxa"/>
            <w:vAlign w:val="bottom"/>
          </w:tcPr>
          <w:p>
            <w:pPr>
              <w:spacing w:after="0"/>
              <w:rPr>
                <w:sz w:val="1"/>
                <w:szCs w:val="1"/>
                <w:color w:val="auto"/>
              </w:rPr>
            </w:pPr>
          </w:p>
        </w:tc>
      </w:tr>
      <w:tr>
        <w:trPr>
          <w:trHeight w:val="108"/>
        </w:trPr>
        <w:tc>
          <w:tcPr>
            <w:tcW w:w="720" w:type="dxa"/>
            <w:vAlign w:val="bottom"/>
            <w:tcBorders>
              <w:left w:val="single" w:sz="8" w:color="auto"/>
              <w:right w:val="single" w:sz="8" w:color="auto"/>
            </w:tcBorders>
            <w:vMerge w:val="restart"/>
          </w:tcPr>
          <w:p>
            <w:pPr>
              <w:jc w:val="right"/>
              <w:ind w:right="190"/>
              <w:spacing w:after="0"/>
              <w:rPr>
                <w:sz w:val="20"/>
                <w:szCs w:val="20"/>
                <w:color w:val="auto"/>
              </w:rPr>
            </w:pPr>
            <w:r>
              <w:rPr>
                <w:rFonts w:ascii="Arial" w:cs="Arial" w:eastAsia="Arial" w:hAnsi="Arial"/>
                <w:sz w:val="18"/>
                <w:szCs w:val="18"/>
                <w:color w:val="auto"/>
              </w:rPr>
              <w:t>29</w:t>
            </w:r>
          </w:p>
        </w:tc>
        <w:tc>
          <w:tcPr>
            <w:tcW w:w="7180" w:type="dxa"/>
            <w:vAlign w:val="bottom"/>
            <w:tcBorders>
              <w:right w:val="single" w:sz="8" w:color="auto"/>
            </w:tcBorders>
            <w:vMerge w:val="restart"/>
          </w:tcPr>
          <w:p>
            <w:pPr>
              <w:ind w:left="40"/>
              <w:spacing w:after="0"/>
              <w:rPr>
                <w:sz w:val="20"/>
                <w:szCs w:val="20"/>
                <w:color w:val="auto"/>
              </w:rPr>
            </w:pPr>
            <w:r>
              <w:rPr>
                <w:rFonts w:ascii="Arial" w:cs="Arial" w:eastAsia="Arial" w:hAnsi="Arial"/>
                <w:sz w:val="18"/>
                <w:szCs w:val="18"/>
                <w:color w:val="auto"/>
              </w:rPr>
              <w:t>order, with assembly taking about two weeks and testing taking another two weeks.</w:t>
            </w:r>
          </w:p>
        </w:tc>
        <w:tc>
          <w:tcPr>
            <w:tcW w:w="13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89"/>
              </w:rPr>
              <w:t>33</w:t>
            </w:r>
          </w:p>
        </w:tc>
        <w:tc>
          <w:tcPr>
            <w:tcW w:w="2020" w:type="dxa"/>
            <w:vAlign w:val="bottom"/>
            <w:tcBorders>
              <w:right w:val="single" w:sz="8" w:color="auto"/>
            </w:tcBorders>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22"/>
        </w:trPr>
        <w:tc>
          <w:tcPr>
            <w:tcW w:w="720" w:type="dxa"/>
            <w:vAlign w:val="bottom"/>
            <w:tcBorders>
              <w:left w:val="single" w:sz="8" w:color="auto"/>
              <w:right w:val="single" w:sz="8" w:color="auto"/>
            </w:tcBorders>
            <w:vMerge w:val="continue"/>
          </w:tcPr>
          <w:p>
            <w:pPr>
              <w:spacing w:after="0"/>
              <w:rPr>
                <w:sz w:val="10"/>
                <w:szCs w:val="10"/>
                <w:color w:val="auto"/>
              </w:rPr>
            </w:pPr>
          </w:p>
        </w:tc>
        <w:tc>
          <w:tcPr>
            <w:tcW w:w="7180" w:type="dxa"/>
            <w:vAlign w:val="bottom"/>
            <w:tcBorders>
              <w:right w:val="single" w:sz="8" w:color="auto"/>
            </w:tcBorders>
            <w:vMerge w:val="continue"/>
          </w:tcPr>
          <w:p>
            <w:pPr>
              <w:spacing w:after="0"/>
              <w:rPr>
                <w:sz w:val="10"/>
                <w:szCs w:val="10"/>
                <w:color w:val="auto"/>
              </w:rPr>
            </w:pPr>
          </w:p>
        </w:tc>
        <w:tc>
          <w:tcPr>
            <w:tcW w:w="1320" w:type="dxa"/>
            <w:vAlign w:val="bottom"/>
            <w:tcBorders>
              <w:right w:val="single" w:sz="8" w:color="auto"/>
            </w:tcBorders>
            <w:vMerge w:val="continue"/>
          </w:tcPr>
          <w:p>
            <w:pPr>
              <w:spacing w:after="0"/>
              <w:rPr>
                <w:sz w:val="10"/>
                <w:szCs w:val="10"/>
                <w:color w:val="auto"/>
              </w:rPr>
            </w:pPr>
          </w:p>
        </w:tc>
        <w:tc>
          <w:tcPr>
            <w:tcW w:w="2020" w:type="dxa"/>
            <w:vAlign w:val="bottom"/>
            <w:tcBorders>
              <w:right w:val="single" w:sz="8" w:color="auto"/>
            </w:tcBorders>
            <w:vMerge w:val="restart"/>
          </w:tcPr>
          <w:p>
            <w:pPr>
              <w:ind w:left="60"/>
              <w:spacing w:after="0"/>
              <w:rPr>
                <w:sz w:val="20"/>
                <w:szCs w:val="20"/>
                <w:color w:val="auto"/>
              </w:rPr>
            </w:pPr>
            <w:r>
              <w:rPr>
                <w:rFonts w:ascii="Arial" w:cs="Arial" w:eastAsia="Arial" w:hAnsi="Arial"/>
                <w:sz w:val="18"/>
                <w:szCs w:val="18"/>
                <w:color w:val="auto"/>
              </w:rPr>
              <w:t>Short-sell Report</w:t>
            </w:r>
          </w:p>
        </w:tc>
        <w:tc>
          <w:tcPr>
            <w:tcW w:w="0" w:type="dxa"/>
            <w:vAlign w:val="bottom"/>
          </w:tcPr>
          <w:p>
            <w:pPr>
              <w:spacing w:after="0"/>
              <w:rPr>
                <w:sz w:val="1"/>
                <w:szCs w:val="1"/>
                <w:color w:val="auto"/>
              </w:rPr>
            </w:pPr>
          </w:p>
        </w:tc>
      </w:tr>
      <w:tr>
        <w:trPr>
          <w:trHeight w:val="108"/>
        </w:trPr>
        <w:tc>
          <w:tcPr>
            <w:tcW w:w="720" w:type="dxa"/>
            <w:vAlign w:val="bottom"/>
            <w:tcBorders>
              <w:left w:val="single" w:sz="8" w:color="auto"/>
              <w:right w:val="single" w:sz="8" w:color="auto"/>
            </w:tcBorders>
          </w:tcPr>
          <w:p>
            <w:pPr>
              <w:spacing w:after="0"/>
              <w:rPr>
                <w:sz w:val="9"/>
                <w:szCs w:val="9"/>
                <w:color w:val="auto"/>
              </w:rPr>
            </w:pPr>
          </w:p>
        </w:tc>
        <w:tc>
          <w:tcPr>
            <w:tcW w:w="7180" w:type="dxa"/>
            <w:vAlign w:val="bottom"/>
            <w:tcBorders>
              <w:right w:val="single" w:sz="8" w:color="auto"/>
            </w:tcBorders>
          </w:tcPr>
          <w:p>
            <w:pPr>
              <w:spacing w:after="0"/>
              <w:rPr>
                <w:sz w:val="9"/>
                <w:szCs w:val="9"/>
                <w:color w:val="auto"/>
              </w:rPr>
            </w:pPr>
          </w:p>
        </w:tc>
        <w:tc>
          <w:tcPr>
            <w:tcW w:w="1320" w:type="dxa"/>
            <w:vAlign w:val="bottom"/>
            <w:tcBorders>
              <w:right w:val="single" w:sz="8" w:color="auto"/>
            </w:tcBorders>
          </w:tcPr>
          <w:p>
            <w:pPr>
              <w:spacing w:after="0"/>
              <w:rPr>
                <w:sz w:val="9"/>
                <w:szCs w:val="9"/>
                <w:color w:val="auto"/>
              </w:rPr>
            </w:pPr>
          </w:p>
        </w:tc>
        <w:tc>
          <w:tcPr>
            <w:tcW w:w="2020" w:type="dxa"/>
            <w:vAlign w:val="bottom"/>
            <w:tcBorders>
              <w:right w:val="single" w:sz="8" w:color="auto"/>
            </w:tcBorders>
            <w:vMerge w:val="continue"/>
          </w:tcPr>
          <w:p>
            <w:pPr>
              <w:spacing w:after="0"/>
              <w:rPr>
                <w:sz w:val="9"/>
                <w:szCs w:val="9"/>
                <w:color w:val="auto"/>
              </w:rPr>
            </w:pPr>
          </w:p>
        </w:tc>
        <w:tc>
          <w:tcPr>
            <w:tcW w:w="0" w:type="dxa"/>
            <w:vAlign w:val="bottom"/>
          </w:tcPr>
          <w:p>
            <w:pPr>
              <w:spacing w:after="0"/>
              <w:rPr>
                <w:sz w:val="1"/>
                <w:szCs w:val="1"/>
                <w:color w:val="auto"/>
              </w:rPr>
            </w:pPr>
          </w:p>
        </w:tc>
      </w:tr>
      <w:tr>
        <w:trPr>
          <w:trHeight w:val="310"/>
        </w:trPr>
        <w:tc>
          <w:tcPr>
            <w:tcW w:w="720" w:type="dxa"/>
            <w:vAlign w:val="bottom"/>
            <w:tcBorders>
              <w:left w:val="single" w:sz="8" w:color="auto"/>
              <w:right w:val="single" w:sz="8" w:color="auto"/>
            </w:tcBorders>
          </w:tcPr>
          <w:p>
            <w:pPr>
              <w:spacing w:after="0"/>
              <w:rPr>
                <w:sz w:val="24"/>
                <w:szCs w:val="24"/>
                <w:color w:val="auto"/>
              </w:rPr>
            </w:pPr>
          </w:p>
        </w:tc>
        <w:tc>
          <w:tcPr>
            <w:tcW w:w="718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w w:val="97"/>
              </w:rPr>
              <w:t>By speaking with the suppliers, we learned that most of them sell to small factories that pre-</w:t>
            </w:r>
          </w:p>
        </w:tc>
        <w:tc>
          <w:tcPr>
            <w:tcW w:w="1320" w:type="dxa"/>
            <w:vAlign w:val="bottom"/>
            <w:tcBorders>
              <w:right w:val="single" w:sz="8" w:color="auto"/>
            </w:tcBorders>
          </w:tcPr>
          <w:p>
            <w:pPr>
              <w:spacing w:after="0"/>
              <w:rPr>
                <w:sz w:val="24"/>
                <w:szCs w:val="24"/>
                <w:color w:val="auto"/>
              </w:rPr>
            </w:pPr>
          </w:p>
        </w:tc>
        <w:tc>
          <w:tcPr>
            <w:tcW w:w="20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720" w:type="dxa"/>
            <w:vAlign w:val="bottom"/>
            <w:tcBorders>
              <w:left w:val="single" w:sz="8" w:color="auto"/>
              <w:right w:val="single" w:sz="8" w:color="auto"/>
            </w:tcBorders>
          </w:tcPr>
          <w:p>
            <w:pPr>
              <w:spacing w:after="0"/>
              <w:rPr>
                <w:sz w:val="18"/>
                <w:szCs w:val="18"/>
                <w:color w:val="auto"/>
              </w:rPr>
            </w:pPr>
          </w:p>
        </w:tc>
        <w:tc>
          <w:tcPr>
            <w:tcW w:w="718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w w:val="92"/>
              </w:rPr>
              <w:t>assemble portions of the machines. The ACMR staff then connect up the plumbing and electrical</w:t>
            </w:r>
          </w:p>
        </w:tc>
        <w:tc>
          <w:tcPr>
            <w:tcW w:w="1320" w:type="dxa"/>
            <w:vAlign w:val="bottom"/>
            <w:tcBorders>
              <w:right w:val="single" w:sz="8" w:color="auto"/>
            </w:tcBorders>
          </w:tcPr>
          <w:p>
            <w:pPr>
              <w:spacing w:after="0"/>
              <w:rPr>
                <w:sz w:val="18"/>
                <w:szCs w:val="18"/>
                <w:color w:val="auto"/>
              </w:rPr>
            </w:pPr>
          </w:p>
        </w:tc>
        <w:tc>
          <w:tcPr>
            <w:tcW w:w="202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20" w:type="dxa"/>
            <w:vAlign w:val="bottom"/>
            <w:tcBorders>
              <w:left w:val="single" w:sz="8" w:color="auto"/>
              <w:right w:val="single" w:sz="8" w:color="auto"/>
            </w:tcBorders>
          </w:tcPr>
          <w:p>
            <w:pPr>
              <w:spacing w:after="0"/>
              <w:rPr>
                <w:sz w:val="20"/>
                <w:szCs w:val="20"/>
                <w:color w:val="auto"/>
              </w:rPr>
            </w:pPr>
          </w:p>
        </w:tc>
        <w:tc>
          <w:tcPr>
            <w:tcW w:w="718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rPr>
              <w:t>circuits at the company’s factory in Shanghai and on customer premises.</w:t>
            </w:r>
          </w:p>
        </w:tc>
        <w:tc>
          <w:tcPr>
            <w:tcW w:w="1320" w:type="dxa"/>
            <w:vAlign w:val="bottom"/>
            <w:tcBorders>
              <w:right w:val="single" w:sz="8" w:color="auto"/>
            </w:tcBorders>
          </w:tcPr>
          <w:p>
            <w:pPr>
              <w:spacing w:after="0"/>
              <w:rPr>
                <w:sz w:val="20"/>
                <w:szCs w:val="20"/>
                <w:color w:val="auto"/>
              </w:rPr>
            </w:pPr>
          </w:p>
        </w:tc>
        <w:tc>
          <w:tcPr>
            <w:tcW w:w="20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61"/>
        </w:trPr>
        <w:tc>
          <w:tcPr>
            <w:tcW w:w="720" w:type="dxa"/>
            <w:vAlign w:val="bottom"/>
            <w:tcBorders>
              <w:left w:val="single" w:sz="8" w:color="auto"/>
              <w:bottom w:val="single" w:sz="8" w:color="auto"/>
              <w:right w:val="single" w:sz="8" w:color="auto"/>
            </w:tcBorders>
          </w:tcPr>
          <w:p>
            <w:pPr>
              <w:spacing w:after="0"/>
              <w:rPr>
                <w:sz w:val="5"/>
                <w:szCs w:val="5"/>
                <w:color w:val="auto"/>
              </w:rPr>
            </w:pPr>
          </w:p>
        </w:tc>
        <w:tc>
          <w:tcPr>
            <w:tcW w:w="7180" w:type="dxa"/>
            <w:vAlign w:val="bottom"/>
            <w:tcBorders>
              <w:bottom w:val="single" w:sz="8" w:color="auto"/>
              <w:right w:val="single" w:sz="8" w:color="auto"/>
            </w:tcBorders>
          </w:tcPr>
          <w:p>
            <w:pPr>
              <w:spacing w:after="0"/>
              <w:rPr>
                <w:sz w:val="5"/>
                <w:szCs w:val="5"/>
                <w:color w:val="auto"/>
              </w:rPr>
            </w:pPr>
          </w:p>
        </w:tc>
        <w:tc>
          <w:tcPr>
            <w:tcW w:w="1320" w:type="dxa"/>
            <w:vAlign w:val="bottom"/>
            <w:tcBorders>
              <w:bottom w:val="single" w:sz="8" w:color="auto"/>
              <w:right w:val="single" w:sz="8" w:color="auto"/>
            </w:tcBorders>
          </w:tcPr>
          <w:p>
            <w:pPr>
              <w:spacing w:after="0"/>
              <w:rPr>
                <w:sz w:val="5"/>
                <w:szCs w:val="5"/>
                <w:color w:val="auto"/>
              </w:rPr>
            </w:pPr>
          </w:p>
        </w:tc>
        <w:tc>
          <w:tcPr>
            <w:tcW w:w="2020" w:type="dxa"/>
            <w:vAlign w:val="bottom"/>
            <w:tcBorders>
              <w:bottom w:val="single" w:sz="8" w:color="auto"/>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582"/>
        </w:trPr>
        <w:tc>
          <w:tcPr>
            <w:tcW w:w="720" w:type="dxa"/>
            <w:vAlign w:val="bottom"/>
          </w:tcPr>
          <w:p>
            <w:pPr>
              <w:spacing w:after="0"/>
              <w:rPr>
                <w:sz w:val="24"/>
                <w:szCs w:val="24"/>
                <w:color w:val="auto"/>
              </w:rPr>
            </w:pPr>
          </w:p>
        </w:tc>
        <w:tc>
          <w:tcPr>
            <w:tcW w:w="7180" w:type="dxa"/>
            <w:vAlign w:val="bottom"/>
          </w:tcPr>
          <w:p>
            <w:pPr>
              <w:ind w:left="4660"/>
              <w:spacing w:after="0"/>
              <w:rPr>
                <w:sz w:val="20"/>
                <w:szCs w:val="20"/>
                <w:color w:val="auto"/>
              </w:rPr>
            </w:pPr>
            <w:r>
              <w:rPr>
                <w:rFonts w:ascii="Arial" w:cs="Arial" w:eastAsia="Arial" w:hAnsi="Arial"/>
                <w:sz w:val="14"/>
                <w:szCs w:val="14"/>
                <w:color w:val="auto"/>
              </w:rPr>
              <w:t>8-4-1-12</w:t>
            </w:r>
          </w:p>
        </w:tc>
        <w:tc>
          <w:tcPr>
            <w:tcW w:w="1320" w:type="dxa"/>
            <w:vAlign w:val="bottom"/>
          </w:tcPr>
          <w:p>
            <w:pPr>
              <w:spacing w:after="0"/>
              <w:rPr>
                <w:sz w:val="24"/>
                <w:szCs w:val="24"/>
                <w:color w:val="auto"/>
              </w:rPr>
            </w:pPr>
          </w:p>
        </w:tc>
        <w:tc>
          <w:tcPr>
            <w:tcW w:w="2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6"/>
        </w:trPr>
        <w:tc>
          <w:tcPr>
            <w:tcW w:w="720" w:type="dxa"/>
            <w:vAlign w:val="bottom"/>
            <w:tcBorders>
              <w:bottom w:val="single" w:sz="8" w:color="auto"/>
            </w:tcBorders>
          </w:tcPr>
          <w:p>
            <w:pPr>
              <w:spacing w:after="0"/>
              <w:rPr>
                <w:sz w:val="4"/>
                <w:szCs w:val="4"/>
                <w:color w:val="auto"/>
              </w:rPr>
            </w:pPr>
          </w:p>
        </w:tc>
        <w:tc>
          <w:tcPr>
            <w:tcW w:w="7180" w:type="dxa"/>
            <w:vAlign w:val="bottom"/>
            <w:tcBorders>
              <w:bottom w:val="single" w:sz="8" w:color="auto"/>
            </w:tcBorders>
          </w:tcPr>
          <w:p>
            <w:pPr>
              <w:spacing w:after="0"/>
              <w:rPr>
                <w:sz w:val="4"/>
                <w:szCs w:val="4"/>
                <w:color w:val="auto"/>
              </w:rPr>
            </w:pPr>
          </w:p>
        </w:tc>
        <w:tc>
          <w:tcPr>
            <w:tcW w:w="1320" w:type="dxa"/>
            <w:vAlign w:val="bottom"/>
            <w:tcBorders>
              <w:bottom w:val="single" w:sz="8" w:color="auto"/>
            </w:tcBorders>
          </w:tcPr>
          <w:p>
            <w:pPr>
              <w:spacing w:after="0"/>
              <w:rPr>
                <w:sz w:val="4"/>
                <w:szCs w:val="4"/>
                <w:color w:val="auto"/>
              </w:rPr>
            </w:pPr>
          </w:p>
        </w:tc>
        <w:tc>
          <w:tcPr>
            <w:tcW w:w="202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120" w:right="339" w:bottom="1440" w:gutter="0" w:footer="0" w:header="0"/>
        </w:sectPr>
      </w:pPr>
    </w:p>
    <w:bookmarkStart w:id="16" w:name="page17"/>
    <w:bookmarkEnd w:id="16"/>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283"/>
        </w:trPr>
        <w:tc>
          <w:tcPr>
            <w:tcW w:w="720" w:type="dxa"/>
            <w:vAlign w:val="bottom"/>
            <w:tcBorders>
              <w:top w:val="single" w:sz="8" w:color="auto"/>
              <w:left w:val="single" w:sz="8" w:color="auto"/>
              <w:right w:val="single" w:sz="8" w:color="auto"/>
            </w:tcBorders>
          </w:tcPr>
          <w:p>
            <w:pPr>
              <w:spacing w:after="0"/>
              <w:rPr>
                <w:sz w:val="24"/>
                <w:szCs w:val="24"/>
                <w:color w:val="auto"/>
              </w:rPr>
            </w:pPr>
          </w:p>
        </w:tc>
        <w:tc>
          <w:tcPr>
            <w:tcW w:w="7180" w:type="dxa"/>
            <w:vAlign w:val="bottom"/>
            <w:tcBorders>
              <w:top w:val="single" w:sz="8" w:color="auto"/>
              <w:right w:val="single" w:sz="8" w:color="auto"/>
            </w:tcBorders>
          </w:tcPr>
          <w:p>
            <w:pPr>
              <w:ind w:left="40"/>
              <w:spacing w:after="0"/>
              <w:rPr>
                <w:sz w:val="20"/>
                <w:szCs w:val="20"/>
                <w:color w:val="auto"/>
              </w:rPr>
            </w:pPr>
            <w:r>
              <w:rPr>
                <w:rFonts w:ascii="Arial" w:cs="Arial" w:eastAsia="Arial" w:hAnsi="Arial"/>
                <w:sz w:val="18"/>
                <w:szCs w:val="18"/>
                <w:color w:val="auto"/>
                <w:w w:val="94"/>
              </w:rPr>
              <w:t>ACMR in California is the company’s largest supplier, purchasing “valves, contacts, etc.” in the</w:t>
            </w:r>
          </w:p>
        </w:tc>
        <w:tc>
          <w:tcPr>
            <w:tcW w:w="1320" w:type="dxa"/>
            <w:vAlign w:val="bottom"/>
            <w:tcBorders>
              <w:top w:val="single" w:sz="8" w:color="auto"/>
              <w:right w:val="single" w:sz="8" w:color="auto"/>
            </w:tcBorders>
          </w:tcPr>
          <w:p>
            <w:pPr>
              <w:spacing w:after="0"/>
              <w:rPr>
                <w:sz w:val="24"/>
                <w:szCs w:val="24"/>
                <w:color w:val="auto"/>
              </w:rPr>
            </w:pPr>
          </w:p>
        </w:tc>
        <w:tc>
          <w:tcPr>
            <w:tcW w:w="2020" w:type="dxa"/>
            <w:vAlign w:val="bottom"/>
            <w:tcBorders>
              <w:top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720" w:type="dxa"/>
            <w:vAlign w:val="bottom"/>
            <w:tcBorders>
              <w:left w:val="single" w:sz="8" w:color="auto"/>
              <w:right w:val="single" w:sz="8" w:color="auto"/>
            </w:tcBorders>
          </w:tcPr>
          <w:p>
            <w:pPr>
              <w:spacing w:after="0"/>
              <w:rPr>
                <w:sz w:val="18"/>
                <w:szCs w:val="18"/>
                <w:color w:val="auto"/>
              </w:rPr>
            </w:pPr>
          </w:p>
        </w:tc>
        <w:tc>
          <w:tcPr>
            <w:tcW w:w="718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w w:val="94"/>
              </w:rPr>
              <w:t>United States and shipping them to China. This channel is rife with opportunity for hiding costs.</w:t>
            </w:r>
          </w:p>
        </w:tc>
        <w:tc>
          <w:tcPr>
            <w:tcW w:w="1320" w:type="dxa"/>
            <w:vAlign w:val="bottom"/>
            <w:tcBorders>
              <w:right w:val="single" w:sz="8" w:color="auto"/>
            </w:tcBorders>
          </w:tcPr>
          <w:p>
            <w:pPr>
              <w:spacing w:after="0"/>
              <w:rPr>
                <w:sz w:val="18"/>
                <w:szCs w:val="18"/>
                <w:color w:val="auto"/>
              </w:rPr>
            </w:pPr>
          </w:p>
        </w:tc>
        <w:tc>
          <w:tcPr>
            <w:tcW w:w="2020" w:type="dxa"/>
            <w:vAlign w:val="bottom"/>
            <w:tcBorders>
              <w:right w:val="single" w:sz="8" w:color="auto"/>
            </w:tcBorders>
            <w:vMerge w:val="restart"/>
          </w:tcPr>
          <w:p>
            <w:pPr>
              <w:ind w:left="60"/>
              <w:spacing w:after="0"/>
              <w:rPr>
                <w:sz w:val="20"/>
                <w:szCs w:val="20"/>
                <w:color w:val="auto"/>
              </w:rPr>
            </w:pPr>
            <w:r>
              <w:rPr>
                <w:rFonts w:ascii="Arial" w:cs="Arial" w:eastAsia="Arial" w:hAnsi="Arial"/>
                <w:sz w:val="18"/>
                <w:szCs w:val="18"/>
                <w:color w:val="auto"/>
              </w:rPr>
              <w:t>Other Comments in the</w:t>
            </w:r>
          </w:p>
        </w:tc>
        <w:tc>
          <w:tcPr>
            <w:tcW w:w="0" w:type="dxa"/>
            <w:vAlign w:val="bottom"/>
          </w:tcPr>
          <w:p>
            <w:pPr>
              <w:spacing w:after="0"/>
              <w:rPr>
                <w:sz w:val="1"/>
                <w:szCs w:val="1"/>
                <w:color w:val="auto"/>
              </w:rPr>
            </w:pPr>
          </w:p>
        </w:tc>
      </w:tr>
      <w:tr>
        <w:trPr>
          <w:trHeight w:val="108"/>
        </w:trPr>
        <w:tc>
          <w:tcPr>
            <w:tcW w:w="720" w:type="dxa"/>
            <w:vAlign w:val="bottom"/>
            <w:tcBorders>
              <w:left w:val="single" w:sz="8" w:color="auto"/>
              <w:right w:val="single" w:sz="8" w:color="auto"/>
            </w:tcBorders>
            <w:vMerge w:val="restart"/>
          </w:tcPr>
          <w:p>
            <w:pPr>
              <w:jc w:val="right"/>
              <w:ind w:right="190"/>
              <w:spacing w:after="0"/>
              <w:rPr>
                <w:sz w:val="20"/>
                <w:szCs w:val="20"/>
                <w:color w:val="auto"/>
              </w:rPr>
            </w:pPr>
            <w:r>
              <w:rPr>
                <w:rFonts w:ascii="Arial" w:cs="Arial" w:eastAsia="Arial" w:hAnsi="Arial"/>
                <w:sz w:val="18"/>
                <w:szCs w:val="18"/>
                <w:color w:val="auto"/>
              </w:rPr>
              <w:t>30</w:t>
            </w:r>
          </w:p>
        </w:tc>
        <w:tc>
          <w:tcPr>
            <w:tcW w:w="7180" w:type="dxa"/>
            <w:vAlign w:val="bottom"/>
            <w:tcBorders>
              <w:right w:val="single" w:sz="8" w:color="auto"/>
            </w:tcBorders>
            <w:vMerge w:val="restart"/>
          </w:tcPr>
          <w:p>
            <w:pPr>
              <w:ind w:left="40"/>
              <w:spacing w:after="0"/>
              <w:rPr>
                <w:sz w:val="20"/>
                <w:szCs w:val="20"/>
                <w:color w:val="auto"/>
              </w:rPr>
            </w:pPr>
            <w:r>
              <w:rPr>
                <w:rFonts w:ascii="Arial" w:cs="Arial" w:eastAsia="Arial" w:hAnsi="Arial"/>
                <w:sz w:val="18"/>
                <w:szCs w:val="18"/>
                <w:color w:val="auto"/>
                <w:w w:val="98"/>
              </w:rPr>
              <w:t>Before 2019, ACMR was both a supplier and a “customer” for ACMR in China. That simply</w:t>
            </w:r>
          </w:p>
        </w:tc>
        <w:tc>
          <w:tcPr>
            <w:tcW w:w="13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89"/>
              </w:rPr>
              <w:t>33</w:t>
            </w:r>
          </w:p>
        </w:tc>
        <w:tc>
          <w:tcPr>
            <w:tcW w:w="2020" w:type="dxa"/>
            <w:vAlign w:val="bottom"/>
            <w:tcBorders>
              <w:right w:val="single" w:sz="8" w:color="auto"/>
            </w:tcBorders>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720" w:type="dxa"/>
            <w:vAlign w:val="bottom"/>
            <w:tcBorders>
              <w:left w:val="single" w:sz="8" w:color="auto"/>
              <w:right w:val="single" w:sz="8" w:color="auto"/>
            </w:tcBorders>
            <w:vMerge w:val="continue"/>
          </w:tcPr>
          <w:p>
            <w:pPr>
              <w:spacing w:after="0"/>
              <w:rPr>
                <w:sz w:val="9"/>
                <w:szCs w:val="9"/>
                <w:color w:val="auto"/>
              </w:rPr>
            </w:pPr>
          </w:p>
        </w:tc>
        <w:tc>
          <w:tcPr>
            <w:tcW w:w="7180" w:type="dxa"/>
            <w:vAlign w:val="bottom"/>
            <w:tcBorders>
              <w:right w:val="single" w:sz="8" w:color="auto"/>
            </w:tcBorders>
            <w:vMerge w:val="continue"/>
          </w:tcPr>
          <w:p>
            <w:pPr>
              <w:spacing w:after="0"/>
              <w:rPr>
                <w:sz w:val="9"/>
                <w:szCs w:val="9"/>
                <w:color w:val="auto"/>
              </w:rPr>
            </w:pPr>
          </w:p>
        </w:tc>
        <w:tc>
          <w:tcPr>
            <w:tcW w:w="1320" w:type="dxa"/>
            <w:vAlign w:val="bottom"/>
            <w:tcBorders>
              <w:right w:val="single" w:sz="8" w:color="auto"/>
            </w:tcBorders>
            <w:vMerge w:val="continue"/>
          </w:tcPr>
          <w:p>
            <w:pPr>
              <w:spacing w:after="0"/>
              <w:rPr>
                <w:sz w:val="9"/>
                <w:szCs w:val="9"/>
                <w:color w:val="auto"/>
              </w:rPr>
            </w:pPr>
          </w:p>
        </w:tc>
        <w:tc>
          <w:tcPr>
            <w:tcW w:w="2020" w:type="dxa"/>
            <w:vAlign w:val="bottom"/>
            <w:tcBorders>
              <w:right w:val="single" w:sz="8" w:color="auto"/>
            </w:tcBorders>
            <w:vMerge w:val="restart"/>
          </w:tcPr>
          <w:p>
            <w:pPr>
              <w:ind w:left="60"/>
              <w:spacing w:after="0"/>
              <w:rPr>
                <w:sz w:val="20"/>
                <w:szCs w:val="20"/>
                <w:color w:val="auto"/>
              </w:rPr>
            </w:pPr>
            <w:r>
              <w:rPr>
                <w:rFonts w:ascii="Arial" w:cs="Arial" w:eastAsia="Arial" w:hAnsi="Arial"/>
                <w:sz w:val="18"/>
                <w:szCs w:val="18"/>
                <w:color w:val="auto"/>
              </w:rPr>
              <w:t>Short-sell Report</w:t>
            </w:r>
          </w:p>
        </w:tc>
        <w:tc>
          <w:tcPr>
            <w:tcW w:w="0" w:type="dxa"/>
            <w:vAlign w:val="bottom"/>
          </w:tcPr>
          <w:p>
            <w:pPr>
              <w:spacing w:after="0"/>
              <w:rPr>
                <w:sz w:val="1"/>
                <w:szCs w:val="1"/>
                <w:color w:val="auto"/>
              </w:rPr>
            </w:pPr>
          </w:p>
        </w:tc>
      </w:tr>
      <w:tr>
        <w:trPr>
          <w:trHeight w:val="122"/>
        </w:trPr>
        <w:tc>
          <w:tcPr>
            <w:tcW w:w="720" w:type="dxa"/>
            <w:vAlign w:val="bottom"/>
            <w:tcBorders>
              <w:left w:val="single" w:sz="8" w:color="auto"/>
              <w:right w:val="single" w:sz="8" w:color="auto"/>
            </w:tcBorders>
          </w:tcPr>
          <w:p>
            <w:pPr>
              <w:spacing w:after="0"/>
              <w:rPr>
                <w:sz w:val="10"/>
                <w:szCs w:val="10"/>
                <w:color w:val="auto"/>
              </w:rPr>
            </w:pPr>
          </w:p>
        </w:tc>
        <w:tc>
          <w:tcPr>
            <w:tcW w:w="7180" w:type="dxa"/>
            <w:vAlign w:val="bottom"/>
            <w:tcBorders>
              <w:right w:val="single" w:sz="8" w:color="auto"/>
            </w:tcBorders>
            <w:vMerge w:val="restart"/>
          </w:tcPr>
          <w:p>
            <w:pPr>
              <w:ind w:left="40"/>
              <w:spacing w:after="0"/>
              <w:rPr>
                <w:sz w:val="20"/>
                <w:szCs w:val="20"/>
                <w:color w:val="auto"/>
              </w:rPr>
            </w:pPr>
            <w:r>
              <w:rPr>
                <w:rFonts w:ascii="Arial" w:cs="Arial" w:eastAsia="Arial" w:hAnsi="Arial"/>
                <w:sz w:val="18"/>
                <w:szCs w:val="18"/>
                <w:color w:val="auto"/>
              </w:rPr>
              <w:t>obscures the transaction chain for auditors.</w:t>
            </w:r>
          </w:p>
        </w:tc>
        <w:tc>
          <w:tcPr>
            <w:tcW w:w="1320" w:type="dxa"/>
            <w:vAlign w:val="bottom"/>
            <w:tcBorders>
              <w:right w:val="single" w:sz="8" w:color="auto"/>
            </w:tcBorders>
          </w:tcPr>
          <w:p>
            <w:pPr>
              <w:spacing w:after="0"/>
              <w:rPr>
                <w:sz w:val="10"/>
                <w:szCs w:val="10"/>
                <w:color w:val="auto"/>
              </w:rPr>
            </w:pPr>
          </w:p>
        </w:tc>
        <w:tc>
          <w:tcPr>
            <w:tcW w:w="2020" w:type="dxa"/>
            <w:vAlign w:val="bottom"/>
            <w:tcBorders>
              <w:right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720" w:type="dxa"/>
            <w:vAlign w:val="bottom"/>
            <w:tcBorders>
              <w:left w:val="single" w:sz="8" w:color="auto"/>
              <w:right w:val="single" w:sz="8" w:color="auto"/>
            </w:tcBorders>
          </w:tcPr>
          <w:p>
            <w:pPr>
              <w:spacing w:after="0"/>
              <w:rPr>
                <w:sz w:val="9"/>
                <w:szCs w:val="9"/>
                <w:color w:val="auto"/>
              </w:rPr>
            </w:pPr>
          </w:p>
        </w:tc>
        <w:tc>
          <w:tcPr>
            <w:tcW w:w="7180" w:type="dxa"/>
            <w:vAlign w:val="bottom"/>
            <w:tcBorders>
              <w:right w:val="single" w:sz="8" w:color="auto"/>
            </w:tcBorders>
            <w:vMerge w:val="continue"/>
          </w:tcPr>
          <w:p>
            <w:pPr>
              <w:spacing w:after="0"/>
              <w:rPr>
                <w:sz w:val="9"/>
                <w:szCs w:val="9"/>
                <w:color w:val="auto"/>
              </w:rPr>
            </w:pPr>
          </w:p>
        </w:tc>
        <w:tc>
          <w:tcPr>
            <w:tcW w:w="1320" w:type="dxa"/>
            <w:vAlign w:val="bottom"/>
            <w:tcBorders>
              <w:right w:val="single" w:sz="8" w:color="auto"/>
            </w:tcBorders>
          </w:tcPr>
          <w:p>
            <w:pPr>
              <w:spacing w:after="0"/>
              <w:rPr>
                <w:sz w:val="9"/>
                <w:szCs w:val="9"/>
                <w:color w:val="auto"/>
              </w:rPr>
            </w:pPr>
          </w:p>
        </w:tc>
        <w:tc>
          <w:tcPr>
            <w:tcW w:w="2020" w:type="dxa"/>
            <w:vAlign w:val="bottom"/>
            <w:tcBorders>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277"/>
        </w:trPr>
        <w:tc>
          <w:tcPr>
            <w:tcW w:w="720" w:type="dxa"/>
            <w:vAlign w:val="bottom"/>
            <w:tcBorders>
              <w:left w:val="single" w:sz="8" w:color="auto"/>
              <w:bottom w:val="single" w:sz="8" w:color="auto"/>
              <w:right w:val="single" w:sz="8" w:color="auto"/>
            </w:tcBorders>
          </w:tcPr>
          <w:p>
            <w:pPr>
              <w:spacing w:after="0"/>
              <w:rPr>
                <w:sz w:val="24"/>
                <w:szCs w:val="24"/>
                <w:color w:val="auto"/>
              </w:rPr>
            </w:pPr>
          </w:p>
        </w:tc>
        <w:tc>
          <w:tcPr>
            <w:tcW w:w="7180" w:type="dxa"/>
            <w:vAlign w:val="bottom"/>
            <w:tcBorders>
              <w:bottom w:val="single" w:sz="8" w:color="auto"/>
              <w:right w:val="single" w:sz="8" w:color="auto"/>
            </w:tcBorders>
          </w:tcPr>
          <w:p>
            <w:pPr>
              <w:spacing w:after="0"/>
              <w:rPr>
                <w:sz w:val="24"/>
                <w:szCs w:val="24"/>
                <w:color w:val="auto"/>
              </w:rPr>
            </w:pPr>
          </w:p>
        </w:tc>
        <w:tc>
          <w:tcPr>
            <w:tcW w:w="1320" w:type="dxa"/>
            <w:vAlign w:val="bottom"/>
            <w:tcBorders>
              <w:bottom w:val="single" w:sz="8" w:color="auto"/>
              <w:right w:val="single" w:sz="8" w:color="auto"/>
            </w:tcBorders>
          </w:tcPr>
          <w:p>
            <w:pPr>
              <w:spacing w:after="0"/>
              <w:rPr>
                <w:sz w:val="24"/>
                <w:szCs w:val="24"/>
                <w:color w:val="auto"/>
              </w:rPr>
            </w:pPr>
          </w:p>
        </w:tc>
        <w:tc>
          <w:tcPr>
            <w:tcW w:w="202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56"/>
        </w:trPr>
        <w:tc>
          <w:tcPr>
            <w:tcW w:w="720" w:type="dxa"/>
            <w:vAlign w:val="bottom"/>
            <w:tcBorders>
              <w:left w:val="single" w:sz="8" w:color="auto"/>
              <w:right w:val="single" w:sz="8" w:color="auto"/>
            </w:tcBorders>
          </w:tcPr>
          <w:p>
            <w:pPr>
              <w:spacing w:after="0"/>
              <w:rPr>
                <w:sz w:val="22"/>
                <w:szCs w:val="22"/>
                <w:color w:val="auto"/>
              </w:rPr>
            </w:pPr>
          </w:p>
        </w:tc>
        <w:tc>
          <w:tcPr>
            <w:tcW w:w="718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w w:val="95"/>
              </w:rPr>
              <w:t>We visited the ACMR office in California. The company reports five staff there. No one was on</w:t>
            </w:r>
          </w:p>
        </w:tc>
        <w:tc>
          <w:tcPr>
            <w:tcW w:w="1320" w:type="dxa"/>
            <w:vAlign w:val="bottom"/>
            <w:tcBorders>
              <w:right w:val="single" w:sz="8" w:color="auto"/>
            </w:tcBorders>
          </w:tcPr>
          <w:p>
            <w:pPr>
              <w:spacing w:after="0"/>
              <w:rPr>
                <w:sz w:val="22"/>
                <w:szCs w:val="22"/>
                <w:color w:val="auto"/>
              </w:rPr>
            </w:pPr>
          </w:p>
        </w:tc>
        <w:tc>
          <w:tcPr>
            <w:tcW w:w="202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16"/>
        </w:trPr>
        <w:tc>
          <w:tcPr>
            <w:tcW w:w="720" w:type="dxa"/>
            <w:vAlign w:val="bottom"/>
            <w:tcBorders>
              <w:left w:val="single" w:sz="8" w:color="auto"/>
              <w:right w:val="single" w:sz="8" w:color="auto"/>
            </w:tcBorders>
          </w:tcPr>
          <w:p>
            <w:pPr>
              <w:spacing w:after="0"/>
              <w:rPr>
                <w:sz w:val="18"/>
                <w:szCs w:val="18"/>
                <w:color w:val="auto"/>
              </w:rPr>
            </w:pPr>
          </w:p>
        </w:tc>
        <w:tc>
          <w:tcPr>
            <w:tcW w:w="718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w w:val="95"/>
              </w:rPr>
              <w:t>premises between 3:30 and 5 in the afternoon on a Wednesday. The company reports it pays</w:t>
            </w:r>
          </w:p>
        </w:tc>
        <w:tc>
          <w:tcPr>
            <w:tcW w:w="1320" w:type="dxa"/>
            <w:vAlign w:val="bottom"/>
            <w:tcBorders>
              <w:right w:val="single" w:sz="8" w:color="auto"/>
            </w:tcBorders>
          </w:tcPr>
          <w:p>
            <w:pPr>
              <w:spacing w:after="0"/>
              <w:rPr>
                <w:sz w:val="18"/>
                <w:szCs w:val="18"/>
                <w:color w:val="auto"/>
              </w:rPr>
            </w:pPr>
          </w:p>
        </w:tc>
        <w:tc>
          <w:tcPr>
            <w:tcW w:w="202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20" w:type="dxa"/>
            <w:vAlign w:val="bottom"/>
            <w:tcBorders>
              <w:left w:val="single" w:sz="8" w:color="auto"/>
              <w:right w:val="single" w:sz="8" w:color="auto"/>
            </w:tcBorders>
            <w:vMerge w:val="restart"/>
          </w:tcPr>
          <w:p>
            <w:pPr>
              <w:jc w:val="right"/>
              <w:ind w:right="190"/>
              <w:spacing w:after="0"/>
              <w:rPr>
                <w:sz w:val="20"/>
                <w:szCs w:val="20"/>
                <w:color w:val="auto"/>
              </w:rPr>
            </w:pPr>
            <w:r>
              <w:rPr>
                <w:rFonts w:ascii="Arial" w:cs="Arial" w:eastAsia="Arial" w:hAnsi="Arial"/>
                <w:sz w:val="18"/>
                <w:szCs w:val="18"/>
                <w:color w:val="auto"/>
              </w:rPr>
              <w:t>31</w:t>
            </w:r>
          </w:p>
        </w:tc>
        <w:tc>
          <w:tcPr>
            <w:tcW w:w="718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rPr>
              <w:t>$3,600 per month for the space; neighbors with similar spaces told us they paid from</w:t>
            </w:r>
          </w:p>
        </w:tc>
        <w:tc>
          <w:tcPr>
            <w:tcW w:w="13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1"/>
              </w:rPr>
              <w:t>33-34</w:t>
            </w:r>
          </w:p>
        </w:tc>
        <w:tc>
          <w:tcPr>
            <w:tcW w:w="202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Other Challenge 17:</w:t>
            </w:r>
          </w:p>
        </w:tc>
        <w:tc>
          <w:tcPr>
            <w:tcW w:w="0" w:type="dxa"/>
            <w:vAlign w:val="bottom"/>
          </w:tcPr>
          <w:p>
            <w:pPr>
              <w:spacing w:after="0"/>
              <w:rPr>
                <w:sz w:val="1"/>
                <w:szCs w:val="1"/>
                <w:color w:val="auto"/>
              </w:rPr>
            </w:pPr>
          </w:p>
        </w:tc>
      </w:tr>
      <w:tr>
        <w:trPr>
          <w:trHeight w:val="122"/>
        </w:trPr>
        <w:tc>
          <w:tcPr>
            <w:tcW w:w="720" w:type="dxa"/>
            <w:vAlign w:val="bottom"/>
            <w:tcBorders>
              <w:left w:val="single" w:sz="8" w:color="auto"/>
              <w:right w:val="single" w:sz="8" w:color="auto"/>
            </w:tcBorders>
            <w:vMerge w:val="continue"/>
          </w:tcPr>
          <w:p>
            <w:pPr>
              <w:spacing w:after="0"/>
              <w:rPr>
                <w:sz w:val="10"/>
                <w:szCs w:val="10"/>
                <w:color w:val="auto"/>
              </w:rPr>
            </w:pPr>
          </w:p>
        </w:tc>
        <w:tc>
          <w:tcPr>
            <w:tcW w:w="7180" w:type="dxa"/>
            <w:vAlign w:val="bottom"/>
            <w:tcBorders>
              <w:right w:val="single" w:sz="8" w:color="auto"/>
            </w:tcBorders>
            <w:vMerge w:val="restart"/>
          </w:tcPr>
          <w:p>
            <w:pPr>
              <w:ind w:left="40"/>
              <w:spacing w:after="0"/>
              <w:rPr>
                <w:sz w:val="20"/>
                <w:szCs w:val="20"/>
                <w:color w:val="auto"/>
              </w:rPr>
            </w:pPr>
            <w:r>
              <w:rPr>
                <w:rFonts w:ascii="Arial" w:cs="Arial" w:eastAsia="Arial" w:hAnsi="Arial"/>
                <w:sz w:val="18"/>
                <w:szCs w:val="18"/>
                <w:color w:val="auto"/>
                <w:w w:val="98"/>
              </w:rPr>
              <w:t>$1,400-$1,700. The amount, if overstated, is immaterial. But over months of looking at this</w:t>
            </w:r>
          </w:p>
        </w:tc>
        <w:tc>
          <w:tcPr>
            <w:tcW w:w="1320" w:type="dxa"/>
            <w:vAlign w:val="bottom"/>
            <w:tcBorders>
              <w:right w:val="single" w:sz="8" w:color="auto"/>
            </w:tcBorders>
            <w:vMerge w:val="continue"/>
          </w:tcPr>
          <w:p>
            <w:pPr>
              <w:spacing w:after="0"/>
              <w:rPr>
                <w:sz w:val="10"/>
                <w:szCs w:val="10"/>
                <w:color w:val="auto"/>
              </w:rPr>
            </w:pPr>
          </w:p>
        </w:tc>
        <w:tc>
          <w:tcPr>
            <w:tcW w:w="2020" w:type="dxa"/>
            <w:vAlign w:val="bottom"/>
            <w:tcBorders>
              <w:right w:val="single" w:sz="8" w:color="auto"/>
            </w:tcBorders>
            <w:vMerge w:val="restart"/>
          </w:tcPr>
          <w:p>
            <w:pPr>
              <w:ind w:left="60"/>
              <w:spacing w:after="0"/>
              <w:rPr>
                <w:sz w:val="20"/>
                <w:szCs w:val="20"/>
                <w:color w:val="auto"/>
              </w:rPr>
            </w:pPr>
            <w:r>
              <w:rPr>
                <w:rFonts w:ascii="Arial" w:cs="Arial" w:eastAsia="Arial" w:hAnsi="Arial"/>
                <w:sz w:val="18"/>
                <w:szCs w:val="18"/>
                <w:color w:val="auto"/>
                <w:w w:val="99"/>
              </w:rPr>
              <w:t>About Other Challenges</w:t>
            </w:r>
          </w:p>
        </w:tc>
        <w:tc>
          <w:tcPr>
            <w:tcW w:w="0" w:type="dxa"/>
            <w:vAlign w:val="bottom"/>
          </w:tcPr>
          <w:p>
            <w:pPr>
              <w:spacing w:after="0"/>
              <w:rPr>
                <w:sz w:val="1"/>
                <w:szCs w:val="1"/>
                <w:color w:val="auto"/>
              </w:rPr>
            </w:pPr>
          </w:p>
        </w:tc>
      </w:tr>
      <w:tr>
        <w:trPr>
          <w:trHeight w:val="94"/>
        </w:trPr>
        <w:tc>
          <w:tcPr>
            <w:tcW w:w="720" w:type="dxa"/>
            <w:vAlign w:val="bottom"/>
            <w:tcBorders>
              <w:left w:val="single" w:sz="8" w:color="auto"/>
              <w:right w:val="single" w:sz="8" w:color="auto"/>
            </w:tcBorders>
          </w:tcPr>
          <w:p>
            <w:pPr>
              <w:spacing w:after="0"/>
              <w:rPr>
                <w:sz w:val="8"/>
                <w:szCs w:val="8"/>
                <w:color w:val="auto"/>
              </w:rPr>
            </w:pPr>
          </w:p>
        </w:tc>
        <w:tc>
          <w:tcPr>
            <w:tcW w:w="7180" w:type="dxa"/>
            <w:vAlign w:val="bottom"/>
            <w:tcBorders>
              <w:right w:val="single" w:sz="8" w:color="auto"/>
            </w:tcBorders>
            <w:vMerge w:val="continue"/>
          </w:tcPr>
          <w:p>
            <w:pPr>
              <w:spacing w:after="0"/>
              <w:rPr>
                <w:sz w:val="8"/>
                <w:szCs w:val="8"/>
                <w:color w:val="auto"/>
              </w:rPr>
            </w:pPr>
          </w:p>
        </w:tc>
        <w:tc>
          <w:tcPr>
            <w:tcW w:w="1320" w:type="dxa"/>
            <w:vAlign w:val="bottom"/>
            <w:tcBorders>
              <w:right w:val="single" w:sz="8" w:color="auto"/>
            </w:tcBorders>
          </w:tcPr>
          <w:p>
            <w:pPr>
              <w:spacing w:after="0"/>
              <w:rPr>
                <w:sz w:val="8"/>
                <w:szCs w:val="8"/>
                <w:color w:val="auto"/>
              </w:rPr>
            </w:pPr>
          </w:p>
        </w:tc>
        <w:tc>
          <w:tcPr>
            <w:tcW w:w="2020" w:type="dxa"/>
            <w:vAlign w:val="bottom"/>
            <w:tcBorders>
              <w:right w:val="single" w:sz="8" w:color="auto"/>
            </w:tcBorders>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30"/>
        </w:trPr>
        <w:tc>
          <w:tcPr>
            <w:tcW w:w="720" w:type="dxa"/>
            <w:vAlign w:val="bottom"/>
            <w:tcBorders>
              <w:left w:val="single" w:sz="8" w:color="auto"/>
              <w:right w:val="single" w:sz="8" w:color="auto"/>
            </w:tcBorders>
          </w:tcPr>
          <w:p>
            <w:pPr>
              <w:spacing w:after="0"/>
              <w:rPr>
                <w:sz w:val="20"/>
                <w:szCs w:val="20"/>
                <w:color w:val="auto"/>
              </w:rPr>
            </w:pPr>
          </w:p>
        </w:tc>
        <w:tc>
          <w:tcPr>
            <w:tcW w:w="718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rPr>
              <w:t>company, we have come to feel that every number it publishes is inflated.</w:t>
            </w:r>
          </w:p>
        </w:tc>
        <w:tc>
          <w:tcPr>
            <w:tcW w:w="1320" w:type="dxa"/>
            <w:vAlign w:val="bottom"/>
            <w:tcBorders>
              <w:right w:val="single" w:sz="8" w:color="auto"/>
            </w:tcBorders>
          </w:tcPr>
          <w:p>
            <w:pPr>
              <w:spacing w:after="0"/>
              <w:rPr>
                <w:sz w:val="20"/>
                <w:szCs w:val="20"/>
                <w:color w:val="auto"/>
              </w:rPr>
            </w:pPr>
          </w:p>
        </w:tc>
        <w:tc>
          <w:tcPr>
            <w:tcW w:w="20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77"/>
        </w:trPr>
        <w:tc>
          <w:tcPr>
            <w:tcW w:w="720" w:type="dxa"/>
            <w:vAlign w:val="bottom"/>
            <w:tcBorders>
              <w:left w:val="single" w:sz="8" w:color="auto"/>
              <w:bottom w:val="single" w:sz="8" w:color="auto"/>
              <w:right w:val="single" w:sz="8" w:color="auto"/>
            </w:tcBorders>
          </w:tcPr>
          <w:p>
            <w:pPr>
              <w:spacing w:after="0"/>
              <w:rPr>
                <w:sz w:val="24"/>
                <w:szCs w:val="24"/>
                <w:color w:val="auto"/>
              </w:rPr>
            </w:pPr>
          </w:p>
        </w:tc>
        <w:tc>
          <w:tcPr>
            <w:tcW w:w="7180" w:type="dxa"/>
            <w:vAlign w:val="bottom"/>
            <w:tcBorders>
              <w:bottom w:val="single" w:sz="8" w:color="auto"/>
              <w:right w:val="single" w:sz="8" w:color="auto"/>
            </w:tcBorders>
          </w:tcPr>
          <w:p>
            <w:pPr>
              <w:spacing w:after="0"/>
              <w:rPr>
                <w:sz w:val="24"/>
                <w:szCs w:val="24"/>
                <w:color w:val="auto"/>
              </w:rPr>
            </w:pPr>
          </w:p>
        </w:tc>
        <w:tc>
          <w:tcPr>
            <w:tcW w:w="1320" w:type="dxa"/>
            <w:vAlign w:val="bottom"/>
            <w:tcBorders>
              <w:bottom w:val="single" w:sz="8" w:color="auto"/>
              <w:right w:val="single" w:sz="8" w:color="auto"/>
            </w:tcBorders>
          </w:tcPr>
          <w:p>
            <w:pPr>
              <w:spacing w:after="0"/>
              <w:rPr>
                <w:sz w:val="24"/>
                <w:szCs w:val="24"/>
                <w:color w:val="auto"/>
              </w:rPr>
            </w:pPr>
          </w:p>
        </w:tc>
        <w:tc>
          <w:tcPr>
            <w:tcW w:w="202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56"/>
        </w:trPr>
        <w:tc>
          <w:tcPr>
            <w:tcW w:w="720" w:type="dxa"/>
            <w:vAlign w:val="bottom"/>
            <w:tcBorders>
              <w:left w:val="single" w:sz="8" w:color="auto"/>
              <w:right w:val="single" w:sz="8" w:color="auto"/>
            </w:tcBorders>
          </w:tcPr>
          <w:p>
            <w:pPr>
              <w:spacing w:after="0"/>
              <w:rPr>
                <w:sz w:val="22"/>
                <w:szCs w:val="22"/>
                <w:color w:val="auto"/>
              </w:rPr>
            </w:pPr>
          </w:p>
        </w:tc>
        <w:tc>
          <w:tcPr>
            <w:tcW w:w="718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w w:val="93"/>
              </w:rPr>
              <w:t>We have evidence that NINEBELL is buying the robotic arms it sells to ACMR from a Japanese</w:t>
            </w:r>
          </w:p>
        </w:tc>
        <w:tc>
          <w:tcPr>
            <w:tcW w:w="1320" w:type="dxa"/>
            <w:vAlign w:val="bottom"/>
            <w:tcBorders>
              <w:right w:val="single" w:sz="8" w:color="auto"/>
            </w:tcBorders>
          </w:tcPr>
          <w:p>
            <w:pPr>
              <w:spacing w:after="0"/>
              <w:rPr>
                <w:sz w:val="22"/>
                <w:szCs w:val="22"/>
                <w:color w:val="auto"/>
              </w:rPr>
            </w:pPr>
          </w:p>
        </w:tc>
        <w:tc>
          <w:tcPr>
            <w:tcW w:w="202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16"/>
        </w:trPr>
        <w:tc>
          <w:tcPr>
            <w:tcW w:w="720" w:type="dxa"/>
            <w:vAlign w:val="bottom"/>
            <w:tcBorders>
              <w:left w:val="single" w:sz="8" w:color="auto"/>
              <w:right w:val="single" w:sz="8" w:color="auto"/>
            </w:tcBorders>
          </w:tcPr>
          <w:p>
            <w:pPr>
              <w:spacing w:after="0"/>
              <w:rPr>
                <w:sz w:val="18"/>
                <w:szCs w:val="18"/>
                <w:color w:val="auto"/>
              </w:rPr>
            </w:pPr>
          </w:p>
        </w:tc>
        <w:tc>
          <w:tcPr>
            <w:tcW w:w="718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w w:val="94"/>
              </w:rPr>
              <w:t>supplier. Curiously, with $8.9 mln in purchases, ACMR could not have obtained even half of its</w:t>
            </w:r>
          </w:p>
        </w:tc>
        <w:tc>
          <w:tcPr>
            <w:tcW w:w="1320" w:type="dxa"/>
            <w:vAlign w:val="bottom"/>
            <w:tcBorders>
              <w:right w:val="single" w:sz="8" w:color="auto"/>
            </w:tcBorders>
          </w:tcPr>
          <w:p>
            <w:pPr>
              <w:spacing w:after="0"/>
              <w:rPr>
                <w:sz w:val="18"/>
                <w:szCs w:val="18"/>
                <w:color w:val="auto"/>
              </w:rPr>
            </w:pPr>
          </w:p>
        </w:tc>
        <w:tc>
          <w:tcPr>
            <w:tcW w:w="202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20" w:type="dxa"/>
            <w:vAlign w:val="bottom"/>
            <w:tcBorders>
              <w:left w:val="single" w:sz="8" w:color="auto"/>
              <w:right w:val="single" w:sz="8" w:color="auto"/>
            </w:tcBorders>
          </w:tcPr>
          <w:p>
            <w:pPr>
              <w:spacing w:after="0"/>
              <w:rPr>
                <w:sz w:val="18"/>
                <w:szCs w:val="18"/>
                <w:color w:val="auto"/>
              </w:rPr>
            </w:pPr>
          </w:p>
        </w:tc>
        <w:tc>
          <w:tcPr>
            <w:tcW w:w="718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w w:val="94"/>
              </w:rPr>
              <w:t>robotic arm assemblies from NINEBELL. We learned in a lengthy interview that the assemblies</w:t>
            </w:r>
          </w:p>
        </w:tc>
        <w:tc>
          <w:tcPr>
            <w:tcW w:w="1320" w:type="dxa"/>
            <w:vAlign w:val="bottom"/>
            <w:tcBorders>
              <w:right w:val="single" w:sz="8" w:color="auto"/>
            </w:tcBorders>
          </w:tcPr>
          <w:p>
            <w:pPr>
              <w:spacing w:after="0"/>
              <w:rPr>
                <w:sz w:val="18"/>
                <w:szCs w:val="18"/>
                <w:color w:val="auto"/>
              </w:rPr>
            </w:pPr>
          </w:p>
        </w:tc>
        <w:tc>
          <w:tcPr>
            <w:tcW w:w="202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20" w:type="dxa"/>
            <w:vAlign w:val="bottom"/>
            <w:tcBorders>
              <w:left w:val="single" w:sz="8" w:color="auto"/>
              <w:right w:val="single" w:sz="8" w:color="auto"/>
            </w:tcBorders>
          </w:tcPr>
          <w:p>
            <w:pPr>
              <w:spacing w:after="0"/>
              <w:rPr>
                <w:sz w:val="18"/>
                <w:szCs w:val="18"/>
                <w:color w:val="auto"/>
              </w:rPr>
            </w:pPr>
          </w:p>
        </w:tc>
        <w:tc>
          <w:tcPr>
            <w:tcW w:w="718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w w:val="92"/>
              </w:rPr>
              <w:t>cost about $650,000. At this price, the 2019 value of procurement would have paid for 14 robotic</w:t>
            </w:r>
          </w:p>
        </w:tc>
        <w:tc>
          <w:tcPr>
            <w:tcW w:w="1320" w:type="dxa"/>
            <w:vAlign w:val="bottom"/>
            <w:tcBorders>
              <w:right w:val="single" w:sz="8" w:color="auto"/>
            </w:tcBorders>
          </w:tcPr>
          <w:p>
            <w:pPr>
              <w:spacing w:after="0"/>
              <w:rPr>
                <w:sz w:val="18"/>
                <w:szCs w:val="18"/>
                <w:color w:val="auto"/>
              </w:rPr>
            </w:pPr>
          </w:p>
        </w:tc>
        <w:tc>
          <w:tcPr>
            <w:tcW w:w="2020" w:type="dxa"/>
            <w:vAlign w:val="bottom"/>
            <w:tcBorders>
              <w:right w:val="single" w:sz="8" w:color="auto"/>
            </w:tcBorders>
            <w:vMerge w:val="restart"/>
          </w:tcPr>
          <w:p>
            <w:pPr>
              <w:ind w:left="60"/>
              <w:spacing w:after="0"/>
              <w:rPr>
                <w:sz w:val="20"/>
                <w:szCs w:val="20"/>
                <w:color w:val="auto"/>
              </w:rPr>
            </w:pPr>
            <w:r>
              <w:rPr>
                <w:rFonts w:ascii="Arial" w:cs="Arial" w:eastAsia="Arial" w:hAnsi="Arial"/>
                <w:sz w:val="18"/>
                <w:szCs w:val="18"/>
                <w:color w:val="auto"/>
                <w:w w:val="97"/>
              </w:rPr>
              <w:t>Core Challenge 5: About</w:t>
            </w:r>
          </w:p>
        </w:tc>
        <w:tc>
          <w:tcPr>
            <w:tcW w:w="0" w:type="dxa"/>
            <w:vAlign w:val="bottom"/>
          </w:tcPr>
          <w:p>
            <w:pPr>
              <w:spacing w:after="0"/>
              <w:rPr>
                <w:sz w:val="1"/>
                <w:szCs w:val="1"/>
                <w:color w:val="auto"/>
              </w:rPr>
            </w:pPr>
          </w:p>
        </w:tc>
      </w:tr>
      <w:tr>
        <w:trPr>
          <w:trHeight w:val="108"/>
        </w:trPr>
        <w:tc>
          <w:tcPr>
            <w:tcW w:w="720" w:type="dxa"/>
            <w:vAlign w:val="bottom"/>
            <w:tcBorders>
              <w:left w:val="single" w:sz="8" w:color="auto"/>
              <w:right w:val="single" w:sz="8" w:color="auto"/>
            </w:tcBorders>
            <w:vMerge w:val="restart"/>
          </w:tcPr>
          <w:p>
            <w:pPr>
              <w:jc w:val="right"/>
              <w:ind w:right="190"/>
              <w:spacing w:after="0"/>
              <w:rPr>
                <w:sz w:val="20"/>
                <w:szCs w:val="20"/>
                <w:color w:val="auto"/>
              </w:rPr>
            </w:pPr>
            <w:r>
              <w:rPr>
                <w:rFonts w:ascii="Arial" w:cs="Arial" w:eastAsia="Arial" w:hAnsi="Arial"/>
                <w:sz w:val="18"/>
                <w:szCs w:val="18"/>
                <w:color w:val="auto"/>
              </w:rPr>
              <w:t>32</w:t>
            </w:r>
          </w:p>
        </w:tc>
        <w:tc>
          <w:tcPr>
            <w:tcW w:w="7180" w:type="dxa"/>
            <w:vAlign w:val="bottom"/>
            <w:tcBorders>
              <w:right w:val="single" w:sz="8" w:color="auto"/>
            </w:tcBorders>
            <w:vMerge w:val="restart"/>
          </w:tcPr>
          <w:p>
            <w:pPr>
              <w:ind w:left="40"/>
              <w:spacing w:after="0"/>
              <w:rPr>
                <w:sz w:val="20"/>
                <w:szCs w:val="20"/>
                <w:color w:val="auto"/>
              </w:rPr>
            </w:pPr>
            <w:r>
              <w:rPr>
                <w:rFonts w:ascii="Arial" w:cs="Arial" w:eastAsia="Arial" w:hAnsi="Arial"/>
                <w:sz w:val="18"/>
                <w:szCs w:val="18"/>
                <w:color w:val="auto"/>
              </w:rPr>
              <w:t>arms at most, while the company used at least 32.</w:t>
            </w:r>
          </w:p>
        </w:tc>
        <w:tc>
          <w:tcPr>
            <w:tcW w:w="13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1"/>
              </w:rPr>
              <w:t>35-37</w:t>
            </w:r>
          </w:p>
        </w:tc>
        <w:tc>
          <w:tcPr>
            <w:tcW w:w="2020" w:type="dxa"/>
            <w:vAlign w:val="bottom"/>
            <w:tcBorders>
              <w:right w:val="single" w:sz="8" w:color="auto"/>
            </w:tcBorders>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22"/>
        </w:trPr>
        <w:tc>
          <w:tcPr>
            <w:tcW w:w="720" w:type="dxa"/>
            <w:vAlign w:val="bottom"/>
            <w:tcBorders>
              <w:left w:val="single" w:sz="8" w:color="auto"/>
              <w:right w:val="single" w:sz="8" w:color="auto"/>
            </w:tcBorders>
            <w:vMerge w:val="continue"/>
          </w:tcPr>
          <w:p>
            <w:pPr>
              <w:spacing w:after="0"/>
              <w:rPr>
                <w:sz w:val="10"/>
                <w:szCs w:val="10"/>
                <w:color w:val="auto"/>
              </w:rPr>
            </w:pPr>
          </w:p>
        </w:tc>
        <w:tc>
          <w:tcPr>
            <w:tcW w:w="7180" w:type="dxa"/>
            <w:vAlign w:val="bottom"/>
            <w:tcBorders>
              <w:right w:val="single" w:sz="8" w:color="auto"/>
            </w:tcBorders>
            <w:vMerge w:val="continue"/>
          </w:tcPr>
          <w:p>
            <w:pPr>
              <w:spacing w:after="0"/>
              <w:rPr>
                <w:sz w:val="10"/>
                <w:szCs w:val="10"/>
                <w:color w:val="auto"/>
              </w:rPr>
            </w:pPr>
          </w:p>
        </w:tc>
        <w:tc>
          <w:tcPr>
            <w:tcW w:w="1320" w:type="dxa"/>
            <w:vAlign w:val="bottom"/>
            <w:tcBorders>
              <w:right w:val="single" w:sz="8" w:color="auto"/>
            </w:tcBorders>
            <w:vMerge w:val="continue"/>
          </w:tcPr>
          <w:p>
            <w:pPr>
              <w:spacing w:after="0"/>
              <w:rPr>
                <w:sz w:val="10"/>
                <w:szCs w:val="10"/>
                <w:color w:val="auto"/>
              </w:rPr>
            </w:pPr>
          </w:p>
        </w:tc>
        <w:tc>
          <w:tcPr>
            <w:tcW w:w="2020" w:type="dxa"/>
            <w:vAlign w:val="bottom"/>
            <w:tcBorders>
              <w:right w:val="single" w:sz="8" w:color="auto"/>
            </w:tcBorders>
            <w:vMerge w:val="restart"/>
          </w:tcPr>
          <w:p>
            <w:pPr>
              <w:ind w:left="60"/>
              <w:spacing w:after="0"/>
              <w:rPr>
                <w:sz w:val="20"/>
                <w:szCs w:val="20"/>
                <w:color w:val="auto"/>
              </w:rPr>
            </w:pPr>
            <w:r>
              <w:rPr>
                <w:rFonts w:ascii="Arial" w:cs="Arial" w:eastAsia="Arial" w:hAnsi="Arial"/>
                <w:sz w:val="18"/>
                <w:szCs w:val="18"/>
                <w:color w:val="auto"/>
              </w:rPr>
              <w:t>NINEBELL</w:t>
            </w:r>
          </w:p>
        </w:tc>
        <w:tc>
          <w:tcPr>
            <w:tcW w:w="0" w:type="dxa"/>
            <w:vAlign w:val="bottom"/>
          </w:tcPr>
          <w:p>
            <w:pPr>
              <w:spacing w:after="0"/>
              <w:rPr>
                <w:sz w:val="1"/>
                <w:szCs w:val="1"/>
                <w:color w:val="auto"/>
              </w:rPr>
            </w:pPr>
          </w:p>
        </w:tc>
      </w:tr>
      <w:tr>
        <w:trPr>
          <w:trHeight w:val="108"/>
        </w:trPr>
        <w:tc>
          <w:tcPr>
            <w:tcW w:w="720" w:type="dxa"/>
            <w:vAlign w:val="bottom"/>
            <w:tcBorders>
              <w:left w:val="single" w:sz="8" w:color="auto"/>
              <w:right w:val="single" w:sz="8" w:color="auto"/>
            </w:tcBorders>
          </w:tcPr>
          <w:p>
            <w:pPr>
              <w:spacing w:after="0"/>
              <w:rPr>
                <w:sz w:val="9"/>
                <w:szCs w:val="9"/>
                <w:color w:val="auto"/>
              </w:rPr>
            </w:pPr>
          </w:p>
        </w:tc>
        <w:tc>
          <w:tcPr>
            <w:tcW w:w="7180" w:type="dxa"/>
            <w:vAlign w:val="bottom"/>
            <w:tcBorders>
              <w:right w:val="single" w:sz="8" w:color="auto"/>
            </w:tcBorders>
          </w:tcPr>
          <w:p>
            <w:pPr>
              <w:spacing w:after="0"/>
              <w:rPr>
                <w:sz w:val="9"/>
                <w:szCs w:val="9"/>
                <w:color w:val="auto"/>
              </w:rPr>
            </w:pPr>
          </w:p>
        </w:tc>
        <w:tc>
          <w:tcPr>
            <w:tcW w:w="1320" w:type="dxa"/>
            <w:vAlign w:val="bottom"/>
            <w:tcBorders>
              <w:right w:val="single" w:sz="8" w:color="auto"/>
            </w:tcBorders>
          </w:tcPr>
          <w:p>
            <w:pPr>
              <w:spacing w:after="0"/>
              <w:rPr>
                <w:sz w:val="9"/>
                <w:szCs w:val="9"/>
                <w:color w:val="auto"/>
              </w:rPr>
            </w:pPr>
          </w:p>
        </w:tc>
        <w:tc>
          <w:tcPr>
            <w:tcW w:w="2020" w:type="dxa"/>
            <w:vAlign w:val="bottom"/>
            <w:tcBorders>
              <w:right w:val="single" w:sz="8" w:color="auto"/>
            </w:tcBorders>
            <w:vMerge w:val="continue"/>
          </w:tcPr>
          <w:p>
            <w:pPr>
              <w:spacing w:after="0"/>
              <w:rPr>
                <w:sz w:val="9"/>
                <w:szCs w:val="9"/>
                <w:color w:val="auto"/>
              </w:rPr>
            </w:pPr>
          </w:p>
        </w:tc>
        <w:tc>
          <w:tcPr>
            <w:tcW w:w="0" w:type="dxa"/>
            <w:vAlign w:val="bottom"/>
          </w:tcPr>
          <w:p>
            <w:pPr>
              <w:spacing w:after="0"/>
              <w:rPr>
                <w:sz w:val="1"/>
                <w:szCs w:val="1"/>
                <w:color w:val="auto"/>
              </w:rPr>
            </w:pPr>
          </w:p>
        </w:tc>
      </w:tr>
      <w:tr>
        <w:trPr>
          <w:trHeight w:val="310"/>
        </w:trPr>
        <w:tc>
          <w:tcPr>
            <w:tcW w:w="720" w:type="dxa"/>
            <w:vAlign w:val="bottom"/>
            <w:tcBorders>
              <w:left w:val="single" w:sz="8" w:color="auto"/>
              <w:right w:val="single" w:sz="8" w:color="auto"/>
            </w:tcBorders>
          </w:tcPr>
          <w:p>
            <w:pPr>
              <w:spacing w:after="0"/>
              <w:rPr>
                <w:sz w:val="24"/>
                <w:szCs w:val="24"/>
                <w:color w:val="auto"/>
              </w:rPr>
            </w:pPr>
          </w:p>
        </w:tc>
        <w:tc>
          <w:tcPr>
            <w:tcW w:w="718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rPr>
              <w:t>But our investigator visited Ninebell in the Seongnam suburb of Seoul and found that the</w:t>
            </w:r>
          </w:p>
        </w:tc>
        <w:tc>
          <w:tcPr>
            <w:tcW w:w="1320" w:type="dxa"/>
            <w:vAlign w:val="bottom"/>
            <w:tcBorders>
              <w:right w:val="single" w:sz="8" w:color="auto"/>
            </w:tcBorders>
          </w:tcPr>
          <w:p>
            <w:pPr>
              <w:spacing w:after="0"/>
              <w:rPr>
                <w:sz w:val="24"/>
                <w:szCs w:val="24"/>
                <w:color w:val="auto"/>
              </w:rPr>
            </w:pPr>
          </w:p>
        </w:tc>
        <w:tc>
          <w:tcPr>
            <w:tcW w:w="20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720" w:type="dxa"/>
            <w:vAlign w:val="bottom"/>
            <w:tcBorders>
              <w:left w:val="single" w:sz="8" w:color="auto"/>
              <w:right w:val="single" w:sz="8" w:color="auto"/>
            </w:tcBorders>
          </w:tcPr>
          <w:p>
            <w:pPr>
              <w:spacing w:after="0"/>
              <w:rPr>
                <w:sz w:val="20"/>
                <w:szCs w:val="20"/>
                <w:color w:val="auto"/>
              </w:rPr>
            </w:pPr>
          </w:p>
        </w:tc>
        <w:tc>
          <w:tcPr>
            <w:tcW w:w="718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rPr>
              <w:t>company was buying robotic arms from the Japanese company Yaskawa.</w:t>
            </w:r>
          </w:p>
        </w:tc>
        <w:tc>
          <w:tcPr>
            <w:tcW w:w="1320" w:type="dxa"/>
            <w:vAlign w:val="bottom"/>
            <w:tcBorders>
              <w:right w:val="single" w:sz="8" w:color="auto"/>
            </w:tcBorders>
          </w:tcPr>
          <w:p>
            <w:pPr>
              <w:spacing w:after="0"/>
              <w:rPr>
                <w:sz w:val="20"/>
                <w:szCs w:val="20"/>
                <w:color w:val="auto"/>
              </w:rPr>
            </w:pPr>
          </w:p>
        </w:tc>
        <w:tc>
          <w:tcPr>
            <w:tcW w:w="20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77"/>
        </w:trPr>
        <w:tc>
          <w:tcPr>
            <w:tcW w:w="720" w:type="dxa"/>
            <w:vAlign w:val="bottom"/>
            <w:tcBorders>
              <w:left w:val="single" w:sz="8" w:color="auto"/>
              <w:bottom w:val="single" w:sz="8" w:color="auto"/>
              <w:right w:val="single" w:sz="8" w:color="auto"/>
            </w:tcBorders>
          </w:tcPr>
          <w:p>
            <w:pPr>
              <w:spacing w:after="0"/>
              <w:rPr>
                <w:sz w:val="24"/>
                <w:szCs w:val="24"/>
                <w:color w:val="auto"/>
              </w:rPr>
            </w:pPr>
          </w:p>
        </w:tc>
        <w:tc>
          <w:tcPr>
            <w:tcW w:w="7180" w:type="dxa"/>
            <w:vAlign w:val="bottom"/>
            <w:tcBorders>
              <w:bottom w:val="single" w:sz="8" w:color="auto"/>
              <w:right w:val="single" w:sz="8" w:color="auto"/>
            </w:tcBorders>
          </w:tcPr>
          <w:p>
            <w:pPr>
              <w:spacing w:after="0"/>
              <w:rPr>
                <w:sz w:val="24"/>
                <w:szCs w:val="24"/>
                <w:color w:val="auto"/>
              </w:rPr>
            </w:pPr>
          </w:p>
        </w:tc>
        <w:tc>
          <w:tcPr>
            <w:tcW w:w="1320" w:type="dxa"/>
            <w:vAlign w:val="bottom"/>
            <w:tcBorders>
              <w:bottom w:val="single" w:sz="8" w:color="auto"/>
              <w:right w:val="single" w:sz="8" w:color="auto"/>
            </w:tcBorders>
          </w:tcPr>
          <w:p>
            <w:pPr>
              <w:spacing w:after="0"/>
              <w:rPr>
                <w:sz w:val="24"/>
                <w:szCs w:val="24"/>
                <w:color w:val="auto"/>
              </w:rPr>
            </w:pPr>
          </w:p>
        </w:tc>
        <w:tc>
          <w:tcPr>
            <w:tcW w:w="202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56"/>
        </w:trPr>
        <w:tc>
          <w:tcPr>
            <w:tcW w:w="720" w:type="dxa"/>
            <w:vAlign w:val="bottom"/>
            <w:tcBorders>
              <w:left w:val="single" w:sz="8" w:color="auto"/>
              <w:right w:val="single" w:sz="8" w:color="auto"/>
            </w:tcBorders>
          </w:tcPr>
          <w:p>
            <w:pPr>
              <w:spacing w:after="0"/>
              <w:rPr>
                <w:sz w:val="22"/>
                <w:szCs w:val="22"/>
                <w:color w:val="auto"/>
              </w:rPr>
            </w:pPr>
          </w:p>
        </w:tc>
        <w:tc>
          <w:tcPr>
            <w:tcW w:w="718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w w:val="91"/>
              </w:rPr>
              <w:t>ACMR discloses that the U.S. company purchases parts and ships them to China. However, U.S.</w:t>
            </w:r>
          </w:p>
        </w:tc>
        <w:tc>
          <w:tcPr>
            <w:tcW w:w="1320" w:type="dxa"/>
            <w:vAlign w:val="bottom"/>
            <w:tcBorders>
              <w:right w:val="single" w:sz="8" w:color="auto"/>
            </w:tcBorders>
          </w:tcPr>
          <w:p>
            <w:pPr>
              <w:spacing w:after="0"/>
              <w:rPr>
                <w:sz w:val="22"/>
                <w:szCs w:val="22"/>
                <w:color w:val="auto"/>
              </w:rPr>
            </w:pPr>
          </w:p>
        </w:tc>
        <w:tc>
          <w:tcPr>
            <w:tcW w:w="202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16"/>
        </w:trPr>
        <w:tc>
          <w:tcPr>
            <w:tcW w:w="720" w:type="dxa"/>
            <w:vAlign w:val="bottom"/>
            <w:tcBorders>
              <w:left w:val="single" w:sz="8" w:color="auto"/>
              <w:right w:val="single" w:sz="8" w:color="auto"/>
            </w:tcBorders>
          </w:tcPr>
          <w:p>
            <w:pPr>
              <w:spacing w:after="0"/>
              <w:rPr>
                <w:sz w:val="18"/>
                <w:szCs w:val="18"/>
                <w:color w:val="auto"/>
              </w:rPr>
            </w:pPr>
          </w:p>
        </w:tc>
        <w:tc>
          <w:tcPr>
            <w:tcW w:w="718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w w:val="93"/>
              </w:rPr>
              <w:t>bills of lading show no exports by ACMR. Because the volume of manufacturing is small—about</w:t>
            </w:r>
          </w:p>
        </w:tc>
        <w:tc>
          <w:tcPr>
            <w:tcW w:w="1320" w:type="dxa"/>
            <w:vAlign w:val="bottom"/>
            <w:tcBorders>
              <w:right w:val="single" w:sz="8" w:color="auto"/>
            </w:tcBorders>
          </w:tcPr>
          <w:p>
            <w:pPr>
              <w:spacing w:after="0"/>
              <w:rPr>
                <w:sz w:val="18"/>
                <w:szCs w:val="18"/>
                <w:color w:val="auto"/>
              </w:rPr>
            </w:pPr>
          </w:p>
        </w:tc>
        <w:tc>
          <w:tcPr>
            <w:tcW w:w="202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Other Challenge 11:</w:t>
            </w:r>
          </w:p>
        </w:tc>
        <w:tc>
          <w:tcPr>
            <w:tcW w:w="0" w:type="dxa"/>
            <w:vAlign w:val="bottom"/>
          </w:tcPr>
          <w:p>
            <w:pPr>
              <w:spacing w:after="0"/>
              <w:rPr>
                <w:sz w:val="1"/>
                <w:szCs w:val="1"/>
                <w:color w:val="auto"/>
              </w:rPr>
            </w:pPr>
          </w:p>
        </w:tc>
      </w:tr>
      <w:tr>
        <w:trPr>
          <w:trHeight w:val="216"/>
        </w:trPr>
        <w:tc>
          <w:tcPr>
            <w:tcW w:w="720" w:type="dxa"/>
            <w:vAlign w:val="bottom"/>
            <w:tcBorders>
              <w:left w:val="single" w:sz="8" w:color="auto"/>
              <w:right w:val="single" w:sz="8" w:color="auto"/>
            </w:tcBorders>
          </w:tcPr>
          <w:p>
            <w:pPr>
              <w:jc w:val="right"/>
              <w:ind w:right="190"/>
              <w:spacing w:after="0"/>
              <w:rPr>
                <w:sz w:val="20"/>
                <w:szCs w:val="20"/>
                <w:color w:val="auto"/>
              </w:rPr>
            </w:pPr>
            <w:r>
              <w:rPr>
                <w:rFonts w:ascii="Arial" w:cs="Arial" w:eastAsia="Arial" w:hAnsi="Arial"/>
                <w:sz w:val="18"/>
                <w:szCs w:val="18"/>
                <w:color w:val="auto"/>
              </w:rPr>
              <w:t>33</w:t>
            </w:r>
          </w:p>
        </w:tc>
        <w:tc>
          <w:tcPr>
            <w:tcW w:w="718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w w:val="94"/>
              </w:rPr>
              <w:t>25 machines per year—and the most valuable parts relatively small, the parts could be carried</w:t>
            </w:r>
          </w:p>
        </w:tc>
        <w:tc>
          <w:tcPr>
            <w:tcW w:w="13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9"/>
              </w:rPr>
              <w:t>38</w:t>
            </w:r>
          </w:p>
        </w:tc>
        <w:tc>
          <w:tcPr>
            <w:tcW w:w="202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About Overseas</w:t>
            </w:r>
          </w:p>
        </w:tc>
        <w:tc>
          <w:tcPr>
            <w:tcW w:w="0" w:type="dxa"/>
            <w:vAlign w:val="bottom"/>
          </w:tcPr>
          <w:p>
            <w:pPr>
              <w:spacing w:after="0"/>
              <w:rPr>
                <w:sz w:val="1"/>
                <w:szCs w:val="1"/>
                <w:color w:val="auto"/>
              </w:rPr>
            </w:pPr>
          </w:p>
        </w:tc>
      </w:tr>
      <w:tr>
        <w:trPr>
          <w:trHeight w:val="230"/>
        </w:trPr>
        <w:tc>
          <w:tcPr>
            <w:tcW w:w="720" w:type="dxa"/>
            <w:vAlign w:val="bottom"/>
            <w:tcBorders>
              <w:left w:val="single" w:sz="8" w:color="auto"/>
              <w:right w:val="single" w:sz="8" w:color="auto"/>
            </w:tcBorders>
          </w:tcPr>
          <w:p>
            <w:pPr>
              <w:spacing w:after="0"/>
              <w:rPr>
                <w:sz w:val="20"/>
                <w:szCs w:val="20"/>
                <w:color w:val="auto"/>
              </w:rPr>
            </w:pPr>
          </w:p>
        </w:tc>
        <w:tc>
          <w:tcPr>
            <w:tcW w:w="718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rPr>
              <w:t>into China, thus avoiding import tariffs.</w:t>
            </w:r>
          </w:p>
        </w:tc>
        <w:tc>
          <w:tcPr>
            <w:tcW w:w="1320" w:type="dxa"/>
            <w:vAlign w:val="bottom"/>
            <w:tcBorders>
              <w:right w:val="single" w:sz="8" w:color="auto"/>
            </w:tcBorders>
          </w:tcPr>
          <w:p>
            <w:pPr>
              <w:spacing w:after="0"/>
              <w:rPr>
                <w:sz w:val="20"/>
                <w:szCs w:val="20"/>
                <w:color w:val="auto"/>
              </w:rPr>
            </w:pPr>
          </w:p>
        </w:tc>
        <w:tc>
          <w:tcPr>
            <w:tcW w:w="202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Procurement</w:t>
            </w:r>
          </w:p>
        </w:tc>
        <w:tc>
          <w:tcPr>
            <w:tcW w:w="0" w:type="dxa"/>
            <w:vAlign w:val="bottom"/>
          </w:tcPr>
          <w:p>
            <w:pPr>
              <w:spacing w:after="0"/>
              <w:rPr>
                <w:sz w:val="1"/>
                <w:szCs w:val="1"/>
                <w:color w:val="auto"/>
              </w:rPr>
            </w:pPr>
          </w:p>
        </w:tc>
      </w:tr>
      <w:tr>
        <w:trPr>
          <w:trHeight w:val="277"/>
        </w:trPr>
        <w:tc>
          <w:tcPr>
            <w:tcW w:w="720" w:type="dxa"/>
            <w:vAlign w:val="bottom"/>
            <w:tcBorders>
              <w:left w:val="single" w:sz="8" w:color="auto"/>
              <w:bottom w:val="single" w:sz="8" w:color="auto"/>
              <w:right w:val="single" w:sz="8" w:color="auto"/>
            </w:tcBorders>
          </w:tcPr>
          <w:p>
            <w:pPr>
              <w:spacing w:after="0"/>
              <w:rPr>
                <w:sz w:val="24"/>
                <w:szCs w:val="24"/>
                <w:color w:val="auto"/>
              </w:rPr>
            </w:pPr>
          </w:p>
        </w:tc>
        <w:tc>
          <w:tcPr>
            <w:tcW w:w="7180" w:type="dxa"/>
            <w:vAlign w:val="bottom"/>
            <w:tcBorders>
              <w:bottom w:val="single" w:sz="8" w:color="auto"/>
              <w:right w:val="single" w:sz="8" w:color="auto"/>
            </w:tcBorders>
          </w:tcPr>
          <w:p>
            <w:pPr>
              <w:spacing w:after="0"/>
              <w:rPr>
                <w:sz w:val="24"/>
                <w:szCs w:val="24"/>
                <w:color w:val="auto"/>
              </w:rPr>
            </w:pPr>
          </w:p>
        </w:tc>
        <w:tc>
          <w:tcPr>
            <w:tcW w:w="1320" w:type="dxa"/>
            <w:vAlign w:val="bottom"/>
            <w:tcBorders>
              <w:bottom w:val="single" w:sz="8" w:color="auto"/>
              <w:right w:val="single" w:sz="8" w:color="auto"/>
            </w:tcBorders>
          </w:tcPr>
          <w:p>
            <w:pPr>
              <w:spacing w:after="0"/>
              <w:rPr>
                <w:sz w:val="24"/>
                <w:szCs w:val="24"/>
                <w:color w:val="auto"/>
              </w:rPr>
            </w:pPr>
          </w:p>
        </w:tc>
        <w:tc>
          <w:tcPr>
            <w:tcW w:w="202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56"/>
        </w:trPr>
        <w:tc>
          <w:tcPr>
            <w:tcW w:w="720" w:type="dxa"/>
            <w:vAlign w:val="bottom"/>
            <w:tcBorders>
              <w:left w:val="single" w:sz="8" w:color="auto"/>
              <w:right w:val="single" w:sz="8" w:color="auto"/>
            </w:tcBorders>
            <w:vMerge w:val="restart"/>
          </w:tcPr>
          <w:p>
            <w:pPr>
              <w:jc w:val="right"/>
              <w:ind w:right="190"/>
              <w:spacing w:after="0"/>
              <w:rPr>
                <w:sz w:val="20"/>
                <w:szCs w:val="20"/>
                <w:color w:val="auto"/>
              </w:rPr>
            </w:pPr>
            <w:r>
              <w:rPr>
                <w:rFonts w:ascii="Arial" w:cs="Arial" w:eastAsia="Arial" w:hAnsi="Arial"/>
                <w:sz w:val="18"/>
                <w:szCs w:val="18"/>
                <w:color w:val="auto"/>
              </w:rPr>
              <w:t>34</w:t>
            </w:r>
          </w:p>
        </w:tc>
        <w:tc>
          <w:tcPr>
            <w:tcW w:w="718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rPr>
              <w:t>Our interviews with suppliers show a disparity with company representations.</w:t>
            </w:r>
          </w:p>
        </w:tc>
        <w:tc>
          <w:tcPr>
            <w:tcW w:w="13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1"/>
              </w:rPr>
              <w:t>38-39</w:t>
            </w:r>
          </w:p>
        </w:tc>
        <w:tc>
          <w:tcPr>
            <w:tcW w:w="202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Other Challenge 13:</w:t>
            </w:r>
          </w:p>
        </w:tc>
        <w:tc>
          <w:tcPr>
            <w:tcW w:w="0" w:type="dxa"/>
            <w:vAlign w:val="bottom"/>
          </w:tcPr>
          <w:p>
            <w:pPr>
              <w:spacing w:after="0"/>
              <w:rPr>
                <w:sz w:val="1"/>
                <w:szCs w:val="1"/>
                <w:color w:val="auto"/>
              </w:rPr>
            </w:pPr>
          </w:p>
        </w:tc>
      </w:tr>
      <w:tr>
        <w:trPr>
          <w:trHeight w:val="122"/>
        </w:trPr>
        <w:tc>
          <w:tcPr>
            <w:tcW w:w="720" w:type="dxa"/>
            <w:vAlign w:val="bottom"/>
            <w:tcBorders>
              <w:left w:val="single" w:sz="8" w:color="auto"/>
              <w:right w:val="single" w:sz="8" w:color="auto"/>
            </w:tcBorders>
            <w:vMerge w:val="continue"/>
          </w:tcPr>
          <w:p>
            <w:pPr>
              <w:spacing w:after="0"/>
              <w:rPr>
                <w:sz w:val="10"/>
                <w:szCs w:val="10"/>
                <w:color w:val="auto"/>
              </w:rPr>
            </w:pPr>
          </w:p>
        </w:tc>
        <w:tc>
          <w:tcPr>
            <w:tcW w:w="7180" w:type="dxa"/>
            <w:vAlign w:val="bottom"/>
            <w:tcBorders>
              <w:right w:val="single" w:sz="8" w:color="auto"/>
            </w:tcBorders>
          </w:tcPr>
          <w:p>
            <w:pPr>
              <w:spacing w:after="0"/>
              <w:rPr>
                <w:sz w:val="10"/>
                <w:szCs w:val="10"/>
                <w:color w:val="auto"/>
              </w:rPr>
            </w:pPr>
          </w:p>
        </w:tc>
        <w:tc>
          <w:tcPr>
            <w:tcW w:w="1320" w:type="dxa"/>
            <w:vAlign w:val="bottom"/>
            <w:tcBorders>
              <w:right w:val="single" w:sz="8" w:color="auto"/>
            </w:tcBorders>
            <w:vMerge w:val="continue"/>
          </w:tcPr>
          <w:p>
            <w:pPr>
              <w:spacing w:after="0"/>
              <w:rPr>
                <w:sz w:val="10"/>
                <w:szCs w:val="10"/>
                <w:color w:val="auto"/>
              </w:rPr>
            </w:pPr>
          </w:p>
        </w:tc>
        <w:tc>
          <w:tcPr>
            <w:tcW w:w="2020" w:type="dxa"/>
            <w:vAlign w:val="bottom"/>
            <w:tcBorders>
              <w:right w:val="single" w:sz="8" w:color="auto"/>
            </w:tcBorders>
            <w:vMerge w:val="restart"/>
          </w:tcPr>
          <w:p>
            <w:pPr>
              <w:ind w:left="60"/>
              <w:spacing w:after="0"/>
              <w:rPr>
                <w:sz w:val="20"/>
                <w:szCs w:val="20"/>
                <w:color w:val="auto"/>
              </w:rPr>
            </w:pPr>
            <w:r>
              <w:rPr>
                <w:rFonts w:ascii="Arial" w:cs="Arial" w:eastAsia="Arial" w:hAnsi="Arial"/>
                <w:sz w:val="18"/>
                <w:szCs w:val="18"/>
                <w:color w:val="auto"/>
              </w:rPr>
              <w:t>About Supplier</w:t>
            </w:r>
          </w:p>
        </w:tc>
        <w:tc>
          <w:tcPr>
            <w:tcW w:w="0" w:type="dxa"/>
            <w:vAlign w:val="bottom"/>
          </w:tcPr>
          <w:p>
            <w:pPr>
              <w:spacing w:after="0"/>
              <w:rPr>
                <w:sz w:val="1"/>
                <w:szCs w:val="1"/>
                <w:color w:val="auto"/>
              </w:rPr>
            </w:pPr>
          </w:p>
        </w:tc>
      </w:tr>
      <w:tr>
        <w:trPr>
          <w:trHeight w:val="108"/>
        </w:trPr>
        <w:tc>
          <w:tcPr>
            <w:tcW w:w="720" w:type="dxa"/>
            <w:vAlign w:val="bottom"/>
            <w:tcBorders>
              <w:left w:val="single" w:sz="8" w:color="auto"/>
              <w:right w:val="single" w:sz="8" w:color="auto"/>
            </w:tcBorders>
          </w:tcPr>
          <w:p>
            <w:pPr>
              <w:spacing w:after="0"/>
              <w:rPr>
                <w:sz w:val="9"/>
                <w:szCs w:val="9"/>
                <w:color w:val="auto"/>
              </w:rPr>
            </w:pPr>
          </w:p>
        </w:tc>
        <w:tc>
          <w:tcPr>
            <w:tcW w:w="7180" w:type="dxa"/>
            <w:vAlign w:val="bottom"/>
            <w:tcBorders>
              <w:right w:val="single" w:sz="8" w:color="auto"/>
            </w:tcBorders>
          </w:tcPr>
          <w:p>
            <w:pPr>
              <w:spacing w:after="0"/>
              <w:rPr>
                <w:sz w:val="9"/>
                <w:szCs w:val="9"/>
                <w:color w:val="auto"/>
              </w:rPr>
            </w:pPr>
          </w:p>
        </w:tc>
        <w:tc>
          <w:tcPr>
            <w:tcW w:w="1320" w:type="dxa"/>
            <w:vAlign w:val="bottom"/>
            <w:tcBorders>
              <w:right w:val="single" w:sz="8" w:color="auto"/>
            </w:tcBorders>
          </w:tcPr>
          <w:p>
            <w:pPr>
              <w:spacing w:after="0"/>
              <w:rPr>
                <w:sz w:val="9"/>
                <w:szCs w:val="9"/>
                <w:color w:val="auto"/>
              </w:rPr>
            </w:pPr>
          </w:p>
        </w:tc>
        <w:tc>
          <w:tcPr>
            <w:tcW w:w="2020" w:type="dxa"/>
            <w:vAlign w:val="bottom"/>
            <w:tcBorders>
              <w:right w:val="single" w:sz="8" w:color="auto"/>
            </w:tcBorders>
            <w:vMerge w:val="continue"/>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720" w:type="dxa"/>
            <w:vAlign w:val="bottom"/>
            <w:tcBorders>
              <w:left w:val="single" w:sz="8" w:color="auto"/>
              <w:bottom w:val="single" w:sz="8" w:color="auto"/>
              <w:right w:val="single" w:sz="8" w:color="auto"/>
            </w:tcBorders>
          </w:tcPr>
          <w:p>
            <w:pPr>
              <w:spacing w:after="0"/>
              <w:rPr>
                <w:sz w:val="5"/>
                <w:szCs w:val="5"/>
                <w:color w:val="auto"/>
              </w:rPr>
            </w:pPr>
          </w:p>
        </w:tc>
        <w:tc>
          <w:tcPr>
            <w:tcW w:w="7180" w:type="dxa"/>
            <w:vAlign w:val="bottom"/>
            <w:tcBorders>
              <w:bottom w:val="single" w:sz="8" w:color="auto"/>
              <w:right w:val="single" w:sz="8" w:color="auto"/>
            </w:tcBorders>
          </w:tcPr>
          <w:p>
            <w:pPr>
              <w:spacing w:after="0"/>
              <w:rPr>
                <w:sz w:val="5"/>
                <w:szCs w:val="5"/>
                <w:color w:val="auto"/>
              </w:rPr>
            </w:pPr>
          </w:p>
        </w:tc>
        <w:tc>
          <w:tcPr>
            <w:tcW w:w="1320" w:type="dxa"/>
            <w:vAlign w:val="bottom"/>
            <w:tcBorders>
              <w:bottom w:val="single" w:sz="8" w:color="auto"/>
              <w:right w:val="single" w:sz="8" w:color="auto"/>
            </w:tcBorders>
          </w:tcPr>
          <w:p>
            <w:pPr>
              <w:spacing w:after="0"/>
              <w:rPr>
                <w:sz w:val="5"/>
                <w:szCs w:val="5"/>
                <w:color w:val="auto"/>
              </w:rPr>
            </w:pPr>
          </w:p>
        </w:tc>
        <w:tc>
          <w:tcPr>
            <w:tcW w:w="2020" w:type="dxa"/>
            <w:vAlign w:val="bottom"/>
            <w:tcBorders>
              <w:bottom w:val="single" w:sz="8" w:color="auto"/>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56"/>
        </w:trPr>
        <w:tc>
          <w:tcPr>
            <w:tcW w:w="720" w:type="dxa"/>
            <w:vAlign w:val="bottom"/>
            <w:tcBorders>
              <w:left w:val="single" w:sz="8" w:color="auto"/>
              <w:right w:val="single" w:sz="8" w:color="auto"/>
            </w:tcBorders>
          </w:tcPr>
          <w:p>
            <w:pPr>
              <w:spacing w:after="0"/>
              <w:rPr>
                <w:sz w:val="22"/>
                <w:szCs w:val="22"/>
                <w:color w:val="auto"/>
              </w:rPr>
            </w:pPr>
          </w:p>
        </w:tc>
        <w:tc>
          <w:tcPr>
            <w:tcW w:w="718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w w:val="91"/>
              </w:rPr>
              <w:t>The company is pushing to IPO substantially all the company assets in Shanghai in order to raise</w:t>
            </w:r>
          </w:p>
        </w:tc>
        <w:tc>
          <w:tcPr>
            <w:tcW w:w="1320" w:type="dxa"/>
            <w:vAlign w:val="bottom"/>
            <w:tcBorders>
              <w:right w:val="single" w:sz="8" w:color="auto"/>
            </w:tcBorders>
          </w:tcPr>
          <w:p>
            <w:pPr>
              <w:spacing w:after="0"/>
              <w:rPr>
                <w:sz w:val="22"/>
                <w:szCs w:val="22"/>
                <w:color w:val="auto"/>
              </w:rPr>
            </w:pPr>
          </w:p>
        </w:tc>
        <w:tc>
          <w:tcPr>
            <w:tcW w:w="2020" w:type="dxa"/>
            <w:vAlign w:val="bottom"/>
            <w:tcBorders>
              <w:right w:val="single" w:sz="8" w:color="auto"/>
            </w:tcBorders>
            <w:vMerge w:val="restart"/>
          </w:tcPr>
          <w:p>
            <w:pPr>
              <w:ind w:left="60"/>
              <w:spacing w:after="0"/>
              <w:rPr>
                <w:sz w:val="20"/>
                <w:szCs w:val="20"/>
                <w:color w:val="auto"/>
              </w:rPr>
            </w:pPr>
            <w:r>
              <w:rPr>
                <w:rFonts w:ascii="Arial" w:cs="Arial" w:eastAsia="Arial" w:hAnsi="Arial"/>
                <w:sz w:val="18"/>
                <w:szCs w:val="18"/>
                <w:color w:val="auto"/>
              </w:rPr>
              <w:t>Other Challenge 17:</w:t>
            </w:r>
          </w:p>
        </w:tc>
        <w:tc>
          <w:tcPr>
            <w:tcW w:w="0" w:type="dxa"/>
            <w:vAlign w:val="bottom"/>
          </w:tcPr>
          <w:p>
            <w:pPr>
              <w:spacing w:after="0"/>
              <w:rPr>
                <w:sz w:val="1"/>
                <w:szCs w:val="1"/>
                <w:color w:val="auto"/>
              </w:rPr>
            </w:pPr>
          </w:p>
        </w:tc>
      </w:tr>
      <w:tr>
        <w:trPr>
          <w:trHeight w:val="108"/>
        </w:trPr>
        <w:tc>
          <w:tcPr>
            <w:tcW w:w="720" w:type="dxa"/>
            <w:vAlign w:val="bottom"/>
            <w:tcBorders>
              <w:left w:val="single" w:sz="8" w:color="auto"/>
              <w:right w:val="single" w:sz="8" w:color="auto"/>
            </w:tcBorders>
            <w:vMerge w:val="restart"/>
          </w:tcPr>
          <w:p>
            <w:pPr>
              <w:jc w:val="right"/>
              <w:ind w:right="190"/>
              <w:spacing w:after="0"/>
              <w:rPr>
                <w:sz w:val="20"/>
                <w:szCs w:val="20"/>
                <w:color w:val="auto"/>
              </w:rPr>
            </w:pPr>
            <w:r>
              <w:rPr>
                <w:rFonts w:ascii="Arial" w:cs="Arial" w:eastAsia="Arial" w:hAnsi="Arial"/>
                <w:sz w:val="18"/>
                <w:szCs w:val="18"/>
                <w:color w:val="auto"/>
              </w:rPr>
              <w:t>35</w:t>
            </w:r>
          </w:p>
        </w:tc>
        <w:tc>
          <w:tcPr>
            <w:tcW w:w="7180" w:type="dxa"/>
            <w:vAlign w:val="bottom"/>
            <w:tcBorders>
              <w:right w:val="single" w:sz="8" w:color="auto"/>
            </w:tcBorders>
            <w:vMerge w:val="restart"/>
          </w:tcPr>
          <w:p>
            <w:pPr>
              <w:ind w:left="40"/>
              <w:spacing w:after="0"/>
              <w:rPr>
                <w:sz w:val="20"/>
                <w:szCs w:val="20"/>
                <w:color w:val="auto"/>
              </w:rPr>
            </w:pPr>
            <w:r>
              <w:rPr>
                <w:rFonts w:ascii="Arial" w:cs="Arial" w:eastAsia="Arial" w:hAnsi="Arial"/>
                <w:sz w:val="18"/>
                <w:szCs w:val="18"/>
                <w:color w:val="auto"/>
              </w:rPr>
              <w:t>cash</w:t>
            </w:r>
          </w:p>
        </w:tc>
        <w:tc>
          <w:tcPr>
            <w:tcW w:w="13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89"/>
              </w:rPr>
              <w:t>41</w:t>
            </w:r>
          </w:p>
        </w:tc>
        <w:tc>
          <w:tcPr>
            <w:tcW w:w="2020" w:type="dxa"/>
            <w:vAlign w:val="bottom"/>
            <w:tcBorders>
              <w:right w:val="single" w:sz="8" w:color="auto"/>
            </w:tcBorders>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22"/>
        </w:trPr>
        <w:tc>
          <w:tcPr>
            <w:tcW w:w="720" w:type="dxa"/>
            <w:vAlign w:val="bottom"/>
            <w:tcBorders>
              <w:left w:val="single" w:sz="8" w:color="auto"/>
              <w:right w:val="single" w:sz="8" w:color="auto"/>
            </w:tcBorders>
            <w:vMerge w:val="continue"/>
          </w:tcPr>
          <w:p>
            <w:pPr>
              <w:spacing w:after="0"/>
              <w:rPr>
                <w:sz w:val="10"/>
                <w:szCs w:val="10"/>
                <w:color w:val="auto"/>
              </w:rPr>
            </w:pPr>
          </w:p>
        </w:tc>
        <w:tc>
          <w:tcPr>
            <w:tcW w:w="7180" w:type="dxa"/>
            <w:vAlign w:val="bottom"/>
            <w:tcBorders>
              <w:right w:val="single" w:sz="8" w:color="auto"/>
            </w:tcBorders>
            <w:vMerge w:val="continue"/>
          </w:tcPr>
          <w:p>
            <w:pPr>
              <w:spacing w:after="0"/>
              <w:rPr>
                <w:sz w:val="10"/>
                <w:szCs w:val="10"/>
                <w:color w:val="auto"/>
              </w:rPr>
            </w:pPr>
          </w:p>
        </w:tc>
        <w:tc>
          <w:tcPr>
            <w:tcW w:w="1320" w:type="dxa"/>
            <w:vAlign w:val="bottom"/>
            <w:tcBorders>
              <w:right w:val="single" w:sz="8" w:color="auto"/>
            </w:tcBorders>
            <w:vMerge w:val="continue"/>
          </w:tcPr>
          <w:p>
            <w:pPr>
              <w:spacing w:after="0"/>
              <w:rPr>
                <w:sz w:val="10"/>
                <w:szCs w:val="10"/>
                <w:color w:val="auto"/>
              </w:rPr>
            </w:pPr>
          </w:p>
        </w:tc>
        <w:tc>
          <w:tcPr>
            <w:tcW w:w="2020" w:type="dxa"/>
            <w:vAlign w:val="bottom"/>
            <w:tcBorders>
              <w:right w:val="single" w:sz="8" w:color="auto"/>
            </w:tcBorders>
            <w:vMerge w:val="restart"/>
          </w:tcPr>
          <w:p>
            <w:pPr>
              <w:ind w:left="60"/>
              <w:spacing w:after="0"/>
              <w:rPr>
                <w:sz w:val="20"/>
                <w:szCs w:val="20"/>
                <w:color w:val="auto"/>
              </w:rPr>
            </w:pPr>
            <w:r>
              <w:rPr>
                <w:rFonts w:ascii="Arial" w:cs="Arial" w:eastAsia="Arial" w:hAnsi="Arial"/>
                <w:sz w:val="18"/>
                <w:szCs w:val="18"/>
                <w:color w:val="auto"/>
                <w:w w:val="99"/>
              </w:rPr>
              <w:t>About Other Challenges</w:t>
            </w:r>
          </w:p>
        </w:tc>
        <w:tc>
          <w:tcPr>
            <w:tcW w:w="0" w:type="dxa"/>
            <w:vAlign w:val="bottom"/>
          </w:tcPr>
          <w:p>
            <w:pPr>
              <w:spacing w:after="0"/>
              <w:rPr>
                <w:sz w:val="1"/>
                <w:szCs w:val="1"/>
                <w:color w:val="auto"/>
              </w:rPr>
            </w:pPr>
          </w:p>
        </w:tc>
      </w:tr>
      <w:tr>
        <w:trPr>
          <w:trHeight w:val="108"/>
        </w:trPr>
        <w:tc>
          <w:tcPr>
            <w:tcW w:w="720" w:type="dxa"/>
            <w:vAlign w:val="bottom"/>
            <w:tcBorders>
              <w:left w:val="single" w:sz="8" w:color="auto"/>
              <w:right w:val="single" w:sz="8" w:color="auto"/>
            </w:tcBorders>
          </w:tcPr>
          <w:p>
            <w:pPr>
              <w:spacing w:after="0"/>
              <w:rPr>
                <w:sz w:val="9"/>
                <w:szCs w:val="9"/>
                <w:color w:val="auto"/>
              </w:rPr>
            </w:pPr>
          </w:p>
        </w:tc>
        <w:tc>
          <w:tcPr>
            <w:tcW w:w="7180" w:type="dxa"/>
            <w:vAlign w:val="bottom"/>
            <w:tcBorders>
              <w:right w:val="single" w:sz="8" w:color="auto"/>
            </w:tcBorders>
          </w:tcPr>
          <w:p>
            <w:pPr>
              <w:spacing w:after="0"/>
              <w:rPr>
                <w:sz w:val="9"/>
                <w:szCs w:val="9"/>
                <w:color w:val="auto"/>
              </w:rPr>
            </w:pPr>
          </w:p>
        </w:tc>
        <w:tc>
          <w:tcPr>
            <w:tcW w:w="1320" w:type="dxa"/>
            <w:vAlign w:val="bottom"/>
            <w:tcBorders>
              <w:right w:val="single" w:sz="8" w:color="auto"/>
            </w:tcBorders>
          </w:tcPr>
          <w:p>
            <w:pPr>
              <w:spacing w:after="0"/>
              <w:rPr>
                <w:sz w:val="9"/>
                <w:szCs w:val="9"/>
                <w:color w:val="auto"/>
              </w:rPr>
            </w:pPr>
          </w:p>
        </w:tc>
        <w:tc>
          <w:tcPr>
            <w:tcW w:w="2020" w:type="dxa"/>
            <w:vAlign w:val="bottom"/>
            <w:tcBorders>
              <w:right w:val="single" w:sz="8" w:color="auto"/>
            </w:tcBorders>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69"/>
        </w:trPr>
        <w:tc>
          <w:tcPr>
            <w:tcW w:w="720" w:type="dxa"/>
            <w:vAlign w:val="bottom"/>
            <w:tcBorders>
              <w:left w:val="single" w:sz="8" w:color="auto"/>
              <w:bottom w:val="single" w:sz="8" w:color="auto"/>
              <w:right w:val="single" w:sz="8" w:color="auto"/>
            </w:tcBorders>
          </w:tcPr>
          <w:p>
            <w:pPr>
              <w:spacing w:after="0"/>
              <w:rPr>
                <w:sz w:val="14"/>
                <w:szCs w:val="14"/>
                <w:color w:val="auto"/>
              </w:rPr>
            </w:pPr>
          </w:p>
        </w:tc>
        <w:tc>
          <w:tcPr>
            <w:tcW w:w="7180" w:type="dxa"/>
            <w:vAlign w:val="bottom"/>
            <w:tcBorders>
              <w:bottom w:val="single" w:sz="8" w:color="auto"/>
              <w:right w:val="single" w:sz="8" w:color="auto"/>
            </w:tcBorders>
          </w:tcPr>
          <w:p>
            <w:pPr>
              <w:spacing w:after="0"/>
              <w:rPr>
                <w:sz w:val="14"/>
                <w:szCs w:val="14"/>
                <w:color w:val="auto"/>
              </w:rPr>
            </w:pPr>
          </w:p>
        </w:tc>
        <w:tc>
          <w:tcPr>
            <w:tcW w:w="1320" w:type="dxa"/>
            <w:vAlign w:val="bottom"/>
            <w:tcBorders>
              <w:bottom w:val="single" w:sz="8" w:color="auto"/>
              <w:right w:val="single" w:sz="8" w:color="auto"/>
            </w:tcBorders>
          </w:tcPr>
          <w:p>
            <w:pPr>
              <w:spacing w:after="0"/>
              <w:rPr>
                <w:sz w:val="14"/>
                <w:szCs w:val="14"/>
                <w:color w:val="auto"/>
              </w:rPr>
            </w:pPr>
          </w:p>
        </w:tc>
        <w:tc>
          <w:tcPr>
            <w:tcW w:w="202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70"/>
        </w:trPr>
        <w:tc>
          <w:tcPr>
            <w:tcW w:w="720" w:type="dxa"/>
            <w:vAlign w:val="bottom"/>
            <w:tcBorders>
              <w:left w:val="single" w:sz="8" w:color="auto"/>
              <w:right w:val="single" w:sz="8" w:color="auto"/>
            </w:tcBorders>
          </w:tcPr>
          <w:p>
            <w:pPr>
              <w:spacing w:after="0"/>
              <w:rPr>
                <w:sz w:val="23"/>
                <w:szCs w:val="23"/>
                <w:color w:val="auto"/>
              </w:rPr>
            </w:pPr>
          </w:p>
        </w:tc>
        <w:tc>
          <w:tcPr>
            <w:tcW w:w="718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rPr>
              <w:t>Customers on the U.S. blacklist</w:t>
            </w:r>
          </w:p>
        </w:tc>
        <w:tc>
          <w:tcPr>
            <w:tcW w:w="1320" w:type="dxa"/>
            <w:vAlign w:val="bottom"/>
            <w:tcBorders>
              <w:right w:val="single" w:sz="8" w:color="auto"/>
            </w:tcBorders>
          </w:tcPr>
          <w:p>
            <w:pPr>
              <w:spacing w:after="0"/>
              <w:rPr>
                <w:sz w:val="23"/>
                <w:szCs w:val="23"/>
                <w:color w:val="auto"/>
              </w:rPr>
            </w:pPr>
          </w:p>
        </w:tc>
        <w:tc>
          <w:tcPr>
            <w:tcW w:w="202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418"/>
        </w:trPr>
        <w:tc>
          <w:tcPr>
            <w:tcW w:w="720" w:type="dxa"/>
            <w:vAlign w:val="bottom"/>
            <w:tcBorders>
              <w:left w:val="single" w:sz="8" w:color="auto"/>
              <w:right w:val="single" w:sz="8" w:color="auto"/>
            </w:tcBorders>
          </w:tcPr>
          <w:p>
            <w:pPr>
              <w:spacing w:after="0"/>
              <w:rPr>
                <w:sz w:val="24"/>
                <w:szCs w:val="24"/>
                <w:color w:val="auto"/>
              </w:rPr>
            </w:pPr>
          </w:p>
        </w:tc>
        <w:tc>
          <w:tcPr>
            <w:tcW w:w="718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w w:val="96"/>
              </w:rPr>
              <w:t>On September 8, shares of ACMR fell by 30% based on a rumor that the U.S. Department of</w:t>
            </w:r>
          </w:p>
        </w:tc>
        <w:tc>
          <w:tcPr>
            <w:tcW w:w="1320" w:type="dxa"/>
            <w:vAlign w:val="bottom"/>
            <w:tcBorders>
              <w:right w:val="single" w:sz="8" w:color="auto"/>
            </w:tcBorders>
          </w:tcPr>
          <w:p>
            <w:pPr>
              <w:spacing w:after="0"/>
              <w:rPr>
                <w:sz w:val="24"/>
                <w:szCs w:val="24"/>
                <w:color w:val="auto"/>
              </w:rPr>
            </w:pPr>
          </w:p>
        </w:tc>
        <w:tc>
          <w:tcPr>
            <w:tcW w:w="20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720" w:type="dxa"/>
            <w:vAlign w:val="bottom"/>
            <w:tcBorders>
              <w:left w:val="single" w:sz="8" w:color="auto"/>
              <w:right w:val="single" w:sz="8" w:color="auto"/>
            </w:tcBorders>
          </w:tcPr>
          <w:p>
            <w:pPr>
              <w:spacing w:after="0"/>
              <w:rPr>
                <w:sz w:val="18"/>
                <w:szCs w:val="18"/>
                <w:color w:val="auto"/>
              </w:rPr>
            </w:pPr>
          </w:p>
        </w:tc>
        <w:tc>
          <w:tcPr>
            <w:tcW w:w="718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w w:val="93"/>
              </w:rPr>
              <w:t>Commerce would blacklist a key customer, Semiconductor Manufacturing International (SMIC).</w:t>
            </w:r>
          </w:p>
        </w:tc>
        <w:tc>
          <w:tcPr>
            <w:tcW w:w="1320" w:type="dxa"/>
            <w:vAlign w:val="bottom"/>
            <w:tcBorders>
              <w:right w:val="single" w:sz="8" w:color="auto"/>
            </w:tcBorders>
          </w:tcPr>
          <w:p>
            <w:pPr>
              <w:spacing w:after="0"/>
              <w:rPr>
                <w:sz w:val="18"/>
                <w:szCs w:val="18"/>
                <w:color w:val="auto"/>
              </w:rPr>
            </w:pPr>
          </w:p>
        </w:tc>
        <w:tc>
          <w:tcPr>
            <w:tcW w:w="202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20" w:type="dxa"/>
            <w:vAlign w:val="bottom"/>
            <w:tcBorders>
              <w:left w:val="single" w:sz="8" w:color="auto"/>
              <w:right w:val="single" w:sz="8" w:color="auto"/>
            </w:tcBorders>
          </w:tcPr>
          <w:p>
            <w:pPr>
              <w:spacing w:after="0"/>
              <w:rPr>
                <w:sz w:val="18"/>
                <w:szCs w:val="18"/>
                <w:color w:val="auto"/>
              </w:rPr>
            </w:pPr>
          </w:p>
        </w:tc>
        <w:tc>
          <w:tcPr>
            <w:tcW w:w="718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w w:val="93"/>
              </w:rPr>
              <w:t>Shares in SMIC had closed down 23% in Hong Kong on September 4, following reports that the</w:t>
            </w:r>
          </w:p>
        </w:tc>
        <w:tc>
          <w:tcPr>
            <w:tcW w:w="1320" w:type="dxa"/>
            <w:vAlign w:val="bottom"/>
            <w:tcBorders>
              <w:right w:val="single" w:sz="8" w:color="auto"/>
            </w:tcBorders>
          </w:tcPr>
          <w:p>
            <w:pPr>
              <w:spacing w:after="0"/>
              <w:rPr>
                <w:sz w:val="18"/>
                <w:szCs w:val="18"/>
                <w:color w:val="auto"/>
              </w:rPr>
            </w:pPr>
          </w:p>
        </w:tc>
        <w:tc>
          <w:tcPr>
            <w:tcW w:w="202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20" w:type="dxa"/>
            <w:vAlign w:val="bottom"/>
            <w:tcBorders>
              <w:left w:val="single" w:sz="8" w:color="auto"/>
              <w:right w:val="single" w:sz="8" w:color="auto"/>
            </w:tcBorders>
          </w:tcPr>
          <w:p>
            <w:pPr>
              <w:spacing w:after="0"/>
              <w:rPr>
                <w:sz w:val="18"/>
                <w:szCs w:val="18"/>
                <w:color w:val="auto"/>
              </w:rPr>
            </w:pPr>
          </w:p>
        </w:tc>
        <w:tc>
          <w:tcPr>
            <w:tcW w:w="718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w w:val="95"/>
              </w:rPr>
              <w:t>U.S. might blacklist the company.21 Being added to the U.S. “entity list” would mean that U.S.</w:t>
            </w:r>
          </w:p>
        </w:tc>
        <w:tc>
          <w:tcPr>
            <w:tcW w:w="1320" w:type="dxa"/>
            <w:vAlign w:val="bottom"/>
            <w:tcBorders>
              <w:right w:val="single" w:sz="8" w:color="auto"/>
            </w:tcBorders>
          </w:tcPr>
          <w:p>
            <w:pPr>
              <w:spacing w:after="0"/>
              <w:rPr>
                <w:sz w:val="18"/>
                <w:szCs w:val="18"/>
                <w:color w:val="auto"/>
              </w:rPr>
            </w:pPr>
          </w:p>
        </w:tc>
        <w:tc>
          <w:tcPr>
            <w:tcW w:w="202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20" w:type="dxa"/>
            <w:vAlign w:val="bottom"/>
            <w:tcBorders>
              <w:left w:val="single" w:sz="8" w:color="auto"/>
              <w:right w:val="single" w:sz="8" w:color="auto"/>
            </w:tcBorders>
          </w:tcPr>
          <w:p>
            <w:pPr>
              <w:spacing w:after="0"/>
              <w:rPr>
                <w:sz w:val="18"/>
                <w:szCs w:val="18"/>
                <w:color w:val="auto"/>
              </w:rPr>
            </w:pPr>
          </w:p>
        </w:tc>
        <w:tc>
          <w:tcPr>
            <w:tcW w:w="718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w w:val="93"/>
              </w:rPr>
              <w:t>companies would need a special license to do business with SMIC. SMIC is currently on a S&amp;P</w:t>
            </w:r>
          </w:p>
        </w:tc>
        <w:tc>
          <w:tcPr>
            <w:tcW w:w="1320" w:type="dxa"/>
            <w:vAlign w:val="bottom"/>
            <w:tcBorders>
              <w:right w:val="single" w:sz="8" w:color="auto"/>
            </w:tcBorders>
          </w:tcPr>
          <w:p>
            <w:pPr>
              <w:spacing w:after="0"/>
              <w:rPr>
                <w:sz w:val="18"/>
                <w:szCs w:val="18"/>
                <w:color w:val="auto"/>
              </w:rPr>
            </w:pPr>
          </w:p>
        </w:tc>
        <w:tc>
          <w:tcPr>
            <w:tcW w:w="2020" w:type="dxa"/>
            <w:vAlign w:val="bottom"/>
            <w:tcBorders>
              <w:right w:val="single" w:sz="8" w:color="auto"/>
            </w:tcBorders>
            <w:vMerge w:val="restart"/>
          </w:tcPr>
          <w:p>
            <w:pPr>
              <w:ind w:left="60"/>
              <w:spacing w:after="0"/>
              <w:rPr>
                <w:sz w:val="20"/>
                <w:szCs w:val="20"/>
                <w:color w:val="auto"/>
              </w:rPr>
            </w:pPr>
            <w:r>
              <w:rPr>
                <w:rFonts w:ascii="Arial" w:cs="Arial" w:eastAsia="Arial" w:hAnsi="Arial"/>
                <w:sz w:val="18"/>
                <w:szCs w:val="18"/>
                <w:color w:val="auto"/>
              </w:rPr>
              <w:t>Other Comments in the</w:t>
            </w:r>
          </w:p>
        </w:tc>
        <w:tc>
          <w:tcPr>
            <w:tcW w:w="0" w:type="dxa"/>
            <w:vAlign w:val="bottom"/>
          </w:tcPr>
          <w:p>
            <w:pPr>
              <w:spacing w:after="0"/>
              <w:rPr>
                <w:sz w:val="1"/>
                <w:szCs w:val="1"/>
                <w:color w:val="auto"/>
              </w:rPr>
            </w:pPr>
          </w:p>
        </w:tc>
      </w:tr>
      <w:tr>
        <w:trPr>
          <w:trHeight w:val="108"/>
        </w:trPr>
        <w:tc>
          <w:tcPr>
            <w:tcW w:w="720" w:type="dxa"/>
            <w:vAlign w:val="bottom"/>
            <w:tcBorders>
              <w:left w:val="single" w:sz="8" w:color="auto"/>
              <w:right w:val="single" w:sz="8" w:color="auto"/>
            </w:tcBorders>
            <w:vMerge w:val="restart"/>
          </w:tcPr>
          <w:p>
            <w:pPr>
              <w:jc w:val="right"/>
              <w:ind w:right="190"/>
              <w:spacing w:after="0"/>
              <w:rPr>
                <w:sz w:val="20"/>
                <w:szCs w:val="20"/>
                <w:color w:val="auto"/>
              </w:rPr>
            </w:pPr>
            <w:r>
              <w:rPr>
                <w:rFonts w:ascii="Arial" w:cs="Arial" w:eastAsia="Arial" w:hAnsi="Arial"/>
                <w:sz w:val="18"/>
                <w:szCs w:val="18"/>
                <w:color w:val="auto"/>
              </w:rPr>
              <w:t>36</w:t>
            </w:r>
          </w:p>
        </w:tc>
        <w:tc>
          <w:tcPr>
            <w:tcW w:w="7180" w:type="dxa"/>
            <w:vAlign w:val="bottom"/>
            <w:tcBorders>
              <w:right w:val="single" w:sz="8" w:color="auto"/>
            </w:tcBorders>
            <w:vMerge w:val="restart"/>
          </w:tcPr>
          <w:p>
            <w:pPr>
              <w:ind w:left="40"/>
              <w:spacing w:after="0"/>
              <w:rPr>
                <w:sz w:val="20"/>
                <w:szCs w:val="20"/>
                <w:color w:val="auto"/>
              </w:rPr>
            </w:pPr>
            <w:r>
              <w:rPr>
                <w:rFonts w:ascii="Arial" w:cs="Arial" w:eastAsia="Arial" w:hAnsi="Arial"/>
                <w:sz w:val="18"/>
                <w:szCs w:val="18"/>
                <w:color w:val="auto"/>
                <w:w w:val="99"/>
              </w:rPr>
              <w:t>BBB- rating, just above junk bond level. Shares have come back, but we believe based on</w:t>
            </w:r>
          </w:p>
        </w:tc>
        <w:tc>
          <w:tcPr>
            <w:tcW w:w="13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89"/>
              </w:rPr>
              <w:t>42</w:t>
            </w:r>
          </w:p>
        </w:tc>
        <w:tc>
          <w:tcPr>
            <w:tcW w:w="2020" w:type="dxa"/>
            <w:vAlign w:val="bottom"/>
            <w:tcBorders>
              <w:right w:val="single" w:sz="8" w:color="auto"/>
            </w:tcBorders>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720" w:type="dxa"/>
            <w:vAlign w:val="bottom"/>
            <w:tcBorders>
              <w:left w:val="single" w:sz="8" w:color="auto"/>
              <w:right w:val="single" w:sz="8" w:color="auto"/>
            </w:tcBorders>
            <w:vMerge w:val="continue"/>
          </w:tcPr>
          <w:p>
            <w:pPr>
              <w:spacing w:after="0"/>
              <w:rPr>
                <w:sz w:val="9"/>
                <w:szCs w:val="9"/>
                <w:color w:val="auto"/>
              </w:rPr>
            </w:pPr>
          </w:p>
        </w:tc>
        <w:tc>
          <w:tcPr>
            <w:tcW w:w="7180" w:type="dxa"/>
            <w:vAlign w:val="bottom"/>
            <w:tcBorders>
              <w:right w:val="single" w:sz="8" w:color="auto"/>
            </w:tcBorders>
            <w:vMerge w:val="continue"/>
          </w:tcPr>
          <w:p>
            <w:pPr>
              <w:spacing w:after="0"/>
              <w:rPr>
                <w:sz w:val="9"/>
                <w:szCs w:val="9"/>
                <w:color w:val="auto"/>
              </w:rPr>
            </w:pPr>
          </w:p>
        </w:tc>
        <w:tc>
          <w:tcPr>
            <w:tcW w:w="1320" w:type="dxa"/>
            <w:vAlign w:val="bottom"/>
            <w:tcBorders>
              <w:right w:val="single" w:sz="8" w:color="auto"/>
            </w:tcBorders>
            <w:vMerge w:val="continue"/>
          </w:tcPr>
          <w:p>
            <w:pPr>
              <w:spacing w:after="0"/>
              <w:rPr>
                <w:sz w:val="9"/>
                <w:szCs w:val="9"/>
                <w:color w:val="auto"/>
              </w:rPr>
            </w:pPr>
          </w:p>
        </w:tc>
        <w:tc>
          <w:tcPr>
            <w:tcW w:w="2020" w:type="dxa"/>
            <w:vAlign w:val="bottom"/>
            <w:tcBorders>
              <w:right w:val="single" w:sz="8" w:color="auto"/>
            </w:tcBorders>
            <w:vMerge w:val="restart"/>
          </w:tcPr>
          <w:p>
            <w:pPr>
              <w:ind w:left="60"/>
              <w:spacing w:after="0"/>
              <w:rPr>
                <w:sz w:val="20"/>
                <w:szCs w:val="20"/>
                <w:color w:val="auto"/>
              </w:rPr>
            </w:pPr>
            <w:r>
              <w:rPr>
                <w:rFonts w:ascii="Arial" w:cs="Arial" w:eastAsia="Arial" w:hAnsi="Arial"/>
                <w:sz w:val="18"/>
                <w:szCs w:val="18"/>
                <w:color w:val="auto"/>
              </w:rPr>
              <w:t>Short-sell Report</w:t>
            </w:r>
          </w:p>
        </w:tc>
        <w:tc>
          <w:tcPr>
            <w:tcW w:w="0" w:type="dxa"/>
            <w:vAlign w:val="bottom"/>
          </w:tcPr>
          <w:p>
            <w:pPr>
              <w:spacing w:after="0"/>
              <w:rPr>
                <w:sz w:val="1"/>
                <w:szCs w:val="1"/>
                <w:color w:val="auto"/>
              </w:rPr>
            </w:pPr>
          </w:p>
        </w:tc>
      </w:tr>
      <w:tr>
        <w:trPr>
          <w:trHeight w:val="122"/>
        </w:trPr>
        <w:tc>
          <w:tcPr>
            <w:tcW w:w="720" w:type="dxa"/>
            <w:vAlign w:val="bottom"/>
            <w:tcBorders>
              <w:left w:val="single" w:sz="8" w:color="auto"/>
              <w:right w:val="single" w:sz="8" w:color="auto"/>
            </w:tcBorders>
          </w:tcPr>
          <w:p>
            <w:pPr>
              <w:spacing w:after="0"/>
              <w:rPr>
                <w:sz w:val="10"/>
                <w:szCs w:val="10"/>
                <w:color w:val="auto"/>
              </w:rPr>
            </w:pPr>
          </w:p>
        </w:tc>
        <w:tc>
          <w:tcPr>
            <w:tcW w:w="7180" w:type="dxa"/>
            <w:vAlign w:val="bottom"/>
            <w:tcBorders>
              <w:right w:val="single" w:sz="8" w:color="auto"/>
            </w:tcBorders>
            <w:vMerge w:val="restart"/>
          </w:tcPr>
          <w:p>
            <w:pPr>
              <w:ind w:left="40"/>
              <w:spacing w:after="0"/>
              <w:rPr>
                <w:sz w:val="20"/>
                <w:szCs w:val="20"/>
                <w:color w:val="auto"/>
              </w:rPr>
            </w:pPr>
            <w:r>
              <w:rPr>
                <w:rFonts w:ascii="Arial" w:cs="Arial" w:eastAsia="Arial" w:hAnsi="Arial"/>
                <w:sz w:val="18"/>
                <w:szCs w:val="18"/>
                <w:color w:val="auto"/>
                <w:w w:val="95"/>
              </w:rPr>
              <w:t>conversations with U.S. government sources that SMIC will ultimately be blacklisted. We think</w:t>
            </w:r>
          </w:p>
        </w:tc>
        <w:tc>
          <w:tcPr>
            <w:tcW w:w="1320" w:type="dxa"/>
            <w:vAlign w:val="bottom"/>
            <w:tcBorders>
              <w:right w:val="single" w:sz="8" w:color="auto"/>
            </w:tcBorders>
          </w:tcPr>
          <w:p>
            <w:pPr>
              <w:spacing w:after="0"/>
              <w:rPr>
                <w:sz w:val="10"/>
                <w:szCs w:val="10"/>
                <w:color w:val="auto"/>
              </w:rPr>
            </w:pPr>
          </w:p>
        </w:tc>
        <w:tc>
          <w:tcPr>
            <w:tcW w:w="2020" w:type="dxa"/>
            <w:vAlign w:val="bottom"/>
            <w:tcBorders>
              <w:right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4"/>
        </w:trPr>
        <w:tc>
          <w:tcPr>
            <w:tcW w:w="720" w:type="dxa"/>
            <w:vAlign w:val="bottom"/>
            <w:tcBorders>
              <w:left w:val="single" w:sz="8" w:color="auto"/>
              <w:right w:val="single" w:sz="8" w:color="auto"/>
            </w:tcBorders>
          </w:tcPr>
          <w:p>
            <w:pPr>
              <w:spacing w:after="0"/>
              <w:rPr>
                <w:sz w:val="8"/>
                <w:szCs w:val="8"/>
                <w:color w:val="auto"/>
              </w:rPr>
            </w:pPr>
          </w:p>
        </w:tc>
        <w:tc>
          <w:tcPr>
            <w:tcW w:w="7180" w:type="dxa"/>
            <w:vAlign w:val="bottom"/>
            <w:tcBorders>
              <w:right w:val="single" w:sz="8" w:color="auto"/>
            </w:tcBorders>
            <w:vMerge w:val="continue"/>
          </w:tcPr>
          <w:p>
            <w:pPr>
              <w:spacing w:after="0"/>
              <w:rPr>
                <w:sz w:val="8"/>
                <w:szCs w:val="8"/>
                <w:color w:val="auto"/>
              </w:rPr>
            </w:pPr>
          </w:p>
        </w:tc>
        <w:tc>
          <w:tcPr>
            <w:tcW w:w="1320" w:type="dxa"/>
            <w:vAlign w:val="bottom"/>
            <w:tcBorders>
              <w:right w:val="single" w:sz="8" w:color="auto"/>
            </w:tcBorders>
          </w:tcPr>
          <w:p>
            <w:pPr>
              <w:spacing w:after="0"/>
              <w:rPr>
                <w:sz w:val="8"/>
                <w:szCs w:val="8"/>
                <w:color w:val="auto"/>
              </w:rPr>
            </w:pPr>
          </w:p>
        </w:tc>
        <w:tc>
          <w:tcPr>
            <w:tcW w:w="2020" w:type="dxa"/>
            <w:vAlign w:val="bottom"/>
            <w:tcBorders>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720" w:type="dxa"/>
            <w:vAlign w:val="bottom"/>
            <w:tcBorders>
              <w:left w:val="single" w:sz="8" w:color="auto"/>
              <w:right w:val="single" w:sz="8" w:color="auto"/>
            </w:tcBorders>
          </w:tcPr>
          <w:p>
            <w:pPr>
              <w:spacing w:after="0"/>
              <w:rPr>
                <w:sz w:val="18"/>
                <w:szCs w:val="18"/>
                <w:color w:val="auto"/>
              </w:rPr>
            </w:pPr>
          </w:p>
        </w:tc>
        <w:tc>
          <w:tcPr>
            <w:tcW w:w="718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w w:val="94"/>
              </w:rPr>
              <w:t>there is a possibility that all of ACMR’s Chinese customers—about 80% of sales, if SK Hynix is</w:t>
            </w:r>
          </w:p>
        </w:tc>
        <w:tc>
          <w:tcPr>
            <w:tcW w:w="1320" w:type="dxa"/>
            <w:vAlign w:val="bottom"/>
            <w:tcBorders>
              <w:right w:val="single" w:sz="8" w:color="auto"/>
            </w:tcBorders>
          </w:tcPr>
          <w:p>
            <w:pPr>
              <w:spacing w:after="0"/>
              <w:rPr>
                <w:sz w:val="18"/>
                <w:szCs w:val="18"/>
                <w:color w:val="auto"/>
              </w:rPr>
            </w:pPr>
          </w:p>
        </w:tc>
        <w:tc>
          <w:tcPr>
            <w:tcW w:w="202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20" w:type="dxa"/>
            <w:vAlign w:val="bottom"/>
            <w:tcBorders>
              <w:left w:val="single" w:sz="8" w:color="auto"/>
              <w:right w:val="single" w:sz="8" w:color="auto"/>
            </w:tcBorders>
          </w:tcPr>
          <w:p>
            <w:pPr>
              <w:spacing w:after="0"/>
              <w:rPr>
                <w:sz w:val="18"/>
                <w:szCs w:val="18"/>
                <w:color w:val="auto"/>
              </w:rPr>
            </w:pPr>
          </w:p>
        </w:tc>
        <w:tc>
          <w:tcPr>
            <w:tcW w:w="718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w w:val="99"/>
              </w:rPr>
              <w:t>reclassified as Korean—will come under U.S. sanctions. Selling low-quality equipment for</w:t>
            </w:r>
          </w:p>
        </w:tc>
        <w:tc>
          <w:tcPr>
            <w:tcW w:w="1320" w:type="dxa"/>
            <w:vAlign w:val="bottom"/>
            <w:tcBorders>
              <w:right w:val="single" w:sz="8" w:color="auto"/>
            </w:tcBorders>
          </w:tcPr>
          <w:p>
            <w:pPr>
              <w:spacing w:after="0"/>
              <w:rPr>
                <w:sz w:val="18"/>
                <w:szCs w:val="18"/>
                <w:color w:val="auto"/>
              </w:rPr>
            </w:pPr>
          </w:p>
        </w:tc>
        <w:tc>
          <w:tcPr>
            <w:tcW w:w="202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20" w:type="dxa"/>
            <w:vAlign w:val="bottom"/>
            <w:tcBorders>
              <w:left w:val="single" w:sz="8" w:color="auto"/>
              <w:right w:val="single" w:sz="8" w:color="auto"/>
            </w:tcBorders>
          </w:tcPr>
          <w:p>
            <w:pPr>
              <w:spacing w:after="0"/>
              <w:rPr>
                <w:sz w:val="18"/>
                <w:szCs w:val="18"/>
                <w:color w:val="auto"/>
              </w:rPr>
            </w:pPr>
          </w:p>
        </w:tc>
        <w:tc>
          <w:tcPr>
            <w:tcW w:w="718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w w:val="97"/>
              </w:rPr>
              <w:t>discount prices, ACMR is able to penetrate independent Chinese fabs that earn government</w:t>
            </w:r>
          </w:p>
        </w:tc>
        <w:tc>
          <w:tcPr>
            <w:tcW w:w="1320" w:type="dxa"/>
            <w:vAlign w:val="bottom"/>
            <w:tcBorders>
              <w:right w:val="single" w:sz="8" w:color="auto"/>
            </w:tcBorders>
          </w:tcPr>
          <w:p>
            <w:pPr>
              <w:spacing w:after="0"/>
              <w:rPr>
                <w:sz w:val="18"/>
                <w:szCs w:val="18"/>
                <w:color w:val="auto"/>
              </w:rPr>
            </w:pPr>
          </w:p>
        </w:tc>
        <w:tc>
          <w:tcPr>
            <w:tcW w:w="202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20" w:type="dxa"/>
            <w:vAlign w:val="bottom"/>
            <w:tcBorders>
              <w:left w:val="single" w:sz="8" w:color="auto"/>
              <w:right w:val="single" w:sz="8" w:color="auto"/>
            </w:tcBorders>
          </w:tcPr>
          <w:p>
            <w:pPr>
              <w:spacing w:after="0"/>
              <w:rPr>
                <w:sz w:val="18"/>
                <w:szCs w:val="18"/>
                <w:color w:val="auto"/>
              </w:rPr>
            </w:pPr>
          </w:p>
        </w:tc>
        <w:tc>
          <w:tcPr>
            <w:tcW w:w="718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w w:val="95"/>
              </w:rPr>
              <w:t>subsidies for buying “domestic.” But ACMR will not penetrate companies like Intel and TSMC,</w:t>
            </w:r>
          </w:p>
        </w:tc>
        <w:tc>
          <w:tcPr>
            <w:tcW w:w="1320" w:type="dxa"/>
            <w:vAlign w:val="bottom"/>
            <w:tcBorders>
              <w:right w:val="single" w:sz="8" w:color="auto"/>
            </w:tcBorders>
          </w:tcPr>
          <w:p>
            <w:pPr>
              <w:spacing w:after="0"/>
              <w:rPr>
                <w:sz w:val="18"/>
                <w:szCs w:val="18"/>
                <w:color w:val="auto"/>
              </w:rPr>
            </w:pPr>
          </w:p>
        </w:tc>
        <w:tc>
          <w:tcPr>
            <w:tcW w:w="202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20" w:type="dxa"/>
            <w:vAlign w:val="bottom"/>
            <w:tcBorders>
              <w:left w:val="single" w:sz="8" w:color="auto"/>
              <w:right w:val="single" w:sz="8" w:color="auto"/>
            </w:tcBorders>
          </w:tcPr>
          <w:p>
            <w:pPr>
              <w:spacing w:after="0"/>
              <w:rPr>
                <w:sz w:val="18"/>
                <w:szCs w:val="18"/>
                <w:color w:val="auto"/>
              </w:rPr>
            </w:pPr>
          </w:p>
        </w:tc>
        <w:tc>
          <w:tcPr>
            <w:tcW w:w="718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w w:val="96"/>
              </w:rPr>
              <w:t>which require reliability and a track record. That means that the ACMR market is much more</w:t>
            </w:r>
          </w:p>
        </w:tc>
        <w:tc>
          <w:tcPr>
            <w:tcW w:w="1320" w:type="dxa"/>
            <w:vAlign w:val="bottom"/>
            <w:tcBorders>
              <w:right w:val="single" w:sz="8" w:color="auto"/>
            </w:tcBorders>
          </w:tcPr>
          <w:p>
            <w:pPr>
              <w:spacing w:after="0"/>
              <w:rPr>
                <w:sz w:val="18"/>
                <w:szCs w:val="18"/>
                <w:color w:val="auto"/>
              </w:rPr>
            </w:pPr>
          </w:p>
        </w:tc>
        <w:tc>
          <w:tcPr>
            <w:tcW w:w="202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20" w:type="dxa"/>
            <w:vAlign w:val="bottom"/>
            <w:tcBorders>
              <w:left w:val="single" w:sz="8" w:color="auto"/>
              <w:right w:val="single" w:sz="8" w:color="auto"/>
            </w:tcBorders>
          </w:tcPr>
          <w:p>
            <w:pPr>
              <w:spacing w:after="0"/>
              <w:rPr>
                <w:sz w:val="20"/>
                <w:szCs w:val="20"/>
                <w:color w:val="auto"/>
              </w:rPr>
            </w:pPr>
          </w:p>
        </w:tc>
        <w:tc>
          <w:tcPr>
            <w:tcW w:w="718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rPr>
              <w:t>vulnerable to U.S. sanctions than are peers.</w:t>
            </w:r>
          </w:p>
        </w:tc>
        <w:tc>
          <w:tcPr>
            <w:tcW w:w="1320" w:type="dxa"/>
            <w:vAlign w:val="bottom"/>
            <w:tcBorders>
              <w:right w:val="single" w:sz="8" w:color="auto"/>
            </w:tcBorders>
          </w:tcPr>
          <w:p>
            <w:pPr>
              <w:spacing w:after="0"/>
              <w:rPr>
                <w:sz w:val="20"/>
                <w:szCs w:val="20"/>
                <w:color w:val="auto"/>
              </w:rPr>
            </w:pPr>
          </w:p>
        </w:tc>
        <w:tc>
          <w:tcPr>
            <w:tcW w:w="20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61"/>
        </w:trPr>
        <w:tc>
          <w:tcPr>
            <w:tcW w:w="720" w:type="dxa"/>
            <w:vAlign w:val="bottom"/>
            <w:tcBorders>
              <w:left w:val="single" w:sz="8" w:color="auto"/>
              <w:bottom w:val="single" w:sz="8" w:color="auto"/>
              <w:right w:val="single" w:sz="8" w:color="auto"/>
            </w:tcBorders>
          </w:tcPr>
          <w:p>
            <w:pPr>
              <w:spacing w:after="0"/>
              <w:rPr>
                <w:sz w:val="5"/>
                <w:szCs w:val="5"/>
                <w:color w:val="auto"/>
              </w:rPr>
            </w:pPr>
          </w:p>
        </w:tc>
        <w:tc>
          <w:tcPr>
            <w:tcW w:w="7180" w:type="dxa"/>
            <w:vAlign w:val="bottom"/>
            <w:tcBorders>
              <w:bottom w:val="single" w:sz="8" w:color="auto"/>
              <w:right w:val="single" w:sz="8" w:color="auto"/>
            </w:tcBorders>
          </w:tcPr>
          <w:p>
            <w:pPr>
              <w:spacing w:after="0"/>
              <w:rPr>
                <w:sz w:val="5"/>
                <w:szCs w:val="5"/>
                <w:color w:val="auto"/>
              </w:rPr>
            </w:pPr>
          </w:p>
        </w:tc>
        <w:tc>
          <w:tcPr>
            <w:tcW w:w="1320" w:type="dxa"/>
            <w:vAlign w:val="bottom"/>
            <w:tcBorders>
              <w:bottom w:val="single" w:sz="8" w:color="auto"/>
              <w:right w:val="single" w:sz="8" w:color="auto"/>
            </w:tcBorders>
          </w:tcPr>
          <w:p>
            <w:pPr>
              <w:spacing w:after="0"/>
              <w:rPr>
                <w:sz w:val="5"/>
                <w:szCs w:val="5"/>
                <w:color w:val="auto"/>
              </w:rPr>
            </w:pPr>
          </w:p>
        </w:tc>
        <w:tc>
          <w:tcPr>
            <w:tcW w:w="2020" w:type="dxa"/>
            <w:vAlign w:val="bottom"/>
            <w:tcBorders>
              <w:bottom w:val="single" w:sz="8" w:color="auto"/>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582"/>
        </w:trPr>
        <w:tc>
          <w:tcPr>
            <w:tcW w:w="720" w:type="dxa"/>
            <w:vAlign w:val="bottom"/>
          </w:tcPr>
          <w:p>
            <w:pPr>
              <w:spacing w:after="0"/>
              <w:rPr>
                <w:sz w:val="24"/>
                <w:szCs w:val="24"/>
                <w:color w:val="auto"/>
              </w:rPr>
            </w:pPr>
          </w:p>
        </w:tc>
        <w:tc>
          <w:tcPr>
            <w:tcW w:w="7180" w:type="dxa"/>
            <w:vAlign w:val="bottom"/>
          </w:tcPr>
          <w:p>
            <w:pPr>
              <w:ind w:left="4660"/>
              <w:spacing w:after="0"/>
              <w:rPr>
                <w:sz w:val="20"/>
                <w:szCs w:val="20"/>
                <w:color w:val="auto"/>
              </w:rPr>
            </w:pPr>
            <w:r>
              <w:rPr>
                <w:rFonts w:ascii="Arial" w:cs="Arial" w:eastAsia="Arial" w:hAnsi="Arial"/>
                <w:sz w:val="14"/>
                <w:szCs w:val="14"/>
                <w:color w:val="auto"/>
              </w:rPr>
              <w:t>8-4-1-13</w:t>
            </w:r>
          </w:p>
        </w:tc>
        <w:tc>
          <w:tcPr>
            <w:tcW w:w="1320" w:type="dxa"/>
            <w:vAlign w:val="bottom"/>
          </w:tcPr>
          <w:p>
            <w:pPr>
              <w:spacing w:after="0"/>
              <w:rPr>
                <w:sz w:val="24"/>
                <w:szCs w:val="24"/>
                <w:color w:val="auto"/>
              </w:rPr>
            </w:pPr>
          </w:p>
        </w:tc>
        <w:tc>
          <w:tcPr>
            <w:tcW w:w="2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6"/>
        </w:trPr>
        <w:tc>
          <w:tcPr>
            <w:tcW w:w="720" w:type="dxa"/>
            <w:vAlign w:val="bottom"/>
            <w:tcBorders>
              <w:bottom w:val="single" w:sz="8" w:color="auto"/>
            </w:tcBorders>
          </w:tcPr>
          <w:p>
            <w:pPr>
              <w:spacing w:after="0"/>
              <w:rPr>
                <w:sz w:val="4"/>
                <w:szCs w:val="4"/>
                <w:color w:val="auto"/>
              </w:rPr>
            </w:pPr>
          </w:p>
        </w:tc>
        <w:tc>
          <w:tcPr>
            <w:tcW w:w="7180" w:type="dxa"/>
            <w:vAlign w:val="bottom"/>
            <w:tcBorders>
              <w:bottom w:val="single" w:sz="8" w:color="auto"/>
            </w:tcBorders>
          </w:tcPr>
          <w:p>
            <w:pPr>
              <w:spacing w:after="0"/>
              <w:rPr>
                <w:sz w:val="4"/>
                <w:szCs w:val="4"/>
                <w:color w:val="auto"/>
              </w:rPr>
            </w:pPr>
          </w:p>
        </w:tc>
        <w:tc>
          <w:tcPr>
            <w:tcW w:w="1320" w:type="dxa"/>
            <w:vAlign w:val="bottom"/>
            <w:tcBorders>
              <w:bottom w:val="single" w:sz="8" w:color="auto"/>
            </w:tcBorders>
          </w:tcPr>
          <w:p>
            <w:pPr>
              <w:spacing w:after="0"/>
              <w:rPr>
                <w:sz w:val="4"/>
                <w:szCs w:val="4"/>
                <w:color w:val="auto"/>
              </w:rPr>
            </w:pPr>
          </w:p>
        </w:tc>
        <w:tc>
          <w:tcPr>
            <w:tcW w:w="202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120" w:right="339" w:bottom="1440" w:gutter="0" w:footer="0" w:header="0"/>
        </w:sectPr>
      </w:pPr>
    </w:p>
    <w:bookmarkStart w:id="17" w:name="page18"/>
    <w:bookmarkEnd w:id="17"/>
    <w:p>
      <w:pPr>
        <w:ind w:left="340"/>
        <w:spacing w:after="0"/>
        <w:rPr>
          <w:sz w:val="20"/>
          <w:szCs w:val="20"/>
          <w:color w:val="auto"/>
        </w:rPr>
      </w:pPr>
      <w:r>
        <w:rPr>
          <w:rFonts w:ascii="Arial" w:cs="Arial" w:eastAsia="Arial" w:hAnsi="Arial"/>
          <w:sz w:val="18"/>
          <w:szCs w:val="18"/>
          <w:b w:val="1"/>
          <w:bCs w:val="1"/>
          <w:color w:val="auto"/>
        </w:rPr>
        <w:t>Part A - Core Challenges in the Short-sell Report and the Responses thereto</w:t>
      </w:r>
    </w:p>
    <w:p>
      <w:pPr>
        <w:spacing w:after="0" w:line="252" w:lineRule="exact"/>
        <w:rPr>
          <w:sz w:val="20"/>
          <w:szCs w:val="20"/>
          <w:color w:val="auto"/>
        </w:rPr>
      </w:pPr>
    </w:p>
    <w:p>
      <w:pPr>
        <w:ind w:left="340" w:right="2420" w:hanging="8"/>
        <w:spacing w:after="0" w:line="534" w:lineRule="auto"/>
        <w:tabs>
          <w:tab w:leader="none" w:pos="520" w:val="left"/>
        </w:tabs>
        <w:numPr>
          <w:ilvl w:val="0"/>
          <w:numId w:val="6"/>
        </w:numPr>
        <w:rPr>
          <w:rFonts w:ascii="Arial" w:cs="Arial" w:eastAsia="Arial" w:hAnsi="Arial"/>
          <w:sz w:val="18"/>
          <w:szCs w:val="18"/>
          <w:b w:val="1"/>
          <w:bCs w:val="1"/>
          <w:color w:val="auto"/>
        </w:rPr>
      </w:pPr>
      <w:r>
        <w:rPr>
          <w:rFonts w:ascii="Arial" w:cs="Arial" w:eastAsia="Arial" w:hAnsi="Arial"/>
          <w:sz w:val="18"/>
          <w:szCs w:val="18"/>
          <w:b w:val="1"/>
          <w:bCs w:val="1"/>
          <w:color w:val="auto"/>
        </w:rPr>
        <w:t>Core Challenge 1: About Equipment Price ( Index of Verification in Response to the Short-sell Report, No.3) Challenge in the Short-sell Report (Short-sell Report, p.4):</w:t>
      </w:r>
    </w:p>
    <w:p>
      <w:pPr>
        <w:spacing w:after="0" w:line="1"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“Hyped. We think ACMR overstates the price of many of its machines by about 20%. The actual costs, revenue, and profit are hidden when the company diverts revenue from over 90% of sales to five on-paper-only companies. The company reports an average price of $3.6 mln for its single-wafer cleaning equipment, while we estimate $2.8 mln per machine. One of the very few customers that did not go through a sales agency in 2019 told us within a narrow range what the company had paid for two wafer-cleaning machines purchased in 2019. ACMR disclosures show prices 15-22% higher than this customer reported to us.”</w:t>
      </w:r>
    </w:p>
    <w:p>
      <w:pPr>
        <w:spacing w:after="0" w:line="211"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Response:</w:t>
      </w:r>
    </w:p>
    <w:p>
      <w:pPr>
        <w:spacing w:after="0" w:line="252"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I. Clarification by the Issuer</w:t>
      </w:r>
    </w:p>
    <w:p>
      <w:pPr>
        <w:spacing w:after="0" w:line="256"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The Company’s product sales price was accurately disclosed. The details of equipment sales within the Reporting Period has been disclosed in “Q14.3” of the Reply to the Letter of First Round Review-related Inquiries, and the average price of products has been disclosed in “Section VI. III. (I) Output and Sales of Main Products” in the Prospectus by the Company. During the Reporting Period, the Issuer recognized revenue according to the amount of sales orders entered into with its customers in accordance with its revenue recognition policy and the relevant requirements of China’s accounting standards for business enterprises.</w:t>
      </w:r>
    </w:p>
    <w:p>
      <w:pPr>
        <w:spacing w:after="0" w:line="21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In 2019, the sales of the single-wafer cleaning equipment of the Issuer were as follows:</w:t>
      </w:r>
    </w:p>
    <w:p>
      <w:pPr>
        <w:spacing w:after="0" w:line="246" w:lineRule="exact"/>
        <w:rPr>
          <w:sz w:val="20"/>
          <w:szCs w:val="20"/>
          <w:color w:val="auto"/>
        </w:rPr>
      </w:pPr>
    </w:p>
    <w:tbl>
      <w:tblPr>
        <w:tblLayout w:type="fixed"/>
        <w:tblInd w:w="10" w:type="dxa"/>
        <w:tblCellMar>
          <w:top w:w="0" w:type="dxa"/>
          <w:left w:w="0" w:type="dxa"/>
          <w:bottom w:w="0" w:type="dxa"/>
          <w:right w:w="0" w:type="dxa"/>
        </w:tblCellMar>
      </w:tblPr>
      <w:tr>
        <w:trPr>
          <w:trHeight w:val="225"/>
        </w:trPr>
        <w:tc>
          <w:tcPr>
            <w:tcW w:w="4980" w:type="dxa"/>
            <w:vAlign w:val="bottom"/>
            <w:tcBorders>
              <w:top w:val="single" w:sz="8" w:color="auto"/>
              <w:left w:val="single" w:sz="8" w:color="auto"/>
              <w:right w:val="single" w:sz="8" w:color="auto"/>
            </w:tcBorders>
            <w:vMerge w:val="restart"/>
          </w:tcPr>
          <w:p>
            <w:pPr>
              <w:ind w:left="2320"/>
              <w:spacing w:after="0"/>
              <w:rPr>
                <w:sz w:val="20"/>
                <w:szCs w:val="20"/>
                <w:color w:val="auto"/>
              </w:rPr>
            </w:pPr>
            <w:r>
              <w:rPr>
                <w:rFonts w:ascii="Arial" w:cs="Arial" w:eastAsia="Arial" w:hAnsi="Arial"/>
                <w:sz w:val="18"/>
                <w:szCs w:val="18"/>
                <w:b w:val="1"/>
                <w:bCs w:val="1"/>
                <w:color w:val="auto"/>
              </w:rPr>
              <w:t>Item</w:t>
            </w:r>
          </w:p>
        </w:tc>
        <w:tc>
          <w:tcPr>
            <w:tcW w:w="1680" w:type="dxa"/>
            <w:vAlign w:val="bottom"/>
            <w:tcBorders>
              <w:top w:val="single" w:sz="8" w:color="auto"/>
              <w:right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Revenue</w:t>
            </w:r>
          </w:p>
        </w:tc>
        <w:tc>
          <w:tcPr>
            <w:tcW w:w="1240" w:type="dxa"/>
            <w:vAlign w:val="bottom"/>
            <w:tcBorders>
              <w:top w:val="single" w:sz="8" w:color="auto"/>
              <w:right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Quantity</w:t>
            </w:r>
          </w:p>
        </w:tc>
        <w:tc>
          <w:tcPr>
            <w:tcW w:w="1660" w:type="dxa"/>
            <w:vAlign w:val="bottom"/>
            <w:tcBorders>
              <w:top w:val="single" w:sz="8" w:color="auto"/>
              <w:right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Average Price</w:t>
            </w:r>
          </w:p>
        </w:tc>
        <w:tc>
          <w:tcPr>
            <w:tcW w:w="1680" w:type="dxa"/>
            <w:vAlign w:val="bottom"/>
            <w:tcBorders>
              <w:top w:val="single" w:sz="8" w:color="auto"/>
              <w:right w:val="single" w:sz="8" w:color="auto"/>
            </w:tcBorders>
          </w:tcPr>
          <w:p>
            <w:pPr>
              <w:jc w:val="right"/>
              <w:ind w:right="230"/>
              <w:spacing w:after="0"/>
              <w:rPr>
                <w:sz w:val="20"/>
                <w:szCs w:val="20"/>
                <w:color w:val="auto"/>
              </w:rPr>
            </w:pPr>
            <w:r>
              <w:rPr>
                <w:rFonts w:ascii="Arial" w:cs="Arial" w:eastAsia="Arial" w:hAnsi="Arial"/>
                <w:sz w:val="18"/>
                <w:szCs w:val="18"/>
                <w:b w:val="1"/>
                <w:bCs w:val="1"/>
                <w:color w:val="auto"/>
              </w:rPr>
              <w:t>Average Price</w:t>
            </w:r>
          </w:p>
        </w:tc>
        <w:tc>
          <w:tcPr>
            <w:tcW w:w="0" w:type="dxa"/>
            <w:vAlign w:val="bottom"/>
          </w:tcPr>
          <w:p>
            <w:pPr>
              <w:spacing w:after="0"/>
              <w:rPr>
                <w:sz w:val="1"/>
                <w:szCs w:val="1"/>
                <w:color w:val="auto"/>
              </w:rPr>
            </w:pPr>
          </w:p>
        </w:tc>
      </w:tr>
      <w:tr>
        <w:trPr>
          <w:trHeight w:val="126"/>
        </w:trPr>
        <w:tc>
          <w:tcPr>
            <w:tcW w:w="4980" w:type="dxa"/>
            <w:vAlign w:val="bottom"/>
            <w:tcBorders>
              <w:left w:val="single" w:sz="8" w:color="auto"/>
              <w:right w:val="single" w:sz="8" w:color="auto"/>
            </w:tcBorders>
            <w:vMerge w:val="continue"/>
          </w:tcPr>
          <w:p>
            <w:pPr>
              <w:spacing w:after="0"/>
              <w:rPr>
                <w:sz w:val="10"/>
                <w:szCs w:val="10"/>
                <w:color w:val="auto"/>
              </w:rPr>
            </w:pPr>
          </w:p>
        </w:tc>
        <w:tc>
          <w:tcPr>
            <w:tcW w:w="1680" w:type="dxa"/>
            <w:vAlign w:val="bottom"/>
            <w:tcBorders>
              <w:right w:val="single" w:sz="8" w:color="auto"/>
            </w:tcBorders>
            <w:vMerge w:val="restart"/>
          </w:tcPr>
          <w:p>
            <w:pPr>
              <w:jc w:val="right"/>
              <w:ind w:right="250"/>
              <w:spacing w:after="0"/>
              <w:rPr>
                <w:sz w:val="20"/>
                <w:szCs w:val="20"/>
                <w:color w:val="auto"/>
              </w:rPr>
            </w:pPr>
            <w:r>
              <w:rPr>
                <w:rFonts w:ascii="Arial" w:cs="Arial" w:eastAsia="Arial" w:hAnsi="Arial"/>
                <w:sz w:val="18"/>
                <w:szCs w:val="18"/>
                <w:b w:val="1"/>
                <w:bCs w:val="1"/>
                <w:color w:val="auto"/>
              </w:rPr>
              <w:t>(RMB10,000)</w:t>
            </w:r>
          </w:p>
        </w:tc>
        <w:tc>
          <w:tcPr>
            <w:tcW w:w="1240" w:type="dxa"/>
            <w:vAlign w:val="bottom"/>
            <w:tcBorders>
              <w:right w:val="single" w:sz="8" w:color="auto"/>
            </w:tcBorders>
            <w:vMerge w:val="restart"/>
          </w:tcPr>
          <w:p>
            <w:pPr>
              <w:jc w:val="right"/>
              <w:ind w:right="370"/>
              <w:spacing w:after="0"/>
              <w:rPr>
                <w:sz w:val="20"/>
                <w:szCs w:val="20"/>
                <w:color w:val="auto"/>
              </w:rPr>
            </w:pPr>
            <w:r>
              <w:rPr>
                <w:rFonts w:ascii="Arial" w:cs="Arial" w:eastAsia="Arial" w:hAnsi="Arial"/>
                <w:sz w:val="18"/>
                <w:szCs w:val="18"/>
                <w:b w:val="1"/>
                <w:bCs w:val="1"/>
                <w:color w:val="auto"/>
              </w:rPr>
              <w:t>(Set)</w:t>
            </w:r>
          </w:p>
        </w:tc>
        <w:tc>
          <w:tcPr>
            <w:tcW w:w="1660" w:type="dxa"/>
            <w:vAlign w:val="bottom"/>
            <w:tcBorders>
              <w:right w:val="single" w:sz="8" w:color="auto"/>
            </w:tcBorders>
            <w:vMerge w:val="restart"/>
          </w:tcPr>
          <w:p>
            <w:pPr>
              <w:jc w:val="right"/>
              <w:ind w:right="230"/>
              <w:spacing w:after="0"/>
              <w:rPr>
                <w:sz w:val="20"/>
                <w:szCs w:val="20"/>
                <w:color w:val="auto"/>
              </w:rPr>
            </w:pPr>
            <w:r>
              <w:rPr>
                <w:rFonts w:ascii="Arial" w:cs="Arial" w:eastAsia="Arial" w:hAnsi="Arial"/>
                <w:sz w:val="18"/>
                <w:szCs w:val="18"/>
                <w:b w:val="1"/>
                <w:bCs w:val="1"/>
                <w:color w:val="auto"/>
              </w:rPr>
              <w:t>(RMB10,000)</w:t>
            </w:r>
          </w:p>
        </w:tc>
        <w:tc>
          <w:tcPr>
            <w:tcW w:w="1680" w:type="dxa"/>
            <w:vAlign w:val="bottom"/>
            <w:tcBorders>
              <w:right w:val="single" w:sz="8" w:color="auto"/>
            </w:tcBorders>
            <w:vMerge w:val="restart"/>
          </w:tcPr>
          <w:p>
            <w:pPr>
              <w:jc w:val="right"/>
              <w:ind w:right="270"/>
              <w:spacing w:after="0"/>
              <w:rPr>
                <w:sz w:val="20"/>
                <w:szCs w:val="20"/>
                <w:color w:val="auto"/>
              </w:rPr>
            </w:pPr>
            <w:r>
              <w:rPr>
                <w:rFonts w:ascii="Arial" w:cs="Arial" w:eastAsia="Arial" w:hAnsi="Arial"/>
                <w:sz w:val="18"/>
                <w:szCs w:val="18"/>
                <w:b w:val="1"/>
                <w:bCs w:val="1"/>
                <w:color w:val="auto"/>
              </w:rPr>
              <w:t>(USD10,000)</w:t>
            </w:r>
          </w:p>
        </w:tc>
        <w:tc>
          <w:tcPr>
            <w:tcW w:w="0" w:type="dxa"/>
            <w:vAlign w:val="bottom"/>
          </w:tcPr>
          <w:p>
            <w:pPr>
              <w:spacing w:after="0"/>
              <w:rPr>
                <w:sz w:val="1"/>
                <w:szCs w:val="1"/>
                <w:color w:val="auto"/>
              </w:rPr>
            </w:pPr>
          </w:p>
        </w:tc>
      </w:tr>
      <w:tr>
        <w:trPr>
          <w:trHeight w:val="115"/>
        </w:trPr>
        <w:tc>
          <w:tcPr>
            <w:tcW w:w="4980" w:type="dxa"/>
            <w:vAlign w:val="bottom"/>
            <w:tcBorders>
              <w:left w:val="single" w:sz="8" w:color="auto"/>
              <w:bottom w:val="single" w:sz="8" w:color="auto"/>
              <w:right w:val="single" w:sz="8" w:color="auto"/>
            </w:tcBorders>
          </w:tcPr>
          <w:p>
            <w:pPr>
              <w:spacing w:after="0"/>
              <w:rPr>
                <w:sz w:val="10"/>
                <w:szCs w:val="10"/>
                <w:color w:val="auto"/>
              </w:rPr>
            </w:pPr>
          </w:p>
        </w:tc>
        <w:tc>
          <w:tcPr>
            <w:tcW w:w="1680" w:type="dxa"/>
            <w:vAlign w:val="bottom"/>
            <w:tcBorders>
              <w:bottom w:val="single" w:sz="8" w:color="auto"/>
              <w:right w:val="single" w:sz="8" w:color="auto"/>
            </w:tcBorders>
            <w:vMerge w:val="continue"/>
          </w:tcPr>
          <w:p>
            <w:pPr>
              <w:spacing w:after="0"/>
              <w:rPr>
                <w:sz w:val="10"/>
                <w:szCs w:val="10"/>
                <w:color w:val="auto"/>
              </w:rPr>
            </w:pPr>
          </w:p>
        </w:tc>
        <w:tc>
          <w:tcPr>
            <w:tcW w:w="1240" w:type="dxa"/>
            <w:vAlign w:val="bottom"/>
            <w:tcBorders>
              <w:bottom w:val="single" w:sz="8" w:color="auto"/>
              <w:right w:val="single" w:sz="8" w:color="auto"/>
            </w:tcBorders>
            <w:vMerge w:val="continue"/>
          </w:tcPr>
          <w:p>
            <w:pPr>
              <w:spacing w:after="0"/>
              <w:rPr>
                <w:sz w:val="10"/>
                <w:szCs w:val="10"/>
                <w:color w:val="auto"/>
              </w:rPr>
            </w:pPr>
          </w:p>
        </w:tc>
        <w:tc>
          <w:tcPr>
            <w:tcW w:w="1660" w:type="dxa"/>
            <w:vAlign w:val="bottom"/>
            <w:tcBorders>
              <w:bottom w:val="single" w:sz="8" w:color="auto"/>
              <w:right w:val="single" w:sz="8" w:color="auto"/>
            </w:tcBorders>
            <w:vMerge w:val="continue"/>
          </w:tcPr>
          <w:p>
            <w:pPr>
              <w:spacing w:after="0"/>
              <w:rPr>
                <w:sz w:val="10"/>
                <w:szCs w:val="10"/>
                <w:color w:val="auto"/>
              </w:rPr>
            </w:pPr>
          </w:p>
        </w:tc>
        <w:tc>
          <w:tcPr>
            <w:tcW w:w="1680" w:type="dxa"/>
            <w:vAlign w:val="bottom"/>
            <w:tcBorders>
              <w:bottom w:val="single" w:sz="8" w:color="auto"/>
              <w:right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23"/>
        </w:trPr>
        <w:tc>
          <w:tcPr>
            <w:tcW w:w="4980" w:type="dxa"/>
            <w:vAlign w:val="bottom"/>
            <w:tcBorders>
              <w:left w:val="single" w:sz="8" w:color="auto"/>
              <w:bottom w:val="single" w:sz="8" w:color="auto"/>
              <w:right w:val="single" w:sz="8" w:color="auto"/>
            </w:tcBorders>
          </w:tcPr>
          <w:p>
            <w:pPr>
              <w:ind w:left="200"/>
              <w:spacing w:after="0"/>
              <w:rPr>
                <w:sz w:val="20"/>
                <w:szCs w:val="20"/>
                <w:color w:val="auto"/>
              </w:rPr>
            </w:pPr>
            <w:r>
              <w:rPr>
                <w:rFonts w:ascii="Arial" w:cs="Arial" w:eastAsia="Arial" w:hAnsi="Arial"/>
                <w:sz w:val="18"/>
                <w:szCs w:val="18"/>
                <w:color w:val="auto"/>
              </w:rPr>
              <w:t>Single-wafer cleaning equipment</w:t>
            </w:r>
          </w:p>
        </w:tc>
        <w:tc>
          <w:tcPr>
            <w:tcW w:w="168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55,099.52</w:t>
            </w:r>
          </w:p>
        </w:tc>
        <w:tc>
          <w:tcPr>
            <w:tcW w:w="124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22</w:t>
            </w:r>
          </w:p>
        </w:tc>
        <w:tc>
          <w:tcPr>
            <w:tcW w:w="166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2,504.52</w:t>
            </w:r>
          </w:p>
        </w:tc>
        <w:tc>
          <w:tcPr>
            <w:tcW w:w="168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362.97</w:t>
            </w:r>
          </w:p>
        </w:tc>
        <w:tc>
          <w:tcPr>
            <w:tcW w:w="0" w:type="dxa"/>
            <w:vAlign w:val="bottom"/>
          </w:tcPr>
          <w:p>
            <w:pPr>
              <w:spacing w:after="0"/>
              <w:rPr>
                <w:sz w:val="1"/>
                <w:szCs w:val="1"/>
                <w:color w:val="auto"/>
              </w:rPr>
            </w:pPr>
          </w:p>
        </w:tc>
      </w:tr>
      <w:tr>
        <w:trPr>
          <w:trHeight w:val="223"/>
        </w:trPr>
        <w:tc>
          <w:tcPr>
            <w:tcW w:w="4980" w:type="dxa"/>
            <w:vAlign w:val="bottom"/>
            <w:tcBorders>
              <w:left w:val="single" w:sz="8" w:color="auto"/>
              <w:bottom w:val="single" w:sz="8" w:color="auto"/>
              <w:right w:val="single" w:sz="8" w:color="auto"/>
            </w:tcBorders>
          </w:tcPr>
          <w:p>
            <w:pPr>
              <w:ind w:left="360"/>
              <w:spacing w:after="0"/>
              <w:rPr>
                <w:sz w:val="20"/>
                <w:szCs w:val="20"/>
                <w:color w:val="auto"/>
              </w:rPr>
            </w:pPr>
            <w:r>
              <w:rPr>
                <w:rFonts w:ascii="Arial" w:cs="Arial" w:eastAsia="Arial" w:hAnsi="Arial"/>
                <w:sz w:val="18"/>
                <w:szCs w:val="18"/>
                <w:color w:val="auto"/>
              </w:rPr>
              <w:t>Including: 4 chambers</w:t>
            </w:r>
          </w:p>
        </w:tc>
        <w:tc>
          <w:tcPr>
            <w:tcW w:w="168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3,173.31</w:t>
            </w:r>
          </w:p>
        </w:tc>
        <w:tc>
          <w:tcPr>
            <w:tcW w:w="124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3</w:t>
            </w:r>
          </w:p>
        </w:tc>
        <w:tc>
          <w:tcPr>
            <w:tcW w:w="166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1,057.77</w:t>
            </w:r>
          </w:p>
        </w:tc>
        <w:tc>
          <w:tcPr>
            <w:tcW w:w="168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153.30</w:t>
            </w:r>
          </w:p>
        </w:tc>
        <w:tc>
          <w:tcPr>
            <w:tcW w:w="0" w:type="dxa"/>
            <w:vAlign w:val="bottom"/>
          </w:tcPr>
          <w:p>
            <w:pPr>
              <w:spacing w:after="0"/>
              <w:rPr>
                <w:sz w:val="1"/>
                <w:szCs w:val="1"/>
                <w:color w:val="auto"/>
              </w:rPr>
            </w:pPr>
          </w:p>
        </w:tc>
      </w:tr>
      <w:tr>
        <w:trPr>
          <w:trHeight w:val="223"/>
        </w:trPr>
        <w:tc>
          <w:tcPr>
            <w:tcW w:w="4980" w:type="dxa"/>
            <w:vAlign w:val="bottom"/>
            <w:tcBorders>
              <w:left w:val="single" w:sz="8" w:color="auto"/>
              <w:bottom w:val="single" w:sz="8" w:color="auto"/>
              <w:right w:val="single" w:sz="8" w:color="auto"/>
            </w:tcBorders>
          </w:tcPr>
          <w:p>
            <w:pPr>
              <w:ind w:left="1160"/>
              <w:spacing w:after="0"/>
              <w:rPr>
                <w:sz w:val="20"/>
                <w:szCs w:val="20"/>
                <w:color w:val="auto"/>
              </w:rPr>
            </w:pPr>
            <w:r>
              <w:rPr>
                <w:rFonts w:ascii="Arial" w:cs="Arial" w:eastAsia="Arial" w:hAnsi="Arial"/>
                <w:sz w:val="18"/>
                <w:szCs w:val="18"/>
                <w:color w:val="auto"/>
              </w:rPr>
              <w:t>8 chambers</w:t>
            </w:r>
          </w:p>
        </w:tc>
        <w:tc>
          <w:tcPr>
            <w:tcW w:w="168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13,451.24</w:t>
            </w:r>
          </w:p>
        </w:tc>
        <w:tc>
          <w:tcPr>
            <w:tcW w:w="124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6</w:t>
            </w:r>
          </w:p>
        </w:tc>
        <w:tc>
          <w:tcPr>
            <w:tcW w:w="166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2,241.87</w:t>
            </w:r>
          </w:p>
        </w:tc>
        <w:tc>
          <w:tcPr>
            <w:tcW w:w="168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324.91</w:t>
            </w:r>
          </w:p>
        </w:tc>
        <w:tc>
          <w:tcPr>
            <w:tcW w:w="0" w:type="dxa"/>
            <w:vAlign w:val="bottom"/>
          </w:tcPr>
          <w:p>
            <w:pPr>
              <w:spacing w:after="0"/>
              <w:rPr>
                <w:sz w:val="1"/>
                <w:szCs w:val="1"/>
                <w:color w:val="auto"/>
              </w:rPr>
            </w:pPr>
          </w:p>
        </w:tc>
      </w:tr>
      <w:tr>
        <w:trPr>
          <w:trHeight w:val="223"/>
        </w:trPr>
        <w:tc>
          <w:tcPr>
            <w:tcW w:w="4980" w:type="dxa"/>
            <w:vAlign w:val="bottom"/>
            <w:tcBorders>
              <w:left w:val="single" w:sz="8" w:color="auto"/>
              <w:bottom w:val="single" w:sz="8" w:color="auto"/>
              <w:right w:val="single" w:sz="8" w:color="auto"/>
            </w:tcBorders>
          </w:tcPr>
          <w:p>
            <w:pPr>
              <w:ind w:left="1160"/>
              <w:spacing w:after="0"/>
              <w:rPr>
                <w:sz w:val="20"/>
                <w:szCs w:val="20"/>
                <w:color w:val="auto"/>
              </w:rPr>
            </w:pPr>
            <w:r>
              <w:rPr>
                <w:rFonts w:ascii="Arial" w:cs="Arial" w:eastAsia="Arial" w:hAnsi="Arial"/>
                <w:sz w:val="18"/>
                <w:szCs w:val="18"/>
                <w:color w:val="auto"/>
              </w:rPr>
              <w:t>12 chambers</w:t>
            </w:r>
          </w:p>
        </w:tc>
        <w:tc>
          <w:tcPr>
            <w:tcW w:w="168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32,304.78</w:t>
            </w:r>
          </w:p>
        </w:tc>
        <w:tc>
          <w:tcPr>
            <w:tcW w:w="124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11</w:t>
            </w:r>
          </w:p>
        </w:tc>
        <w:tc>
          <w:tcPr>
            <w:tcW w:w="166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2,936.80</w:t>
            </w:r>
          </w:p>
        </w:tc>
        <w:tc>
          <w:tcPr>
            <w:tcW w:w="168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425.62</w:t>
            </w:r>
          </w:p>
        </w:tc>
        <w:tc>
          <w:tcPr>
            <w:tcW w:w="0" w:type="dxa"/>
            <w:vAlign w:val="bottom"/>
          </w:tcPr>
          <w:p>
            <w:pPr>
              <w:spacing w:after="0"/>
              <w:rPr>
                <w:sz w:val="1"/>
                <w:szCs w:val="1"/>
                <w:color w:val="auto"/>
              </w:rPr>
            </w:pPr>
          </w:p>
        </w:tc>
      </w:tr>
      <w:tr>
        <w:trPr>
          <w:trHeight w:val="223"/>
        </w:trPr>
        <w:tc>
          <w:tcPr>
            <w:tcW w:w="4980" w:type="dxa"/>
            <w:vAlign w:val="bottom"/>
            <w:tcBorders>
              <w:left w:val="single" w:sz="8" w:color="auto"/>
              <w:bottom w:val="single" w:sz="8" w:color="auto"/>
              <w:right w:val="single" w:sz="8" w:color="auto"/>
            </w:tcBorders>
          </w:tcPr>
          <w:p>
            <w:pPr>
              <w:ind w:left="360"/>
              <w:spacing w:after="0"/>
              <w:rPr>
                <w:sz w:val="20"/>
                <w:szCs w:val="20"/>
                <w:color w:val="auto"/>
              </w:rPr>
            </w:pPr>
            <w:r>
              <w:rPr>
                <w:rFonts w:ascii="Arial" w:cs="Arial" w:eastAsia="Arial" w:hAnsi="Arial"/>
                <w:sz w:val="18"/>
                <w:szCs w:val="18"/>
                <w:color w:val="auto"/>
              </w:rPr>
              <w:t>8-chamber back cleaning equipment</w:t>
            </w:r>
          </w:p>
        </w:tc>
        <w:tc>
          <w:tcPr>
            <w:tcW w:w="168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6,170.19</w:t>
            </w:r>
          </w:p>
        </w:tc>
        <w:tc>
          <w:tcPr>
            <w:tcW w:w="124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2</w:t>
            </w:r>
          </w:p>
        </w:tc>
        <w:tc>
          <w:tcPr>
            <w:tcW w:w="166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3,085.10</w:t>
            </w:r>
          </w:p>
        </w:tc>
        <w:tc>
          <w:tcPr>
            <w:tcW w:w="168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447.12</w:t>
            </w:r>
          </w:p>
        </w:tc>
        <w:tc>
          <w:tcPr>
            <w:tcW w:w="0" w:type="dxa"/>
            <w:vAlign w:val="bottom"/>
          </w:tcPr>
          <w:p>
            <w:pPr>
              <w:spacing w:after="0"/>
              <w:rPr>
                <w:sz w:val="1"/>
                <w:szCs w:val="1"/>
                <w:color w:val="auto"/>
              </w:rPr>
            </w:pPr>
          </w:p>
        </w:tc>
      </w:tr>
    </w:tbl>
    <w:p>
      <w:pPr>
        <w:spacing w:after="0" w:line="202"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The semiconductor equipment sold by the Issuer needs to be customized according to the specific requirements of customers. Due to large differences in equipment specifications, configuration, applicable technical nodes and customers’ bargaining power, the unit price of the equipment varies greatly. For example: the single-wafer cleaning equipment can adopt SAPS or TEBO technology or back cleaning technology to match different wafer types; the number of its process chambers can be 4, 8, 12, etc., up to 18, and the number of wafers that can be concurrently cleaned by a single cleaner is quite different; the process nodes applicable to the equipment can be 45nm, 28nm or less; and the unit price of single-wafer cleaning equipment varies widely.</w:t>
      </w:r>
    </w:p>
    <w:p>
      <w:pPr>
        <w:spacing w:after="0" w:line="39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8-4-1-14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8" w:name="page19"/>
    <w:bookmarkEnd w:id="18"/>
    <w:p>
      <w:pPr>
        <w:jc w:val="both"/>
        <w:ind w:firstLine="648"/>
        <w:spacing w:after="0" w:line="279" w:lineRule="auto"/>
        <w:rPr>
          <w:sz w:val="20"/>
          <w:szCs w:val="20"/>
          <w:color w:val="auto"/>
        </w:rPr>
      </w:pPr>
      <w:r>
        <w:rPr>
          <w:rFonts w:ascii="Arial" w:cs="Arial" w:eastAsia="Arial" w:hAnsi="Arial"/>
          <w:sz w:val="17"/>
          <w:szCs w:val="17"/>
          <w:color w:val="auto"/>
        </w:rPr>
        <w:t>The Short-sell Report states that the unit price of the single-wafer cleaning equipment sold by the Issuer in 2019 was USD2.8 million. The Short-sell Report does not disclose the source of the statement, but the Company suspects the referenced unit price may refer to equipment sold by the Issuer to Semiconductor Manufacturing South China Corporation (“SMSC”). Following negotiation between the Issuer and SMSC as to the selling price, SMSC intended to procure two sets of single-wafer cleaning equipment, totaling USD6 million, as detailed below:</w:t>
      </w:r>
    </w:p>
    <w:p>
      <w:pPr>
        <w:spacing w:after="0" w:line="192" w:lineRule="exact"/>
        <w:rPr>
          <w:sz w:val="20"/>
          <w:szCs w:val="20"/>
          <w:color w:val="auto"/>
        </w:rPr>
      </w:pPr>
    </w:p>
    <w:tbl>
      <w:tblPr>
        <w:tblLayout w:type="fixed"/>
        <w:tblInd w:w="10" w:type="dxa"/>
        <w:tblCellMar>
          <w:top w:w="0" w:type="dxa"/>
          <w:left w:w="0" w:type="dxa"/>
          <w:bottom w:w="0" w:type="dxa"/>
          <w:right w:w="0" w:type="dxa"/>
        </w:tblCellMar>
      </w:tblPr>
      <w:tr>
        <w:trPr>
          <w:trHeight w:val="225"/>
        </w:trPr>
        <w:tc>
          <w:tcPr>
            <w:tcW w:w="3400" w:type="dxa"/>
            <w:vAlign w:val="bottom"/>
            <w:tcBorders>
              <w:top w:val="single" w:sz="8" w:color="auto"/>
              <w:left w:val="single" w:sz="8" w:color="auto"/>
              <w:right w:val="single" w:sz="8" w:color="auto"/>
            </w:tcBorders>
            <w:vMerge w:val="restart"/>
          </w:tcPr>
          <w:p>
            <w:pPr>
              <w:jc w:val="center"/>
              <w:spacing w:after="0"/>
              <w:rPr>
                <w:sz w:val="20"/>
                <w:szCs w:val="20"/>
                <w:color w:val="auto"/>
              </w:rPr>
            </w:pPr>
            <w:r>
              <w:rPr>
                <w:rFonts w:ascii="Arial" w:cs="Arial" w:eastAsia="Arial" w:hAnsi="Arial"/>
                <w:sz w:val="18"/>
                <w:szCs w:val="18"/>
                <w:b w:val="1"/>
                <w:bCs w:val="1"/>
                <w:color w:val="auto"/>
                <w:w w:val="90"/>
              </w:rPr>
              <w:t>Type</w:t>
            </w:r>
          </w:p>
        </w:tc>
        <w:tc>
          <w:tcPr>
            <w:tcW w:w="280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92"/>
              </w:rPr>
              <w:t>Equipment</w:t>
            </w:r>
          </w:p>
        </w:tc>
        <w:tc>
          <w:tcPr>
            <w:tcW w:w="140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95"/>
              </w:rPr>
              <w:t>Quantity</w:t>
            </w:r>
          </w:p>
        </w:tc>
        <w:tc>
          <w:tcPr>
            <w:tcW w:w="2120" w:type="dxa"/>
            <w:vAlign w:val="bottom"/>
            <w:tcBorders>
              <w:top w:val="single" w:sz="8" w:color="auto"/>
              <w:right w:val="single" w:sz="8" w:color="auto"/>
            </w:tcBorders>
          </w:tcPr>
          <w:p>
            <w:pPr>
              <w:ind w:left="480"/>
              <w:spacing w:after="0"/>
              <w:rPr>
                <w:sz w:val="20"/>
                <w:szCs w:val="20"/>
                <w:color w:val="auto"/>
              </w:rPr>
            </w:pPr>
            <w:r>
              <w:rPr>
                <w:rFonts w:ascii="Arial" w:cs="Arial" w:eastAsia="Arial" w:hAnsi="Arial"/>
                <w:sz w:val="18"/>
                <w:szCs w:val="18"/>
                <w:b w:val="1"/>
                <w:bCs w:val="1"/>
                <w:color w:val="auto"/>
              </w:rPr>
              <w:t>Contract Price</w:t>
            </w:r>
          </w:p>
        </w:tc>
        <w:tc>
          <w:tcPr>
            <w:tcW w:w="152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98"/>
              </w:rPr>
              <w:t>Arrival</w:t>
            </w:r>
          </w:p>
        </w:tc>
        <w:tc>
          <w:tcPr>
            <w:tcW w:w="0" w:type="dxa"/>
            <w:vAlign w:val="bottom"/>
          </w:tcPr>
          <w:p>
            <w:pPr>
              <w:spacing w:after="0"/>
              <w:rPr>
                <w:sz w:val="1"/>
                <w:szCs w:val="1"/>
                <w:color w:val="auto"/>
              </w:rPr>
            </w:pPr>
          </w:p>
        </w:tc>
      </w:tr>
      <w:tr>
        <w:trPr>
          <w:trHeight w:val="126"/>
        </w:trPr>
        <w:tc>
          <w:tcPr>
            <w:tcW w:w="3400" w:type="dxa"/>
            <w:vAlign w:val="bottom"/>
            <w:tcBorders>
              <w:left w:val="single" w:sz="8" w:color="auto"/>
              <w:right w:val="single" w:sz="8" w:color="auto"/>
            </w:tcBorders>
            <w:vMerge w:val="continue"/>
          </w:tcPr>
          <w:p>
            <w:pPr>
              <w:spacing w:after="0"/>
              <w:rPr>
                <w:sz w:val="10"/>
                <w:szCs w:val="10"/>
                <w:color w:val="auto"/>
              </w:rPr>
            </w:pPr>
          </w:p>
        </w:tc>
        <w:tc>
          <w:tcPr>
            <w:tcW w:w="28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b w:val="1"/>
                <w:bCs w:val="1"/>
                <w:color w:val="auto"/>
                <w:w w:val="96"/>
              </w:rPr>
              <w:t>Model</w:t>
            </w:r>
          </w:p>
        </w:tc>
        <w:tc>
          <w:tcPr>
            <w:tcW w:w="14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b w:val="1"/>
                <w:bCs w:val="1"/>
                <w:color w:val="auto"/>
                <w:w w:val="89"/>
              </w:rPr>
              <w:t>(Set)</w:t>
            </w:r>
          </w:p>
        </w:tc>
        <w:tc>
          <w:tcPr>
            <w:tcW w:w="21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b w:val="1"/>
                <w:bCs w:val="1"/>
                <w:color w:val="auto"/>
                <w:w w:val="91"/>
              </w:rPr>
              <w:t>(USD10,000)</w:t>
            </w:r>
          </w:p>
        </w:tc>
        <w:tc>
          <w:tcPr>
            <w:tcW w:w="15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b w:val="1"/>
                <w:bCs w:val="1"/>
                <w:color w:val="auto"/>
                <w:w w:val="92"/>
              </w:rPr>
              <w:t>Date</w:t>
            </w:r>
          </w:p>
        </w:tc>
        <w:tc>
          <w:tcPr>
            <w:tcW w:w="0" w:type="dxa"/>
            <w:vAlign w:val="bottom"/>
          </w:tcPr>
          <w:p>
            <w:pPr>
              <w:spacing w:after="0"/>
              <w:rPr>
                <w:sz w:val="1"/>
                <w:szCs w:val="1"/>
                <w:color w:val="auto"/>
              </w:rPr>
            </w:pPr>
          </w:p>
        </w:tc>
      </w:tr>
      <w:tr>
        <w:trPr>
          <w:trHeight w:val="115"/>
        </w:trPr>
        <w:tc>
          <w:tcPr>
            <w:tcW w:w="3400" w:type="dxa"/>
            <w:vAlign w:val="bottom"/>
            <w:tcBorders>
              <w:left w:val="single" w:sz="8" w:color="auto"/>
              <w:bottom w:val="single" w:sz="8" w:color="auto"/>
              <w:right w:val="single" w:sz="8" w:color="auto"/>
            </w:tcBorders>
          </w:tcPr>
          <w:p>
            <w:pPr>
              <w:spacing w:after="0"/>
              <w:rPr>
                <w:sz w:val="10"/>
                <w:szCs w:val="10"/>
                <w:color w:val="auto"/>
              </w:rPr>
            </w:pPr>
          </w:p>
        </w:tc>
        <w:tc>
          <w:tcPr>
            <w:tcW w:w="2800" w:type="dxa"/>
            <w:vAlign w:val="bottom"/>
            <w:tcBorders>
              <w:bottom w:val="single" w:sz="8" w:color="auto"/>
              <w:right w:val="single" w:sz="8" w:color="auto"/>
            </w:tcBorders>
            <w:vMerge w:val="continue"/>
          </w:tcPr>
          <w:p>
            <w:pPr>
              <w:spacing w:after="0"/>
              <w:rPr>
                <w:sz w:val="10"/>
                <w:szCs w:val="10"/>
                <w:color w:val="auto"/>
              </w:rPr>
            </w:pPr>
          </w:p>
        </w:tc>
        <w:tc>
          <w:tcPr>
            <w:tcW w:w="1400" w:type="dxa"/>
            <w:vAlign w:val="bottom"/>
            <w:tcBorders>
              <w:bottom w:val="single" w:sz="8" w:color="auto"/>
              <w:right w:val="single" w:sz="8" w:color="auto"/>
            </w:tcBorders>
            <w:vMerge w:val="continue"/>
          </w:tcPr>
          <w:p>
            <w:pPr>
              <w:spacing w:after="0"/>
              <w:rPr>
                <w:sz w:val="10"/>
                <w:szCs w:val="10"/>
                <w:color w:val="auto"/>
              </w:rPr>
            </w:pPr>
          </w:p>
        </w:tc>
        <w:tc>
          <w:tcPr>
            <w:tcW w:w="2120" w:type="dxa"/>
            <w:vAlign w:val="bottom"/>
            <w:tcBorders>
              <w:bottom w:val="single" w:sz="8" w:color="auto"/>
              <w:right w:val="single" w:sz="8" w:color="auto"/>
            </w:tcBorders>
            <w:vMerge w:val="continue"/>
          </w:tcPr>
          <w:p>
            <w:pPr>
              <w:spacing w:after="0"/>
              <w:rPr>
                <w:sz w:val="10"/>
                <w:szCs w:val="10"/>
                <w:color w:val="auto"/>
              </w:rPr>
            </w:pPr>
          </w:p>
        </w:tc>
        <w:tc>
          <w:tcPr>
            <w:tcW w:w="1520" w:type="dxa"/>
            <w:vAlign w:val="bottom"/>
            <w:tcBorders>
              <w:bottom w:val="single" w:sz="8" w:color="auto"/>
              <w:right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23"/>
        </w:trPr>
        <w:tc>
          <w:tcPr>
            <w:tcW w:w="340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1"/>
              </w:rPr>
              <w:t>Single-wafer cleaning equipment</w:t>
            </w:r>
          </w:p>
        </w:tc>
        <w:tc>
          <w:tcPr>
            <w:tcW w:w="28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2"/>
              </w:rPr>
              <w:t>Ultra C378 (8-Chamber)</w:t>
            </w:r>
          </w:p>
        </w:tc>
        <w:tc>
          <w:tcPr>
            <w:tcW w:w="14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9"/>
              </w:rPr>
              <w:t>1</w:t>
            </w:r>
          </w:p>
        </w:tc>
        <w:tc>
          <w:tcPr>
            <w:tcW w:w="21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7"/>
              </w:rPr>
              <w:t>280.00</w:t>
            </w:r>
          </w:p>
        </w:tc>
        <w:tc>
          <w:tcPr>
            <w:tcW w:w="15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2"/>
              </w:rPr>
              <w:t>Apr. 25, 2019</w:t>
            </w:r>
          </w:p>
        </w:tc>
        <w:tc>
          <w:tcPr>
            <w:tcW w:w="0" w:type="dxa"/>
            <w:vAlign w:val="bottom"/>
          </w:tcPr>
          <w:p>
            <w:pPr>
              <w:spacing w:after="0"/>
              <w:rPr>
                <w:sz w:val="1"/>
                <w:szCs w:val="1"/>
                <w:color w:val="auto"/>
              </w:rPr>
            </w:pPr>
          </w:p>
        </w:tc>
      </w:tr>
      <w:tr>
        <w:trPr>
          <w:trHeight w:val="223"/>
        </w:trPr>
        <w:tc>
          <w:tcPr>
            <w:tcW w:w="340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1"/>
              </w:rPr>
              <w:t>Single-wafer cleaning equipment</w:t>
            </w:r>
          </w:p>
        </w:tc>
        <w:tc>
          <w:tcPr>
            <w:tcW w:w="28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2"/>
              </w:rPr>
              <w:t>Ultra C348 (8-Chamber)</w:t>
            </w:r>
          </w:p>
        </w:tc>
        <w:tc>
          <w:tcPr>
            <w:tcW w:w="14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9"/>
              </w:rPr>
              <w:t>1</w:t>
            </w:r>
          </w:p>
        </w:tc>
        <w:tc>
          <w:tcPr>
            <w:tcW w:w="21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7"/>
              </w:rPr>
              <w:t>320.00</w:t>
            </w:r>
          </w:p>
        </w:tc>
        <w:tc>
          <w:tcPr>
            <w:tcW w:w="15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0"/>
              </w:rPr>
              <w:t>Jul. 1, 2020</w:t>
            </w: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340"/>
        <w:spacing w:after="0"/>
        <w:rPr>
          <w:sz w:val="20"/>
          <w:szCs w:val="20"/>
          <w:color w:val="auto"/>
        </w:rPr>
      </w:pPr>
      <w:r>
        <w:rPr>
          <w:rFonts w:ascii="Arial" w:cs="Arial" w:eastAsia="Arial" w:hAnsi="Arial"/>
          <w:sz w:val="18"/>
          <w:szCs w:val="18"/>
          <w:color w:val="auto"/>
        </w:rPr>
        <w:t>Note: The above two sets of equipment have a different price given their different configuration.</w:t>
      </w:r>
    </w:p>
    <w:p>
      <w:pPr>
        <w:spacing w:after="0" w:line="252"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During the Reporting Period, the unit price of single-wafer cleaning equipment sold by the Issuer ranged from USD1.1 million to USD6.4 million, and the price of the 2 sets of equipment for SMSC, which we suspect but cannot be certain is the customer mentioned in the Short sell Report, falls within such range.</w:t>
      </w:r>
    </w:p>
    <w:p>
      <w:pPr>
        <w:spacing w:after="0" w:line="211"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It obviously would not be correct for the Short-sell Report to suggest the average price of all single-wafer cleaning equipment based on the lower price of only 2 sets of equipment to a single customer.</w:t>
      </w:r>
    </w:p>
    <w:p>
      <w:pPr>
        <w:spacing w:after="0" w:line="193" w:lineRule="exact"/>
        <w:rPr>
          <w:sz w:val="20"/>
          <w:szCs w:val="20"/>
          <w:color w:val="auto"/>
        </w:rPr>
      </w:pPr>
    </w:p>
    <w:p>
      <w:pPr>
        <w:ind w:left="560" w:hanging="228"/>
        <w:spacing w:after="0"/>
        <w:tabs>
          <w:tab w:leader="none" w:pos="560" w:val="left"/>
        </w:tabs>
        <w:numPr>
          <w:ilvl w:val="0"/>
          <w:numId w:val="7"/>
        </w:numPr>
        <w:rPr>
          <w:rFonts w:ascii="Arial" w:cs="Arial" w:eastAsia="Arial" w:hAnsi="Arial"/>
          <w:sz w:val="18"/>
          <w:szCs w:val="18"/>
          <w:b w:val="1"/>
          <w:bCs w:val="1"/>
          <w:color w:val="auto"/>
        </w:rPr>
      </w:pPr>
      <w:r>
        <w:rPr>
          <w:rFonts w:ascii="Arial" w:cs="Arial" w:eastAsia="Arial" w:hAnsi="Arial"/>
          <w:sz w:val="18"/>
          <w:szCs w:val="18"/>
          <w:b w:val="1"/>
          <w:bCs w:val="1"/>
          <w:color w:val="auto"/>
        </w:rPr>
        <w:t>Verification Procedures and Opinions</w:t>
      </w:r>
    </w:p>
    <w:p>
      <w:pPr>
        <w:spacing w:after="0" w:line="252" w:lineRule="exact"/>
        <w:rPr>
          <w:rFonts w:ascii="Arial" w:cs="Arial" w:eastAsia="Arial" w:hAnsi="Arial"/>
          <w:sz w:val="18"/>
          <w:szCs w:val="18"/>
          <w:b w:val="1"/>
          <w:bCs w:val="1"/>
          <w:color w:val="auto"/>
        </w:rPr>
      </w:pPr>
    </w:p>
    <w:p>
      <w:pPr>
        <w:ind w:left="340"/>
        <w:spacing w:after="0"/>
        <w:rPr>
          <w:rFonts w:ascii="Arial" w:cs="Arial" w:eastAsia="Arial" w:hAnsi="Arial"/>
          <w:sz w:val="18"/>
          <w:szCs w:val="18"/>
          <w:b w:val="1"/>
          <w:bCs w:val="1"/>
          <w:color w:val="auto"/>
        </w:rPr>
      </w:pPr>
      <w:r>
        <w:rPr>
          <w:rFonts w:ascii="Arial" w:cs="Arial" w:eastAsia="Arial" w:hAnsi="Arial"/>
          <w:sz w:val="18"/>
          <w:szCs w:val="18"/>
          <w:b w:val="1"/>
          <w:bCs w:val="1"/>
          <w:color w:val="auto"/>
        </w:rPr>
        <w:t>(i) Verification Procedures</w:t>
      </w:r>
    </w:p>
    <w:p>
      <w:pPr>
        <w:spacing w:after="0" w:line="256" w:lineRule="exact"/>
        <w:rPr>
          <w:sz w:val="20"/>
          <w:szCs w:val="20"/>
          <w:color w:val="auto"/>
        </w:rPr>
      </w:pPr>
    </w:p>
    <w:p>
      <w:pPr>
        <w:ind w:left="340"/>
        <w:spacing w:after="0"/>
        <w:rPr>
          <w:sz w:val="20"/>
          <w:szCs w:val="20"/>
          <w:color w:val="auto"/>
        </w:rPr>
      </w:pPr>
      <w:r>
        <w:rPr>
          <w:rFonts w:ascii="Arial" w:cs="Arial" w:eastAsia="Arial" w:hAnsi="Arial"/>
          <w:sz w:val="18"/>
          <w:szCs w:val="18"/>
          <w:color w:val="auto"/>
        </w:rPr>
        <w:t>Before the release of the Short-sell Report, the Sponsor performed the following verification procedures:</w:t>
      </w:r>
    </w:p>
    <w:p>
      <w:pPr>
        <w:spacing w:after="0" w:line="252" w:lineRule="exact"/>
        <w:rPr>
          <w:sz w:val="20"/>
          <w:szCs w:val="20"/>
          <w:color w:val="auto"/>
        </w:rPr>
      </w:pPr>
    </w:p>
    <w:p>
      <w:pPr>
        <w:ind w:left="520" w:hanging="188"/>
        <w:spacing w:after="0"/>
        <w:tabs>
          <w:tab w:leader="none" w:pos="520" w:val="left"/>
        </w:tabs>
        <w:numPr>
          <w:ilvl w:val="0"/>
          <w:numId w:val="8"/>
        </w:numPr>
        <w:rPr>
          <w:rFonts w:ascii="Arial" w:cs="Arial" w:eastAsia="Arial" w:hAnsi="Arial"/>
          <w:sz w:val="17"/>
          <w:szCs w:val="17"/>
          <w:color w:val="auto"/>
        </w:rPr>
      </w:pPr>
      <w:r>
        <w:rPr>
          <w:rFonts w:ascii="Arial" w:cs="Arial" w:eastAsia="Arial" w:hAnsi="Arial"/>
          <w:sz w:val="17"/>
          <w:szCs w:val="17"/>
          <w:color w:val="auto"/>
        </w:rPr>
        <w:t>Checking the Issuer’s revenue recognition policy and key internal control, and testing the operational effectiveness of relevant internal control;</w:t>
      </w:r>
    </w:p>
    <w:p>
      <w:pPr>
        <w:spacing w:after="0" w:line="263" w:lineRule="exact"/>
        <w:rPr>
          <w:rFonts w:ascii="Arial" w:cs="Arial" w:eastAsia="Arial" w:hAnsi="Arial"/>
          <w:sz w:val="17"/>
          <w:szCs w:val="17"/>
          <w:color w:val="auto"/>
        </w:rPr>
      </w:pPr>
    </w:p>
    <w:p>
      <w:pPr>
        <w:ind w:left="520" w:hanging="188"/>
        <w:spacing w:after="0"/>
        <w:tabs>
          <w:tab w:leader="none" w:pos="520" w:val="left"/>
        </w:tabs>
        <w:numPr>
          <w:ilvl w:val="0"/>
          <w:numId w:val="8"/>
        </w:numPr>
        <w:rPr>
          <w:rFonts w:ascii="Arial" w:cs="Arial" w:eastAsia="Arial" w:hAnsi="Arial"/>
          <w:sz w:val="18"/>
          <w:szCs w:val="18"/>
          <w:color w:val="auto"/>
        </w:rPr>
      </w:pPr>
      <w:r>
        <w:rPr>
          <w:rFonts w:ascii="Arial" w:cs="Arial" w:eastAsia="Arial" w:hAnsi="Arial"/>
          <w:sz w:val="18"/>
          <w:szCs w:val="18"/>
          <w:color w:val="auto"/>
        </w:rPr>
        <w:t>Obtaining the income statements and main sales contracts during the Reporting Period;</w:t>
      </w:r>
    </w:p>
    <w:p>
      <w:pPr>
        <w:spacing w:after="0" w:line="252" w:lineRule="exact"/>
        <w:rPr>
          <w:rFonts w:ascii="Arial" w:cs="Arial" w:eastAsia="Arial" w:hAnsi="Arial"/>
          <w:sz w:val="18"/>
          <w:szCs w:val="18"/>
          <w:color w:val="auto"/>
        </w:rPr>
      </w:pPr>
    </w:p>
    <w:p>
      <w:pPr>
        <w:ind w:left="520" w:hanging="188"/>
        <w:spacing w:after="0"/>
        <w:tabs>
          <w:tab w:leader="none" w:pos="520" w:val="left"/>
        </w:tabs>
        <w:numPr>
          <w:ilvl w:val="0"/>
          <w:numId w:val="8"/>
        </w:numPr>
        <w:rPr>
          <w:rFonts w:ascii="Arial" w:cs="Arial" w:eastAsia="Arial" w:hAnsi="Arial"/>
          <w:sz w:val="18"/>
          <w:szCs w:val="18"/>
          <w:color w:val="auto"/>
        </w:rPr>
      </w:pPr>
      <w:r>
        <w:rPr>
          <w:rFonts w:ascii="Arial" w:cs="Arial" w:eastAsia="Arial" w:hAnsi="Arial"/>
          <w:sz w:val="18"/>
          <w:szCs w:val="18"/>
          <w:color w:val="auto"/>
        </w:rPr>
        <w:t>Seeking confirmations from customers on information of the equipment sold and the goods on delivery; and</w:t>
      </w:r>
    </w:p>
    <w:p>
      <w:pPr>
        <w:spacing w:after="0" w:line="252" w:lineRule="exact"/>
        <w:rPr>
          <w:rFonts w:ascii="Arial" w:cs="Arial" w:eastAsia="Arial" w:hAnsi="Arial"/>
          <w:sz w:val="18"/>
          <w:szCs w:val="18"/>
          <w:color w:val="auto"/>
        </w:rPr>
      </w:pPr>
    </w:p>
    <w:p>
      <w:pPr>
        <w:ind w:left="520" w:hanging="188"/>
        <w:spacing w:after="0"/>
        <w:tabs>
          <w:tab w:leader="none" w:pos="520" w:val="left"/>
        </w:tabs>
        <w:numPr>
          <w:ilvl w:val="0"/>
          <w:numId w:val="8"/>
        </w:numPr>
        <w:rPr>
          <w:rFonts w:ascii="Arial" w:cs="Arial" w:eastAsia="Arial" w:hAnsi="Arial"/>
          <w:sz w:val="18"/>
          <w:szCs w:val="18"/>
          <w:color w:val="auto"/>
        </w:rPr>
      </w:pPr>
      <w:r>
        <w:rPr>
          <w:rFonts w:ascii="Arial" w:cs="Arial" w:eastAsia="Arial" w:hAnsi="Arial"/>
          <w:sz w:val="18"/>
          <w:szCs w:val="18"/>
          <w:color w:val="auto"/>
        </w:rPr>
        <w:t>Interviewing customers to understand the sales of the Issuer’s products.</w:t>
      </w:r>
    </w:p>
    <w:p>
      <w:pPr>
        <w:spacing w:after="0" w:line="252"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After the release of the Short-sell Report, the Sponsor performed the following further procedures with respect to the Company’s product sales price in 2019:</w:t>
      </w:r>
    </w:p>
    <w:p>
      <w:pPr>
        <w:spacing w:after="0" w:line="197" w:lineRule="exact"/>
        <w:rPr>
          <w:sz w:val="20"/>
          <w:szCs w:val="20"/>
          <w:color w:val="auto"/>
        </w:rPr>
      </w:pPr>
    </w:p>
    <w:p>
      <w:pPr>
        <w:ind w:right="20" w:firstLine="332"/>
        <w:spacing w:after="0" w:line="277" w:lineRule="auto"/>
        <w:tabs>
          <w:tab w:leader="none" w:pos="510" w:val="left"/>
        </w:tabs>
        <w:numPr>
          <w:ilvl w:val="0"/>
          <w:numId w:val="9"/>
        </w:numPr>
        <w:rPr>
          <w:rFonts w:ascii="Arial" w:cs="Arial" w:eastAsia="Arial" w:hAnsi="Arial"/>
          <w:sz w:val="18"/>
          <w:szCs w:val="18"/>
          <w:color w:val="auto"/>
        </w:rPr>
      </w:pPr>
      <w:r>
        <w:rPr>
          <w:rFonts w:ascii="Arial" w:cs="Arial" w:eastAsia="Arial" w:hAnsi="Arial"/>
          <w:sz w:val="18"/>
          <w:szCs w:val="18"/>
          <w:color w:val="auto"/>
        </w:rPr>
        <w:t>Obtaining the sales details of the Company in 2019 and checking whether there are two wafer cleaners whose average price is USD2.8 million to a single customer;</w:t>
      </w:r>
    </w:p>
    <w:p>
      <w:pPr>
        <w:spacing w:after="0" w:line="197" w:lineRule="exact"/>
        <w:rPr>
          <w:rFonts w:ascii="Arial" w:cs="Arial" w:eastAsia="Arial" w:hAnsi="Arial"/>
          <w:sz w:val="18"/>
          <w:szCs w:val="18"/>
          <w:color w:val="auto"/>
        </w:rPr>
      </w:pPr>
    </w:p>
    <w:p>
      <w:pPr>
        <w:ind w:firstLine="332"/>
        <w:spacing w:after="0" w:line="277" w:lineRule="auto"/>
        <w:tabs>
          <w:tab w:leader="none" w:pos="512" w:val="left"/>
        </w:tabs>
        <w:numPr>
          <w:ilvl w:val="0"/>
          <w:numId w:val="9"/>
        </w:numPr>
        <w:rPr>
          <w:rFonts w:ascii="Arial" w:cs="Arial" w:eastAsia="Arial" w:hAnsi="Arial"/>
          <w:sz w:val="18"/>
          <w:szCs w:val="18"/>
          <w:color w:val="auto"/>
        </w:rPr>
      </w:pPr>
      <w:r>
        <w:rPr>
          <w:rFonts w:ascii="Arial" w:cs="Arial" w:eastAsia="Arial" w:hAnsi="Arial"/>
          <w:sz w:val="18"/>
          <w:szCs w:val="18"/>
          <w:color w:val="auto"/>
        </w:rPr>
        <w:t>Analyzing the unit price range of single-wafer cleaning equipment in 2019, and recalculating the average price of single-wafer cleaning equipment in 2019; and</w:t>
      </w:r>
    </w:p>
    <w:p>
      <w:pPr>
        <w:spacing w:after="0" w:line="197" w:lineRule="exact"/>
        <w:rPr>
          <w:rFonts w:ascii="Arial" w:cs="Arial" w:eastAsia="Arial" w:hAnsi="Arial"/>
          <w:sz w:val="18"/>
          <w:szCs w:val="18"/>
          <w:color w:val="auto"/>
        </w:rPr>
      </w:pPr>
    </w:p>
    <w:p>
      <w:pPr>
        <w:ind w:left="520" w:hanging="188"/>
        <w:spacing w:after="0"/>
        <w:tabs>
          <w:tab w:leader="none" w:pos="520" w:val="left"/>
        </w:tabs>
        <w:numPr>
          <w:ilvl w:val="0"/>
          <w:numId w:val="9"/>
        </w:numPr>
        <w:rPr>
          <w:rFonts w:ascii="Arial" w:cs="Arial" w:eastAsia="Arial" w:hAnsi="Arial"/>
          <w:sz w:val="18"/>
          <w:szCs w:val="18"/>
          <w:color w:val="auto"/>
        </w:rPr>
      </w:pPr>
      <w:r>
        <w:rPr>
          <w:rFonts w:ascii="Arial" w:cs="Arial" w:eastAsia="Arial" w:hAnsi="Arial"/>
          <w:sz w:val="18"/>
          <w:szCs w:val="18"/>
          <w:color w:val="auto"/>
        </w:rPr>
        <w:t>Rechecking the calculation process of the average selling unit price of the Company’s products.</w:t>
      </w: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8-4-1-15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9" w:name="page20"/>
    <w:bookmarkEnd w:id="19"/>
    <w:p>
      <w:pPr>
        <w:ind w:left="340"/>
        <w:spacing w:after="0"/>
        <w:rPr>
          <w:sz w:val="20"/>
          <w:szCs w:val="20"/>
          <w:color w:val="auto"/>
        </w:rPr>
      </w:pPr>
      <w:r>
        <w:rPr>
          <w:rFonts w:ascii="Arial" w:cs="Arial" w:eastAsia="Arial" w:hAnsi="Arial"/>
          <w:sz w:val="18"/>
          <w:szCs w:val="18"/>
          <w:b w:val="1"/>
          <w:bCs w:val="1"/>
          <w:color w:val="auto"/>
        </w:rPr>
        <w:t>(ii) Verification Opinions</w:t>
      </w:r>
    </w:p>
    <w:p>
      <w:pPr>
        <w:spacing w:after="0" w:line="256" w:lineRule="exact"/>
        <w:rPr>
          <w:sz w:val="20"/>
          <w:szCs w:val="20"/>
          <w:color w:val="auto"/>
        </w:rPr>
      </w:pPr>
    </w:p>
    <w:p>
      <w:pPr>
        <w:ind w:left="340"/>
        <w:spacing w:after="0"/>
        <w:rPr>
          <w:sz w:val="20"/>
          <w:szCs w:val="20"/>
          <w:color w:val="auto"/>
        </w:rPr>
      </w:pPr>
      <w:r>
        <w:rPr>
          <w:rFonts w:ascii="Arial" w:cs="Arial" w:eastAsia="Arial" w:hAnsi="Arial"/>
          <w:sz w:val="18"/>
          <w:szCs w:val="18"/>
          <w:color w:val="auto"/>
        </w:rPr>
        <w:t>Upon verification, the Sponsor opines that:</w:t>
      </w:r>
    </w:p>
    <w:p>
      <w:pPr>
        <w:spacing w:after="0" w:line="252" w:lineRule="exact"/>
        <w:rPr>
          <w:sz w:val="20"/>
          <w:szCs w:val="20"/>
          <w:color w:val="auto"/>
        </w:rPr>
      </w:pPr>
    </w:p>
    <w:p>
      <w:pPr>
        <w:ind w:firstLine="324"/>
        <w:spacing w:after="0" w:line="342" w:lineRule="auto"/>
        <w:rPr>
          <w:sz w:val="20"/>
          <w:szCs w:val="20"/>
          <w:color w:val="auto"/>
        </w:rPr>
      </w:pPr>
      <w:r>
        <w:rPr>
          <w:rFonts w:ascii="Arial" w:cs="Arial" w:eastAsia="Arial" w:hAnsi="Arial"/>
          <w:sz w:val="16"/>
          <w:szCs w:val="16"/>
          <w:color w:val="auto"/>
        </w:rPr>
        <w:t>During the Reporting Period, the amount of sales revenue and the average price of products of the Issuer were accurate and properly disclosed; the Short-sell Report refers to a sales price for a single customer as the average price, which is not the average price of all equipment, so it is not comparable.</w:t>
      </w:r>
    </w:p>
    <w:p>
      <w:pPr>
        <w:spacing w:after="0" w:line="147" w:lineRule="exact"/>
        <w:rPr>
          <w:sz w:val="20"/>
          <w:szCs w:val="20"/>
          <w:color w:val="auto"/>
        </w:rPr>
      </w:pPr>
    </w:p>
    <w:p>
      <w:pPr>
        <w:ind w:left="340" w:right="2200" w:hanging="8"/>
        <w:spacing w:after="0" w:line="534" w:lineRule="auto"/>
        <w:tabs>
          <w:tab w:leader="none" w:pos="520" w:val="left"/>
        </w:tabs>
        <w:numPr>
          <w:ilvl w:val="0"/>
          <w:numId w:val="10"/>
        </w:numPr>
        <w:rPr>
          <w:rFonts w:ascii="Arial" w:cs="Arial" w:eastAsia="Arial" w:hAnsi="Arial"/>
          <w:sz w:val="18"/>
          <w:szCs w:val="18"/>
          <w:b w:val="1"/>
          <w:bCs w:val="1"/>
          <w:color w:val="auto"/>
        </w:rPr>
      </w:pPr>
      <w:r>
        <w:rPr>
          <w:rFonts w:ascii="Arial" w:cs="Arial" w:eastAsia="Arial" w:hAnsi="Arial"/>
          <w:sz w:val="18"/>
          <w:szCs w:val="18"/>
          <w:b w:val="1"/>
          <w:bCs w:val="1"/>
          <w:color w:val="auto"/>
        </w:rPr>
        <w:t>Core Challenge 2: About Gross Profit Margin (Index of Verification in Response to the Short-sell Report, No.4) Challenge in the Short-sell Report (Short-sell Report, pp.4-5):</w:t>
      </w:r>
    </w:p>
    <w:p>
      <w:pPr>
        <w:spacing w:after="0" w:line="1" w:lineRule="exact"/>
        <w:rPr>
          <w:sz w:val="20"/>
          <w:szCs w:val="20"/>
          <w:color w:val="auto"/>
        </w:rPr>
      </w:pPr>
    </w:p>
    <w:p>
      <w:pPr>
        <w:jc w:val="both"/>
        <w:ind w:firstLine="324"/>
        <w:spacing w:after="0" w:line="301" w:lineRule="auto"/>
        <w:rPr>
          <w:sz w:val="20"/>
          <w:szCs w:val="20"/>
          <w:color w:val="auto"/>
        </w:rPr>
      </w:pPr>
      <w:r>
        <w:rPr>
          <w:rFonts w:ascii="Arial" w:cs="Arial" w:eastAsia="Arial" w:hAnsi="Arial"/>
          <w:sz w:val="16"/>
          <w:szCs w:val="16"/>
          <w:color w:val="auto"/>
        </w:rPr>
        <w:t>“Grossly overstated margins. Not only is revenue overstated, but we have a mountain of evidence showing inflated profits. We believe that Screen Holdings, which commands roughly 40% of the world market for wafer-cleaning equipment, is the company most directly comparable to ACMR. Screen owns more technology and more manufacturing equipment. Screen reports gross margins of 23.7%. Screen (DNS) is 26x the size of ACMR and has more equipment and technology. It also has 40% of the world market in the same product category. So why are ACMR’s gross margins double?”</w:t>
      </w:r>
    </w:p>
    <w:p>
      <w:pPr>
        <w:spacing w:after="0" w:line="180"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Response:</w:t>
      </w:r>
    </w:p>
    <w:p>
      <w:pPr>
        <w:spacing w:after="0" w:line="252"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I. Clarification by the Issuer</w:t>
      </w:r>
    </w:p>
    <w:p>
      <w:pPr>
        <w:spacing w:after="0" w:line="256"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The Company’s gross profit margin was accurately disclosed. The gross profit margins of the Company and listed companies in the same industry have been disclosed by the Company in “Section VIII. XI. (IV) Gross Margin Analysis) of the Prospectus.</w:t>
      </w:r>
    </w:p>
    <w:p>
      <w:pPr>
        <w:spacing w:after="0" w:line="193"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(i) The gross profit margin of the Issuer’s main business is relatively high and maintains stable.</w:t>
      </w:r>
    </w:p>
    <w:p>
      <w:pPr>
        <w:spacing w:after="0" w:line="256" w:lineRule="exact"/>
        <w:rPr>
          <w:sz w:val="20"/>
          <w:szCs w:val="20"/>
          <w:color w:val="auto"/>
        </w:rPr>
      </w:pPr>
    </w:p>
    <w:p>
      <w:pPr>
        <w:ind w:left="340"/>
        <w:spacing w:after="0"/>
        <w:rPr>
          <w:sz w:val="20"/>
          <w:szCs w:val="20"/>
          <w:color w:val="auto"/>
        </w:rPr>
      </w:pPr>
      <w:r>
        <w:rPr>
          <w:rFonts w:ascii="Arial" w:cs="Arial" w:eastAsia="Arial" w:hAnsi="Arial"/>
          <w:sz w:val="18"/>
          <w:szCs w:val="18"/>
          <w:color w:val="auto"/>
        </w:rPr>
        <w:t>During the Reporting Period, the Company’s gross profit margin concerning its main business by product type is shown as below:</w:t>
      </w:r>
    </w:p>
    <w:p>
      <w:pPr>
        <w:spacing w:after="0" w:line="246" w:lineRule="exact"/>
        <w:rPr>
          <w:sz w:val="20"/>
          <w:szCs w:val="20"/>
          <w:color w:val="auto"/>
        </w:rPr>
      </w:pPr>
    </w:p>
    <w:tbl>
      <w:tblPr>
        <w:tblLayout w:type="fixed"/>
        <w:tblInd w:w="10" w:type="dxa"/>
        <w:tblCellMar>
          <w:top w:w="0" w:type="dxa"/>
          <w:left w:w="0" w:type="dxa"/>
          <w:bottom w:w="0" w:type="dxa"/>
          <w:right w:w="0" w:type="dxa"/>
        </w:tblCellMar>
      </w:tblPr>
      <w:tr>
        <w:trPr>
          <w:trHeight w:val="250"/>
        </w:trPr>
        <w:tc>
          <w:tcPr>
            <w:tcW w:w="2420" w:type="dxa"/>
            <w:vAlign w:val="bottom"/>
            <w:tcBorders>
              <w:top w:val="single" w:sz="8" w:color="auto"/>
              <w:left w:val="single" w:sz="8" w:color="auto"/>
              <w:right w:val="single" w:sz="8" w:color="auto"/>
            </w:tcBorders>
          </w:tcPr>
          <w:p>
            <w:pPr>
              <w:spacing w:after="0"/>
              <w:rPr>
                <w:sz w:val="21"/>
                <w:szCs w:val="21"/>
                <w:color w:val="auto"/>
              </w:rPr>
            </w:pPr>
          </w:p>
        </w:tc>
        <w:tc>
          <w:tcPr>
            <w:tcW w:w="2160" w:type="dxa"/>
            <w:vAlign w:val="bottom"/>
            <w:tcBorders>
              <w:top w:val="single" w:sz="8" w:color="auto"/>
              <w:bottom w:val="single" w:sz="8" w:color="auto"/>
              <w:right w:val="single" w:sz="8" w:color="auto"/>
            </w:tcBorders>
            <w:gridSpan w:val="2"/>
          </w:tcPr>
          <w:p>
            <w:pPr>
              <w:jc w:val="right"/>
              <w:ind w:right="390"/>
              <w:spacing w:after="0"/>
              <w:rPr>
                <w:sz w:val="20"/>
                <w:szCs w:val="20"/>
                <w:color w:val="auto"/>
              </w:rPr>
            </w:pPr>
            <w:r>
              <w:rPr>
                <w:rFonts w:ascii="Arial" w:cs="Arial" w:eastAsia="Arial" w:hAnsi="Arial"/>
                <w:sz w:val="18"/>
                <w:szCs w:val="18"/>
                <w:b w:val="1"/>
                <w:bCs w:val="1"/>
                <w:color w:val="auto"/>
              </w:rPr>
              <w:t>Jan. - Jun. 2020</w:t>
            </w:r>
          </w:p>
        </w:tc>
        <w:tc>
          <w:tcPr>
            <w:tcW w:w="1340" w:type="dxa"/>
            <w:vAlign w:val="bottom"/>
            <w:tcBorders>
              <w:top w:val="single" w:sz="8" w:color="auto"/>
              <w:bottom w:val="single" w:sz="8" w:color="auto"/>
            </w:tcBorders>
            <w:gridSpan w:val="2"/>
          </w:tcPr>
          <w:p>
            <w:pPr>
              <w:jc w:val="right"/>
              <w:ind w:right="20"/>
              <w:spacing w:after="0"/>
              <w:rPr>
                <w:sz w:val="20"/>
                <w:szCs w:val="20"/>
                <w:color w:val="auto"/>
              </w:rPr>
            </w:pPr>
            <w:r>
              <w:rPr>
                <w:rFonts w:ascii="Arial" w:cs="Arial" w:eastAsia="Arial" w:hAnsi="Arial"/>
                <w:sz w:val="18"/>
                <w:szCs w:val="18"/>
                <w:b w:val="1"/>
                <w:bCs w:val="1"/>
                <w:color w:val="auto"/>
              </w:rPr>
              <w:t>2019</w:t>
            </w:r>
          </w:p>
        </w:tc>
        <w:tc>
          <w:tcPr>
            <w:tcW w:w="940" w:type="dxa"/>
            <w:vAlign w:val="bottom"/>
            <w:tcBorders>
              <w:top w:val="single" w:sz="8" w:color="auto"/>
              <w:bottom w:val="single" w:sz="8" w:color="auto"/>
              <w:right w:val="single" w:sz="8" w:color="auto"/>
            </w:tcBorders>
          </w:tcPr>
          <w:p>
            <w:pPr>
              <w:spacing w:after="0"/>
              <w:rPr>
                <w:sz w:val="21"/>
                <w:szCs w:val="21"/>
                <w:color w:val="auto"/>
              </w:rPr>
            </w:pPr>
          </w:p>
        </w:tc>
        <w:tc>
          <w:tcPr>
            <w:tcW w:w="1340" w:type="dxa"/>
            <w:vAlign w:val="bottom"/>
            <w:tcBorders>
              <w:top w:val="single" w:sz="8" w:color="auto"/>
              <w:bottom w:val="single" w:sz="8" w:color="auto"/>
            </w:tcBorders>
            <w:gridSpan w:val="2"/>
          </w:tcPr>
          <w:p>
            <w:pPr>
              <w:jc w:val="right"/>
              <w:ind w:right="20"/>
              <w:spacing w:after="0"/>
              <w:rPr>
                <w:sz w:val="20"/>
                <w:szCs w:val="20"/>
                <w:color w:val="auto"/>
              </w:rPr>
            </w:pPr>
            <w:r>
              <w:rPr>
                <w:rFonts w:ascii="Arial" w:cs="Arial" w:eastAsia="Arial" w:hAnsi="Arial"/>
                <w:sz w:val="18"/>
                <w:szCs w:val="18"/>
                <w:b w:val="1"/>
                <w:bCs w:val="1"/>
                <w:color w:val="auto"/>
              </w:rPr>
              <w:t>2018</w:t>
            </w:r>
          </w:p>
        </w:tc>
        <w:tc>
          <w:tcPr>
            <w:tcW w:w="940" w:type="dxa"/>
            <w:vAlign w:val="bottom"/>
            <w:tcBorders>
              <w:top w:val="single" w:sz="8" w:color="auto"/>
              <w:bottom w:val="single" w:sz="8" w:color="auto"/>
              <w:right w:val="single" w:sz="8" w:color="auto"/>
            </w:tcBorders>
          </w:tcPr>
          <w:p>
            <w:pPr>
              <w:spacing w:after="0"/>
              <w:rPr>
                <w:sz w:val="21"/>
                <w:szCs w:val="21"/>
                <w:color w:val="auto"/>
              </w:rPr>
            </w:pPr>
          </w:p>
        </w:tc>
        <w:tc>
          <w:tcPr>
            <w:tcW w:w="1240" w:type="dxa"/>
            <w:vAlign w:val="bottom"/>
            <w:tcBorders>
              <w:top w:val="single" w:sz="8" w:color="auto"/>
              <w:bottom w:val="single" w:sz="8" w:color="auto"/>
            </w:tcBorders>
            <w:gridSpan w:val="2"/>
          </w:tcPr>
          <w:p>
            <w:pPr>
              <w:jc w:val="right"/>
              <w:ind w:right="20"/>
              <w:spacing w:after="0"/>
              <w:rPr>
                <w:sz w:val="20"/>
                <w:szCs w:val="20"/>
                <w:color w:val="auto"/>
              </w:rPr>
            </w:pPr>
            <w:r>
              <w:rPr>
                <w:rFonts w:ascii="Arial" w:cs="Arial" w:eastAsia="Arial" w:hAnsi="Arial"/>
                <w:sz w:val="18"/>
                <w:szCs w:val="18"/>
                <w:b w:val="1"/>
                <w:bCs w:val="1"/>
                <w:color w:val="auto"/>
              </w:rPr>
              <w:t>2017</w:t>
            </w:r>
          </w:p>
        </w:tc>
        <w:tc>
          <w:tcPr>
            <w:tcW w:w="860" w:type="dxa"/>
            <w:vAlign w:val="bottom"/>
            <w:tcBorders>
              <w:top w:val="single" w:sz="8" w:color="auto"/>
              <w:bottom w:val="single" w:sz="8" w:color="auto"/>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198"/>
        </w:trPr>
        <w:tc>
          <w:tcPr>
            <w:tcW w:w="2420" w:type="dxa"/>
            <w:vAlign w:val="bottom"/>
            <w:tcBorders>
              <w:left w:val="single" w:sz="8" w:color="auto"/>
              <w:right w:val="single" w:sz="8" w:color="auto"/>
            </w:tcBorders>
            <w:vMerge w:val="restart"/>
          </w:tcPr>
          <w:p>
            <w:pPr>
              <w:ind w:left="1020"/>
              <w:spacing w:after="0"/>
              <w:rPr>
                <w:sz w:val="20"/>
                <w:szCs w:val="20"/>
                <w:color w:val="auto"/>
              </w:rPr>
            </w:pPr>
            <w:r>
              <w:rPr>
                <w:rFonts w:ascii="Arial" w:cs="Arial" w:eastAsia="Arial" w:hAnsi="Arial"/>
                <w:sz w:val="18"/>
                <w:szCs w:val="18"/>
                <w:b w:val="1"/>
                <w:bCs w:val="1"/>
                <w:color w:val="auto"/>
              </w:rPr>
              <w:t>Item</w:t>
            </w:r>
          </w:p>
        </w:tc>
        <w:tc>
          <w:tcPr>
            <w:tcW w:w="1000" w:type="dxa"/>
            <w:vAlign w:val="bottom"/>
            <w:tcBorders>
              <w:right w:val="single" w:sz="8" w:color="auto"/>
            </w:tcBorders>
          </w:tcPr>
          <w:p>
            <w:pPr>
              <w:jc w:val="center"/>
              <w:spacing w:after="0" w:line="198" w:lineRule="exact"/>
              <w:rPr>
                <w:sz w:val="20"/>
                <w:szCs w:val="20"/>
                <w:color w:val="auto"/>
              </w:rPr>
            </w:pPr>
            <w:r>
              <w:rPr>
                <w:rFonts w:ascii="Arial" w:cs="Arial" w:eastAsia="Arial" w:hAnsi="Arial"/>
                <w:sz w:val="18"/>
                <w:szCs w:val="18"/>
                <w:b w:val="1"/>
                <w:bCs w:val="1"/>
                <w:color w:val="auto"/>
                <w:w w:val="84"/>
              </w:rPr>
              <w:t>Gross</w:t>
            </w:r>
          </w:p>
        </w:tc>
        <w:tc>
          <w:tcPr>
            <w:tcW w:w="1160" w:type="dxa"/>
            <w:vAlign w:val="bottom"/>
            <w:tcBorders>
              <w:right w:val="single" w:sz="8" w:color="auto"/>
            </w:tcBorders>
            <w:vMerge w:val="restart"/>
          </w:tcPr>
          <w:p>
            <w:pPr>
              <w:jc w:val="right"/>
              <w:ind w:right="170"/>
              <w:spacing w:after="0"/>
              <w:rPr>
                <w:sz w:val="20"/>
                <w:szCs w:val="20"/>
                <w:color w:val="auto"/>
              </w:rPr>
            </w:pPr>
            <w:r>
              <w:rPr>
                <w:rFonts w:ascii="Arial" w:cs="Arial" w:eastAsia="Arial" w:hAnsi="Arial"/>
                <w:sz w:val="18"/>
                <w:szCs w:val="18"/>
                <w:b w:val="1"/>
                <w:bCs w:val="1"/>
                <w:color w:val="auto"/>
              </w:rPr>
              <w:t>Revenue</w:t>
            </w:r>
          </w:p>
        </w:tc>
        <w:tc>
          <w:tcPr>
            <w:tcW w:w="1120" w:type="dxa"/>
            <w:vAlign w:val="bottom"/>
            <w:tcBorders>
              <w:right w:val="single" w:sz="8" w:color="auto"/>
            </w:tcBorders>
          </w:tcPr>
          <w:p>
            <w:pPr>
              <w:jc w:val="center"/>
              <w:spacing w:after="0" w:line="198" w:lineRule="exact"/>
              <w:rPr>
                <w:sz w:val="20"/>
                <w:szCs w:val="20"/>
                <w:color w:val="auto"/>
              </w:rPr>
            </w:pPr>
            <w:r>
              <w:rPr>
                <w:rFonts w:ascii="Arial" w:cs="Arial" w:eastAsia="Arial" w:hAnsi="Arial"/>
                <w:sz w:val="18"/>
                <w:szCs w:val="18"/>
                <w:b w:val="1"/>
                <w:bCs w:val="1"/>
                <w:color w:val="auto"/>
                <w:w w:val="88"/>
              </w:rPr>
              <w:t>Gross</w:t>
            </w:r>
          </w:p>
        </w:tc>
        <w:tc>
          <w:tcPr>
            <w:tcW w:w="220" w:type="dxa"/>
            <w:vAlign w:val="bottom"/>
          </w:tcPr>
          <w:p>
            <w:pPr>
              <w:spacing w:after="0"/>
              <w:rPr>
                <w:sz w:val="17"/>
                <w:szCs w:val="17"/>
                <w:color w:val="auto"/>
              </w:rPr>
            </w:pPr>
          </w:p>
        </w:tc>
        <w:tc>
          <w:tcPr>
            <w:tcW w:w="940" w:type="dxa"/>
            <w:vAlign w:val="bottom"/>
            <w:tcBorders>
              <w:right w:val="single" w:sz="8" w:color="auto"/>
            </w:tcBorders>
            <w:vMerge w:val="restart"/>
          </w:tcPr>
          <w:p>
            <w:pPr>
              <w:jc w:val="right"/>
              <w:ind w:right="170"/>
              <w:spacing w:after="0"/>
              <w:rPr>
                <w:sz w:val="20"/>
                <w:szCs w:val="20"/>
                <w:color w:val="auto"/>
              </w:rPr>
            </w:pPr>
            <w:r>
              <w:rPr>
                <w:rFonts w:ascii="Arial" w:cs="Arial" w:eastAsia="Arial" w:hAnsi="Arial"/>
                <w:sz w:val="18"/>
                <w:szCs w:val="18"/>
                <w:b w:val="1"/>
                <w:bCs w:val="1"/>
                <w:color w:val="auto"/>
                <w:w w:val="87"/>
              </w:rPr>
              <w:t>Revenue</w:t>
            </w:r>
          </w:p>
        </w:tc>
        <w:tc>
          <w:tcPr>
            <w:tcW w:w="1120" w:type="dxa"/>
            <w:vAlign w:val="bottom"/>
            <w:tcBorders>
              <w:right w:val="single" w:sz="8" w:color="auto"/>
            </w:tcBorders>
          </w:tcPr>
          <w:p>
            <w:pPr>
              <w:jc w:val="center"/>
              <w:spacing w:after="0" w:line="198" w:lineRule="exact"/>
              <w:rPr>
                <w:sz w:val="20"/>
                <w:szCs w:val="20"/>
                <w:color w:val="auto"/>
              </w:rPr>
            </w:pPr>
            <w:r>
              <w:rPr>
                <w:rFonts w:ascii="Arial" w:cs="Arial" w:eastAsia="Arial" w:hAnsi="Arial"/>
                <w:sz w:val="18"/>
                <w:szCs w:val="18"/>
                <w:b w:val="1"/>
                <w:bCs w:val="1"/>
                <w:color w:val="auto"/>
                <w:w w:val="88"/>
              </w:rPr>
              <w:t>Gross</w:t>
            </w:r>
          </w:p>
        </w:tc>
        <w:tc>
          <w:tcPr>
            <w:tcW w:w="220" w:type="dxa"/>
            <w:vAlign w:val="bottom"/>
          </w:tcPr>
          <w:p>
            <w:pPr>
              <w:spacing w:after="0"/>
              <w:rPr>
                <w:sz w:val="17"/>
                <w:szCs w:val="17"/>
                <w:color w:val="auto"/>
              </w:rPr>
            </w:pPr>
          </w:p>
        </w:tc>
        <w:tc>
          <w:tcPr>
            <w:tcW w:w="940" w:type="dxa"/>
            <w:vAlign w:val="bottom"/>
            <w:tcBorders>
              <w:right w:val="single" w:sz="8" w:color="auto"/>
            </w:tcBorders>
            <w:vMerge w:val="restart"/>
          </w:tcPr>
          <w:p>
            <w:pPr>
              <w:jc w:val="right"/>
              <w:ind w:right="170"/>
              <w:spacing w:after="0"/>
              <w:rPr>
                <w:sz w:val="20"/>
                <w:szCs w:val="20"/>
                <w:color w:val="auto"/>
              </w:rPr>
            </w:pPr>
            <w:r>
              <w:rPr>
                <w:rFonts w:ascii="Arial" w:cs="Arial" w:eastAsia="Arial" w:hAnsi="Arial"/>
                <w:sz w:val="18"/>
                <w:szCs w:val="18"/>
                <w:b w:val="1"/>
                <w:bCs w:val="1"/>
                <w:color w:val="auto"/>
                <w:w w:val="87"/>
              </w:rPr>
              <w:t>Revenue</w:t>
            </w:r>
          </w:p>
        </w:tc>
        <w:tc>
          <w:tcPr>
            <w:tcW w:w="1120" w:type="dxa"/>
            <w:vAlign w:val="bottom"/>
            <w:tcBorders>
              <w:right w:val="single" w:sz="8" w:color="auto"/>
            </w:tcBorders>
          </w:tcPr>
          <w:p>
            <w:pPr>
              <w:jc w:val="center"/>
              <w:spacing w:after="0" w:line="198" w:lineRule="exact"/>
              <w:rPr>
                <w:sz w:val="20"/>
                <w:szCs w:val="20"/>
                <w:color w:val="auto"/>
              </w:rPr>
            </w:pPr>
            <w:r>
              <w:rPr>
                <w:rFonts w:ascii="Arial" w:cs="Arial" w:eastAsia="Arial" w:hAnsi="Arial"/>
                <w:sz w:val="18"/>
                <w:szCs w:val="18"/>
                <w:b w:val="1"/>
                <w:bCs w:val="1"/>
                <w:color w:val="auto"/>
                <w:w w:val="84"/>
              </w:rPr>
              <w:t>Gross</w:t>
            </w:r>
          </w:p>
        </w:tc>
        <w:tc>
          <w:tcPr>
            <w:tcW w:w="120" w:type="dxa"/>
            <w:vAlign w:val="bottom"/>
          </w:tcPr>
          <w:p>
            <w:pPr>
              <w:spacing w:after="0"/>
              <w:rPr>
                <w:sz w:val="17"/>
                <w:szCs w:val="17"/>
                <w:color w:val="auto"/>
              </w:rPr>
            </w:pPr>
          </w:p>
        </w:tc>
        <w:tc>
          <w:tcPr>
            <w:tcW w:w="860" w:type="dxa"/>
            <w:vAlign w:val="bottom"/>
            <w:tcBorders>
              <w:right w:val="single" w:sz="8" w:color="auto"/>
            </w:tcBorders>
            <w:vMerge w:val="restart"/>
          </w:tcPr>
          <w:p>
            <w:pPr>
              <w:jc w:val="right"/>
              <w:ind w:right="70"/>
              <w:spacing w:after="0"/>
              <w:rPr>
                <w:sz w:val="20"/>
                <w:szCs w:val="20"/>
                <w:color w:val="auto"/>
              </w:rPr>
            </w:pPr>
            <w:r>
              <w:rPr>
                <w:rFonts w:ascii="Arial" w:cs="Arial" w:eastAsia="Arial" w:hAnsi="Arial"/>
                <w:sz w:val="18"/>
                <w:szCs w:val="18"/>
                <w:b w:val="1"/>
                <w:bCs w:val="1"/>
                <w:color w:val="auto"/>
                <w:w w:val="90"/>
              </w:rPr>
              <w:t>Revenue</w:t>
            </w:r>
          </w:p>
        </w:tc>
        <w:tc>
          <w:tcPr>
            <w:tcW w:w="0" w:type="dxa"/>
            <w:vAlign w:val="bottom"/>
          </w:tcPr>
          <w:p>
            <w:pPr>
              <w:spacing w:after="0"/>
              <w:rPr>
                <w:sz w:val="1"/>
                <w:szCs w:val="1"/>
                <w:color w:val="auto"/>
              </w:rPr>
            </w:pPr>
          </w:p>
        </w:tc>
      </w:tr>
      <w:tr>
        <w:trPr>
          <w:trHeight w:val="108"/>
        </w:trPr>
        <w:tc>
          <w:tcPr>
            <w:tcW w:w="2420" w:type="dxa"/>
            <w:vAlign w:val="bottom"/>
            <w:tcBorders>
              <w:left w:val="single" w:sz="8" w:color="auto"/>
              <w:right w:val="single" w:sz="8" w:color="auto"/>
            </w:tcBorders>
            <w:vMerge w:val="continue"/>
          </w:tcPr>
          <w:p>
            <w:pPr>
              <w:spacing w:after="0"/>
              <w:rPr>
                <w:sz w:val="9"/>
                <w:szCs w:val="9"/>
                <w:color w:val="auto"/>
              </w:rPr>
            </w:pPr>
          </w:p>
        </w:tc>
        <w:tc>
          <w:tcPr>
            <w:tcW w:w="10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b w:val="1"/>
                <w:bCs w:val="1"/>
                <w:color w:val="auto"/>
                <w:w w:val="93"/>
              </w:rPr>
              <w:t>Profit</w:t>
            </w:r>
          </w:p>
        </w:tc>
        <w:tc>
          <w:tcPr>
            <w:tcW w:w="1160" w:type="dxa"/>
            <w:vAlign w:val="bottom"/>
            <w:tcBorders>
              <w:right w:val="single" w:sz="8" w:color="auto"/>
            </w:tcBorders>
            <w:vMerge w:val="continue"/>
          </w:tcPr>
          <w:p>
            <w:pPr>
              <w:spacing w:after="0"/>
              <w:rPr>
                <w:sz w:val="9"/>
                <w:szCs w:val="9"/>
                <w:color w:val="auto"/>
              </w:rPr>
            </w:pPr>
          </w:p>
        </w:tc>
        <w:tc>
          <w:tcPr>
            <w:tcW w:w="11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b w:val="1"/>
                <w:bCs w:val="1"/>
                <w:color w:val="auto"/>
                <w:w w:val="97"/>
              </w:rPr>
              <w:t>Profit</w:t>
            </w:r>
          </w:p>
        </w:tc>
        <w:tc>
          <w:tcPr>
            <w:tcW w:w="220" w:type="dxa"/>
            <w:vAlign w:val="bottom"/>
          </w:tcPr>
          <w:p>
            <w:pPr>
              <w:spacing w:after="0"/>
              <w:rPr>
                <w:sz w:val="9"/>
                <w:szCs w:val="9"/>
                <w:color w:val="auto"/>
              </w:rPr>
            </w:pPr>
          </w:p>
        </w:tc>
        <w:tc>
          <w:tcPr>
            <w:tcW w:w="940" w:type="dxa"/>
            <w:vAlign w:val="bottom"/>
            <w:tcBorders>
              <w:right w:val="single" w:sz="8" w:color="auto"/>
            </w:tcBorders>
            <w:vMerge w:val="continue"/>
          </w:tcPr>
          <w:p>
            <w:pPr>
              <w:spacing w:after="0"/>
              <w:rPr>
                <w:sz w:val="9"/>
                <w:szCs w:val="9"/>
                <w:color w:val="auto"/>
              </w:rPr>
            </w:pPr>
          </w:p>
        </w:tc>
        <w:tc>
          <w:tcPr>
            <w:tcW w:w="11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b w:val="1"/>
                <w:bCs w:val="1"/>
                <w:color w:val="auto"/>
                <w:w w:val="97"/>
              </w:rPr>
              <w:t>Profit</w:t>
            </w:r>
          </w:p>
        </w:tc>
        <w:tc>
          <w:tcPr>
            <w:tcW w:w="220" w:type="dxa"/>
            <w:vAlign w:val="bottom"/>
          </w:tcPr>
          <w:p>
            <w:pPr>
              <w:spacing w:after="0"/>
              <w:rPr>
                <w:sz w:val="9"/>
                <w:szCs w:val="9"/>
                <w:color w:val="auto"/>
              </w:rPr>
            </w:pPr>
          </w:p>
        </w:tc>
        <w:tc>
          <w:tcPr>
            <w:tcW w:w="940" w:type="dxa"/>
            <w:vAlign w:val="bottom"/>
            <w:tcBorders>
              <w:right w:val="single" w:sz="8" w:color="auto"/>
            </w:tcBorders>
            <w:vMerge w:val="continue"/>
          </w:tcPr>
          <w:p>
            <w:pPr>
              <w:spacing w:after="0"/>
              <w:rPr>
                <w:sz w:val="9"/>
                <w:szCs w:val="9"/>
                <w:color w:val="auto"/>
              </w:rPr>
            </w:pPr>
          </w:p>
        </w:tc>
        <w:tc>
          <w:tcPr>
            <w:tcW w:w="11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b w:val="1"/>
                <w:bCs w:val="1"/>
                <w:color w:val="auto"/>
                <w:w w:val="93"/>
              </w:rPr>
              <w:t>Profit</w:t>
            </w:r>
          </w:p>
        </w:tc>
        <w:tc>
          <w:tcPr>
            <w:tcW w:w="120" w:type="dxa"/>
            <w:vAlign w:val="bottom"/>
          </w:tcPr>
          <w:p>
            <w:pPr>
              <w:spacing w:after="0"/>
              <w:rPr>
                <w:sz w:val="9"/>
                <w:szCs w:val="9"/>
                <w:color w:val="auto"/>
              </w:rPr>
            </w:pPr>
          </w:p>
        </w:tc>
        <w:tc>
          <w:tcPr>
            <w:tcW w:w="860" w:type="dxa"/>
            <w:vAlign w:val="bottom"/>
            <w:tcBorders>
              <w:right w:val="single" w:sz="8" w:color="auto"/>
            </w:tcBorders>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2420" w:type="dxa"/>
            <w:vAlign w:val="bottom"/>
            <w:tcBorders>
              <w:left w:val="single" w:sz="8" w:color="auto"/>
              <w:right w:val="single" w:sz="8" w:color="auto"/>
            </w:tcBorders>
          </w:tcPr>
          <w:p>
            <w:pPr>
              <w:spacing w:after="0"/>
              <w:rPr>
                <w:sz w:val="9"/>
                <w:szCs w:val="9"/>
                <w:color w:val="auto"/>
              </w:rPr>
            </w:pPr>
          </w:p>
        </w:tc>
        <w:tc>
          <w:tcPr>
            <w:tcW w:w="1000" w:type="dxa"/>
            <w:vAlign w:val="bottom"/>
            <w:tcBorders>
              <w:right w:val="single" w:sz="8" w:color="auto"/>
            </w:tcBorders>
            <w:vMerge w:val="continue"/>
          </w:tcPr>
          <w:p>
            <w:pPr>
              <w:spacing w:after="0"/>
              <w:rPr>
                <w:sz w:val="9"/>
                <w:szCs w:val="9"/>
                <w:color w:val="auto"/>
              </w:rPr>
            </w:pPr>
          </w:p>
        </w:tc>
        <w:tc>
          <w:tcPr>
            <w:tcW w:w="1160" w:type="dxa"/>
            <w:vAlign w:val="bottom"/>
            <w:tcBorders>
              <w:right w:val="single" w:sz="8" w:color="auto"/>
            </w:tcBorders>
            <w:vMerge w:val="restart"/>
          </w:tcPr>
          <w:p>
            <w:pPr>
              <w:jc w:val="right"/>
              <w:ind w:right="270"/>
              <w:spacing w:after="0"/>
              <w:rPr>
                <w:sz w:val="20"/>
                <w:szCs w:val="20"/>
                <w:color w:val="auto"/>
              </w:rPr>
            </w:pPr>
            <w:r>
              <w:rPr>
                <w:rFonts w:ascii="Arial" w:cs="Arial" w:eastAsia="Arial" w:hAnsi="Arial"/>
                <w:sz w:val="18"/>
                <w:szCs w:val="18"/>
                <w:b w:val="1"/>
                <w:bCs w:val="1"/>
                <w:color w:val="auto"/>
              </w:rPr>
              <w:t>Share</w:t>
            </w:r>
          </w:p>
        </w:tc>
        <w:tc>
          <w:tcPr>
            <w:tcW w:w="1120" w:type="dxa"/>
            <w:vAlign w:val="bottom"/>
            <w:tcBorders>
              <w:right w:val="single" w:sz="8" w:color="auto"/>
            </w:tcBorders>
            <w:vMerge w:val="continue"/>
          </w:tcPr>
          <w:p>
            <w:pPr>
              <w:spacing w:after="0"/>
              <w:rPr>
                <w:sz w:val="9"/>
                <w:szCs w:val="9"/>
                <w:color w:val="auto"/>
              </w:rPr>
            </w:pPr>
          </w:p>
        </w:tc>
        <w:tc>
          <w:tcPr>
            <w:tcW w:w="220" w:type="dxa"/>
            <w:vAlign w:val="bottom"/>
          </w:tcPr>
          <w:p>
            <w:pPr>
              <w:spacing w:after="0"/>
              <w:rPr>
                <w:sz w:val="9"/>
                <w:szCs w:val="9"/>
                <w:color w:val="auto"/>
              </w:rPr>
            </w:pPr>
          </w:p>
        </w:tc>
        <w:tc>
          <w:tcPr>
            <w:tcW w:w="940" w:type="dxa"/>
            <w:vAlign w:val="bottom"/>
            <w:tcBorders>
              <w:right w:val="single" w:sz="8" w:color="auto"/>
            </w:tcBorders>
            <w:vMerge w:val="restart"/>
          </w:tcPr>
          <w:p>
            <w:pPr>
              <w:jc w:val="right"/>
              <w:ind w:right="270"/>
              <w:spacing w:after="0"/>
              <w:rPr>
                <w:sz w:val="20"/>
                <w:szCs w:val="20"/>
                <w:color w:val="auto"/>
              </w:rPr>
            </w:pPr>
            <w:r>
              <w:rPr>
                <w:rFonts w:ascii="Arial" w:cs="Arial" w:eastAsia="Arial" w:hAnsi="Arial"/>
                <w:sz w:val="18"/>
                <w:szCs w:val="18"/>
                <w:b w:val="1"/>
                <w:bCs w:val="1"/>
                <w:color w:val="auto"/>
              </w:rPr>
              <w:t>Share</w:t>
            </w:r>
          </w:p>
        </w:tc>
        <w:tc>
          <w:tcPr>
            <w:tcW w:w="1120" w:type="dxa"/>
            <w:vAlign w:val="bottom"/>
            <w:tcBorders>
              <w:right w:val="single" w:sz="8" w:color="auto"/>
            </w:tcBorders>
            <w:vMerge w:val="continue"/>
          </w:tcPr>
          <w:p>
            <w:pPr>
              <w:spacing w:after="0"/>
              <w:rPr>
                <w:sz w:val="9"/>
                <w:szCs w:val="9"/>
                <w:color w:val="auto"/>
              </w:rPr>
            </w:pPr>
          </w:p>
        </w:tc>
        <w:tc>
          <w:tcPr>
            <w:tcW w:w="220" w:type="dxa"/>
            <w:vAlign w:val="bottom"/>
          </w:tcPr>
          <w:p>
            <w:pPr>
              <w:spacing w:after="0"/>
              <w:rPr>
                <w:sz w:val="9"/>
                <w:szCs w:val="9"/>
                <w:color w:val="auto"/>
              </w:rPr>
            </w:pPr>
          </w:p>
        </w:tc>
        <w:tc>
          <w:tcPr>
            <w:tcW w:w="940" w:type="dxa"/>
            <w:vAlign w:val="bottom"/>
            <w:tcBorders>
              <w:right w:val="single" w:sz="8" w:color="auto"/>
            </w:tcBorders>
            <w:vMerge w:val="restart"/>
          </w:tcPr>
          <w:p>
            <w:pPr>
              <w:jc w:val="right"/>
              <w:ind w:right="270"/>
              <w:spacing w:after="0"/>
              <w:rPr>
                <w:sz w:val="20"/>
                <w:szCs w:val="20"/>
                <w:color w:val="auto"/>
              </w:rPr>
            </w:pPr>
            <w:r>
              <w:rPr>
                <w:rFonts w:ascii="Arial" w:cs="Arial" w:eastAsia="Arial" w:hAnsi="Arial"/>
                <w:sz w:val="18"/>
                <w:szCs w:val="18"/>
                <w:b w:val="1"/>
                <w:bCs w:val="1"/>
                <w:color w:val="auto"/>
              </w:rPr>
              <w:t>Share</w:t>
            </w:r>
          </w:p>
        </w:tc>
        <w:tc>
          <w:tcPr>
            <w:tcW w:w="1120" w:type="dxa"/>
            <w:vAlign w:val="bottom"/>
            <w:tcBorders>
              <w:right w:val="single" w:sz="8" w:color="auto"/>
            </w:tcBorders>
            <w:vMerge w:val="continue"/>
          </w:tcPr>
          <w:p>
            <w:pPr>
              <w:spacing w:after="0"/>
              <w:rPr>
                <w:sz w:val="9"/>
                <w:szCs w:val="9"/>
                <w:color w:val="auto"/>
              </w:rPr>
            </w:pPr>
          </w:p>
        </w:tc>
        <w:tc>
          <w:tcPr>
            <w:tcW w:w="120" w:type="dxa"/>
            <w:vAlign w:val="bottom"/>
          </w:tcPr>
          <w:p>
            <w:pPr>
              <w:spacing w:after="0"/>
              <w:rPr>
                <w:sz w:val="9"/>
                <w:szCs w:val="9"/>
                <w:color w:val="auto"/>
              </w:rPr>
            </w:pPr>
          </w:p>
        </w:tc>
        <w:tc>
          <w:tcPr>
            <w:tcW w:w="860" w:type="dxa"/>
            <w:vAlign w:val="bottom"/>
            <w:tcBorders>
              <w:right w:val="single" w:sz="8" w:color="auto"/>
            </w:tcBorders>
            <w:vMerge w:val="restart"/>
          </w:tcPr>
          <w:p>
            <w:pPr>
              <w:jc w:val="right"/>
              <w:ind w:right="190"/>
              <w:spacing w:after="0"/>
              <w:rPr>
                <w:sz w:val="20"/>
                <w:szCs w:val="20"/>
                <w:color w:val="auto"/>
              </w:rPr>
            </w:pPr>
            <w:r>
              <w:rPr>
                <w:rFonts w:ascii="Arial" w:cs="Arial" w:eastAsia="Arial" w:hAnsi="Arial"/>
                <w:sz w:val="18"/>
                <w:szCs w:val="18"/>
                <w:b w:val="1"/>
                <w:bCs w:val="1"/>
                <w:color w:val="auto"/>
              </w:rPr>
              <w:t>Share</w:t>
            </w:r>
          </w:p>
        </w:tc>
        <w:tc>
          <w:tcPr>
            <w:tcW w:w="0" w:type="dxa"/>
            <w:vAlign w:val="bottom"/>
          </w:tcPr>
          <w:p>
            <w:pPr>
              <w:spacing w:after="0"/>
              <w:rPr>
                <w:sz w:val="1"/>
                <w:szCs w:val="1"/>
                <w:color w:val="auto"/>
              </w:rPr>
            </w:pPr>
          </w:p>
        </w:tc>
      </w:tr>
      <w:tr>
        <w:trPr>
          <w:trHeight w:val="126"/>
        </w:trPr>
        <w:tc>
          <w:tcPr>
            <w:tcW w:w="2420" w:type="dxa"/>
            <w:vAlign w:val="bottom"/>
            <w:tcBorders>
              <w:left w:val="single" w:sz="8" w:color="auto"/>
              <w:right w:val="single" w:sz="8" w:color="auto"/>
            </w:tcBorders>
          </w:tcPr>
          <w:p>
            <w:pPr>
              <w:spacing w:after="0"/>
              <w:rPr>
                <w:sz w:val="10"/>
                <w:szCs w:val="10"/>
                <w:color w:val="auto"/>
              </w:rPr>
            </w:pPr>
          </w:p>
        </w:tc>
        <w:tc>
          <w:tcPr>
            <w:tcW w:w="10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b w:val="1"/>
                <w:bCs w:val="1"/>
                <w:color w:val="auto"/>
                <w:w w:val="98"/>
              </w:rPr>
              <w:t>Margin</w:t>
            </w:r>
          </w:p>
        </w:tc>
        <w:tc>
          <w:tcPr>
            <w:tcW w:w="1160" w:type="dxa"/>
            <w:vAlign w:val="bottom"/>
            <w:tcBorders>
              <w:right w:val="single" w:sz="8" w:color="auto"/>
            </w:tcBorders>
            <w:vMerge w:val="continue"/>
          </w:tcPr>
          <w:p>
            <w:pPr>
              <w:spacing w:after="0"/>
              <w:rPr>
                <w:sz w:val="10"/>
                <w:szCs w:val="10"/>
                <w:color w:val="auto"/>
              </w:rPr>
            </w:pPr>
          </w:p>
        </w:tc>
        <w:tc>
          <w:tcPr>
            <w:tcW w:w="11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b w:val="1"/>
                <w:bCs w:val="1"/>
                <w:color w:val="auto"/>
                <w:w w:val="98"/>
              </w:rPr>
              <w:t>Margin</w:t>
            </w:r>
          </w:p>
        </w:tc>
        <w:tc>
          <w:tcPr>
            <w:tcW w:w="220" w:type="dxa"/>
            <w:vAlign w:val="bottom"/>
          </w:tcPr>
          <w:p>
            <w:pPr>
              <w:spacing w:after="0"/>
              <w:rPr>
                <w:sz w:val="10"/>
                <w:szCs w:val="10"/>
                <w:color w:val="auto"/>
              </w:rPr>
            </w:pPr>
          </w:p>
        </w:tc>
        <w:tc>
          <w:tcPr>
            <w:tcW w:w="940" w:type="dxa"/>
            <w:vAlign w:val="bottom"/>
            <w:tcBorders>
              <w:right w:val="single" w:sz="8" w:color="auto"/>
            </w:tcBorders>
            <w:vMerge w:val="continue"/>
          </w:tcPr>
          <w:p>
            <w:pPr>
              <w:spacing w:after="0"/>
              <w:rPr>
                <w:sz w:val="10"/>
                <w:szCs w:val="10"/>
                <w:color w:val="auto"/>
              </w:rPr>
            </w:pPr>
          </w:p>
        </w:tc>
        <w:tc>
          <w:tcPr>
            <w:tcW w:w="11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b w:val="1"/>
                <w:bCs w:val="1"/>
                <w:color w:val="auto"/>
                <w:w w:val="98"/>
              </w:rPr>
              <w:t>Margin</w:t>
            </w:r>
          </w:p>
        </w:tc>
        <w:tc>
          <w:tcPr>
            <w:tcW w:w="220" w:type="dxa"/>
            <w:vAlign w:val="bottom"/>
          </w:tcPr>
          <w:p>
            <w:pPr>
              <w:spacing w:after="0"/>
              <w:rPr>
                <w:sz w:val="10"/>
                <w:szCs w:val="10"/>
                <w:color w:val="auto"/>
              </w:rPr>
            </w:pPr>
          </w:p>
        </w:tc>
        <w:tc>
          <w:tcPr>
            <w:tcW w:w="940" w:type="dxa"/>
            <w:vAlign w:val="bottom"/>
            <w:tcBorders>
              <w:right w:val="single" w:sz="8" w:color="auto"/>
            </w:tcBorders>
            <w:vMerge w:val="continue"/>
          </w:tcPr>
          <w:p>
            <w:pPr>
              <w:spacing w:after="0"/>
              <w:rPr>
                <w:sz w:val="10"/>
                <w:szCs w:val="10"/>
                <w:color w:val="auto"/>
              </w:rPr>
            </w:pPr>
          </w:p>
        </w:tc>
        <w:tc>
          <w:tcPr>
            <w:tcW w:w="11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b w:val="1"/>
                <w:bCs w:val="1"/>
                <w:color w:val="auto"/>
                <w:w w:val="98"/>
              </w:rPr>
              <w:t>Margin</w:t>
            </w:r>
          </w:p>
        </w:tc>
        <w:tc>
          <w:tcPr>
            <w:tcW w:w="120" w:type="dxa"/>
            <w:vAlign w:val="bottom"/>
          </w:tcPr>
          <w:p>
            <w:pPr>
              <w:spacing w:after="0"/>
              <w:rPr>
                <w:sz w:val="10"/>
                <w:szCs w:val="10"/>
                <w:color w:val="auto"/>
              </w:rPr>
            </w:pPr>
          </w:p>
        </w:tc>
        <w:tc>
          <w:tcPr>
            <w:tcW w:w="860" w:type="dxa"/>
            <w:vAlign w:val="bottom"/>
            <w:tcBorders>
              <w:right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15"/>
        </w:trPr>
        <w:tc>
          <w:tcPr>
            <w:tcW w:w="2420" w:type="dxa"/>
            <w:vAlign w:val="bottom"/>
            <w:tcBorders>
              <w:left w:val="single" w:sz="8" w:color="auto"/>
              <w:bottom w:val="single" w:sz="8" w:color="auto"/>
              <w:right w:val="single" w:sz="8" w:color="auto"/>
            </w:tcBorders>
          </w:tcPr>
          <w:p>
            <w:pPr>
              <w:spacing w:after="0"/>
              <w:rPr>
                <w:sz w:val="10"/>
                <w:szCs w:val="10"/>
                <w:color w:val="auto"/>
              </w:rPr>
            </w:pPr>
          </w:p>
        </w:tc>
        <w:tc>
          <w:tcPr>
            <w:tcW w:w="1000" w:type="dxa"/>
            <w:vAlign w:val="bottom"/>
            <w:tcBorders>
              <w:bottom w:val="single" w:sz="8" w:color="auto"/>
              <w:right w:val="single" w:sz="8" w:color="auto"/>
            </w:tcBorders>
            <w:vMerge w:val="continue"/>
          </w:tcPr>
          <w:p>
            <w:pPr>
              <w:spacing w:after="0"/>
              <w:rPr>
                <w:sz w:val="10"/>
                <w:szCs w:val="10"/>
                <w:color w:val="auto"/>
              </w:rPr>
            </w:pPr>
          </w:p>
        </w:tc>
        <w:tc>
          <w:tcPr>
            <w:tcW w:w="1160" w:type="dxa"/>
            <w:vAlign w:val="bottom"/>
            <w:tcBorders>
              <w:bottom w:val="single" w:sz="8" w:color="auto"/>
              <w:right w:val="single" w:sz="8" w:color="auto"/>
            </w:tcBorders>
          </w:tcPr>
          <w:p>
            <w:pPr>
              <w:spacing w:after="0"/>
              <w:rPr>
                <w:sz w:val="10"/>
                <w:szCs w:val="10"/>
                <w:color w:val="auto"/>
              </w:rPr>
            </w:pPr>
          </w:p>
        </w:tc>
        <w:tc>
          <w:tcPr>
            <w:tcW w:w="1120" w:type="dxa"/>
            <w:vAlign w:val="bottom"/>
            <w:tcBorders>
              <w:bottom w:val="single" w:sz="8" w:color="auto"/>
              <w:right w:val="single" w:sz="8" w:color="auto"/>
            </w:tcBorders>
            <w:vMerge w:val="continue"/>
          </w:tcPr>
          <w:p>
            <w:pPr>
              <w:spacing w:after="0"/>
              <w:rPr>
                <w:sz w:val="10"/>
                <w:szCs w:val="10"/>
                <w:color w:val="auto"/>
              </w:rPr>
            </w:pPr>
          </w:p>
        </w:tc>
        <w:tc>
          <w:tcPr>
            <w:tcW w:w="220" w:type="dxa"/>
            <w:vAlign w:val="bottom"/>
            <w:tcBorders>
              <w:bottom w:val="single" w:sz="8" w:color="auto"/>
            </w:tcBorders>
          </w:tcPr>
          <w:p>
            <w:pPr>
              <w:spacing w:after="0"/>
              <w:rPr>
                <w:sz w:val="10"/>
                <w:szCs w:val="10"/>
                <w:color w:val="auto"/>
              </w:rPr>
            </w:pPr>
          </w:p>
        </w:tc>
        <w:tc>
          <w:tcPr>
            <w:tcW w:w="940" w:type="dxa"/>
            <w:vAlign w:val="bottom"/>
            <w:tcBorders>
              <w:bottom w:val="single" w:sz="8" w:color="auto"/>
              <w:right w:val="single" w:sz="8" w:color="auto"/>
            </w:tcBorders>
          </w:tcPr>
          <w:p>
            <w:pPr>
              <w:spacing w:after="0"/>
              <w:rPr>
                <w:sz w:val="10"/>
                <w:szCs w:val="10"/>
                <w:color w:val="auto"/>
              </w:rPr>
            </w:pPr>
          </w:p>
        </w:tc>
        <w:tc>
          <w:tcPr>
            <w:tcW w:w="1120" w:type="dxa"/>
            <w:vAlign w:val="bottom"/>
            <w:tcBorders>
              <w:bottom w:val="single" w:sz="8" w:color="auto"/>
              <w:right w:val="single" w:sz="8" w:color="auto"/>
            </w:tcBorders>
            <w:vMerge w:val="continue"/>
          </w:tcPr>
          <w:p>
            <w:pPr>
              <w:spacing w:after="0"/>
              <w:rPr>
                <w:sz w:val="10"/>
                <w:szCs w:val="10"/>
                <w:color w:val="auto"/>
              </w:rPr>
            </w:pPr>
          </w:p>
        </w:tc>
        <w:tc>
          <w:tcPr>
            <w:tcW w:w="220" w:type="dxa"/>
            <w:vAlign w:val="bottom"/>
            <w:tcBorders>
              <w:bottom w:val="single" w:sz="8" w:color="auto"/>
            </w:tcBorders>
          </w:tcPr>
          <w:p>
            <w:pPr>
              <w:spacing w:after="0"/>
              <w:rPr>
                <w:sz w:val="10"/>
                <w:szCs w:val="10"/>
                <w:color w:val="auto"/>
              </w:rPr>
            </w:pPr>
          </w:p>
        </w:tc>
        <w:tc>
          <w:tcPr>
            <w:tcW w:w="940" w:type="dxa"/>
            <w:vAlign w:val="bottom"/>
            <w:tcBorders>
              <w:bottom w:val="single" w:sz="8" w:color="auto"/>
              <w:right w:val="single" w:sz="8" w:color="auto"/>
            </w:tcBorders>
          </w:tcPr>
          <w:p>
            <w:pPr>
              <w:spacing w:after="0"/>
              <w:rPr>
                <w:sz w:val="10"/>
                <w:szCs w:val="10"/>
                <w:color w:val="auto"/>
              </w:rPr>
            </w:pPr>
          </w:p>
        </w:tc>
        <w:tc>
          <w:tcPr>
            <w:tcW w:w="1120" w:type="dxa"/>
            <w:vAlign w:val="bottom"/>
            <w:tcBorders>
              <w:bottom w:val="single" w:sz="8" w:color="auto"/>
              <w:right w:val="single" w:sz="8" w:color="auto"/>
            </w:tcBorders>
            <w:vMerge w:val="continue"/>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860" w:type="dxa"/>
            <w:vAlign w:val="bottom"/>
            <w:tcBorders>
              <w:bottom w:val="single" w:sz="8" w:color="auto"/>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202"/>
        </w:trPr>
        <w:tc>
          <w:tcPr>
            <w:tcW w:w="2420" w:type="dxa"/>
            <w:vAlign w:val="bottom"/>
            <w:tcBorders>
              <w:left w:val="single" w:sz="8" w:color="auto"/>
              <w:right w:val="single" w:sz="8" w:color="auto"/>
            </w:tcBorders>
          </w:tcPr>
          <w:p>
            <w:pPr>
              <w:ind w:left="40"/>
              <w:spacing w:after="0" w:line="201" w:lineRule="exact"/>
              <w:rPr>
                <w:sz w:val="20"/>
                <w:szCs w:val="20"/>
                <w:color w:val="auto"/>
              </w:rPr>
            </w:pPr>
            <w:r>
              <w:rPr>
                <w:rFonts w:ascii="Arial" w:cs="Arial" w:eastAsia="Arial" w:hAnsi="Arial"/>
                <w:sz w:val="18"/>
                <w:szCs w:val="18"/>
                <w:color w:val="auto"/>
              </w:rPr>
              <w:t>Semiconductor cleaning</w:t>
            </w:r>
          </w:p>
        </w:tc>
        <w:tc>
          <w:tcPr>
            <w:tcW w:w="1000" w:type="dxa"/>
            <w:vAlign w:val="bottom"/>
            <w:tcBorders>
              <w:right w:val="single" w:sz="8" w:color="auto"/>
            </w:tcBorders>
            <w:vMerge w:val="restart"/>
          </w:tcPr>
          <w:p>
            <w:pPr>
              <w:jc w:val="right"/>
              <w:spacing w:after="0"/>
              <w:rPr>
                <w:sz w:val="20"/>
                <w:szCs w:val="20"/>
                <w:color w:val="auto"/>
              </w:rPr>
            </w:pPr>
            <w:r>
              <w:rPr>
                <w:rFonts w:ascii="Arial" w:cs="Arial" w:eastAsia="Arial" w:hAnsi="Arial"/>
                <w:sz w:val="18"/>
                <w:szCs w:val="18"/>
                <w:color w:val="auto"/>
              </w:rPr>
              <w:t>45.10%</w:t>
            </w:r>
          </w:p>
        </w:tc>
        <w:tc>
          <w:tcPr>
            <w:tcW w:w="1160" w:type="dxa"/>
            <w:vAlign w:val="bottom"/>
            <w:tcBorders>
              <w:right w:val="single" w:sz="8" w:color="auto"/>
            </w:tcBorders>
            <w:vMerge w:val="restart"/>
          </w:tcPr>
          <w:p>
            <w:pPr>
              <w:jc w:val="right"/>
              <w:spacing w:after="0"/>
              <w:rPr>
                <w:sz w:val="20"/>
                <w:szCs w:val="20"/>
                <w:color w:val="auto"/>
              </w:rPr>
            </w:pPr>
            <w:r>
              <w:rPr>
                <w:rFonts w:ascii="Arial" w:cs="Arial" w:eastAsia="Arial" w:hAnsi="Arial"/>
                <w:sz w:val="18"/>
                <w:szCs w:val="18"/>
                <w:color w:val="auto"/>
              </w:rPr>
              <w:t>85.87%</w:t>
            </w:r>
          </w:p>
        </w:tc>
        <w:tc>
          <w:tcPr>
            <w:tcW w:w="1120" w:type="dxa"/>
            <w:vAlign w:val="bottom"/>
            <w:tcBorders>
              <w:right w:val="single" w:sz="8" w:color="auto"/>
            </w:tcBorders>
            <w:vMerge w:val="restart"/>
          </w:tcPr>
          <w:p>
            <w:pPr>
              <w:jc w:val="right"/>
              <w:spacing w:after="0"/>
              <w:rPr>
                <w:sz w:val="20"/>
                <w:szCs w:val="20"/>
                <w:color w:val="auto"/>
              </w:rPr>
            </w:pPr>
            <w:r>
              <w:rPr>
                <w:rFonts w:ascii="Arial" w:cs="Arial" w:eastAsia="Arial" w:hAnsi="Arial"/>
                <w:sz w:val="18"/>
                <w:szCs w:val="18"/>
                <w:color w:val="auto"/>
              </w:rPr>
              <w:t>45.34%</w:t>
            </w:r>
          </w:p>
        </w:tc>
        <w:tc>
          <w:tcPr>
            <w:tcW w:w="220" w:type="dxa"/>
            <w:vAlign w:val="bottom"/>
          </w:tcPr>
          <w:p>
            <w:pPr>
              <w:spacing w:after="0"/>
              <w:rPr>
                <w:sz w:val="17"/>
                <w:szCs w:val="17"/>
                <w:color w:val="auto"/>
              </w:rPr>
            </w:pPr>
          </w:p>
        </w:tc>
        <w:tc>
          <w:tcPr>
            <w:tcW w:w="940" w:type="dxa"/>
            <w:vAlign w:val="bottom"/>
            <w:tcBorders>
              <w:right w:val="single" w:sz="8" w:color="auto"/>
            </w:tcBorders>
            <w:vMerge w:val="restart"/>
          </w:tcPr>
          <w:p>
            <w:pPr>
              <w:jc w:val="right"/>
              <w:spacing w:after="0"/>
              <w:rPr>
                <w:sz w:val="20"/>
                <w:szCs w:val="20"/>
                <w:color w:val="auto"/>
              </w:rPr>
            </w:pPr>
            <w:r>
              <w:rPr>
                <w:rFonts w:ascii="Arial" w:cs="Arial" w:eastAsia="Arial" w:hAnsi="Arial"/>
                <w:sz w:val="18"/>
                <w:szCs w:val="18"/>
                <w:color w:val="auto"/>
              </w:rPr>
              <w:t>84.10%</w:t>
            </w:r>
          </w:p>
        </w:tc>
        <w:tc>
          <w:tcPr>
            <w:tcW w:w="1120" w:type="dxa"/>
            <w:vAlign w:val="bottom"/>
            <w:tcBorders>
              <w:right w:val="single" w:sz="8" w:color="auto"/>
            </w:tcBorders>
            <w:vMerge w:val="restart"/>
          </w:tcPr>
          <w:p>
            <w:pPr>
              <w:jc w:val="right"/>
              <w:spacing w:after="0"/>
              <w:rPr>
                <w:sz w:val="20"/>
                <w:szCs w:val="20"/>
                <w:color w:val="auto"/>
              </w:rPr>
            </w:pPr>
            <w:r>
              <w:rPr>
                <w:rFonts w:ascii="Arial" w:cs="Arial" w:eastAsia="Arial" w:hAnsi="Arial"/>
                <w:sz w:val="18"/>
                <w:szCs w:val="18"/>
                <w:color w:val="auto"/>
              </w:rPr>
              <w:t>44.50%</w:t>
            </w:r>
          </w:p>
        </w:tc>
        <w:tc>
          <w:tcPr>
            <w:tcW w:w="220" w:type="dxa"/>
            <w:vAlign w:val="bottom"/>
          </w:tcPr>
          <w:p>
            <w:pPr>
              <w:spacing w:after="0"/>
              <w:rPr>
                <w:sz w:val="17"/>
                <w:szCs w:val="17"/>
                <w:color w:val="auto"/>
              </w:rPr>
            </w:pPr>
          </w:p>
        </w:tc>
        <w:tc>
          <w:tcPr>
            <w:tcW w:w="940" w:type="dxa"/>
            <w:vAlign w:val="bottom"/>
            <w:tcBorders>
              <w:right w:val="single" w:sz="8" w:color="auto"/>
            </w:tcBorders>
            <w:vMerge w:val="restart"/>
          </w:tcPr>
          <w:p>
            <w:pPr>
              <w:jc w:val="right"/>
              <w:spacing w:after="0"/>
              <w:rPr>
                <w:sz w:val="20"/>
                <w:szCs w:val="20"/>
                <w:color w:val="auto"/>
              </w:rPr>
            </w:pPr>
            <w:r>
              <w:rPr>
                <w:rFonts w:ascii="Arial" w:cs="Arial" w:eastAsia="Arial" w:hAnsi="Arial"/>
                <w:sz w:val="18"/>
                <w:szCs w:val="18"/>
                <w:color w:val="auto"/>
              </w:rPr>
              <w:t>92.91%</w:t>
            </w:r>
          </w:p>
        </w:tc>
        <w:tc>
          <w:tcPr>
            <w:tcW w:w="1120" w:type="dxa"/>
            <w:vAlign w:val="bottom"/>
            <w:tcBorders>
              <w:right w:val="single" w:sz="8" w:color="auto"/>
            </w:tcBorders>
            <w:vMerge w:val="restart"/>
          </w:tcPr>
          <w:p>
            <w:pPr>
              <w:jc w:val="right"/>
              <w:spacing w:after="0"/>
              <w:rPr>
                <w:sz w:val="20"/>
                <w:szCs w:val="20"/>
                <w:color w:val="auto"/>
              </w:rPr>
            </w:pPr>
            <w:r>
              <w:rPr>
                <w:rFonts w:ascii="Arial" w:cs="Arial" w:eastAsia="Arial" w:hAnsi="Arial"/>
                <w:sz w:val="18"/>
                <w:szCs w:val="18"/>
                <w:color w:val="auto"/>
              </w:rPr>
              <w:t>44.94%</w:t>
            </w:r>
          </w:p>
        </w:tc>
        <w:tc>
          <w:tcPr>
            <w:tcW w:w="120" w:type="dxa"/>
            <w:vAlign w:val="bottom"/>
          </w:tcPr>
          <w:p>
            <w:pPr>
              <w:spacing w:after="0"/>
              <w:rPr>
                <w:sz w:val="17"/>
                <w:szCs w:val="17"/>
                <w:color w:val="auto"/>
              </w:rPr>
            </w:pPr>
          </w:p>
        </w:tc>
        <w:tc>
          <w:tcPr>
            <w:tcW w:w="860" w:type="dxa"/>
            <w:vAlign w:val="bottom"/>
            <w:tcBorders>
              <w:right w:val="single" w:sz="8" w:color="auto"/>
            </w:tcBorders>
            <w:vMerge w:val="restart"/>
          </w:tcPr>
          <w:p>
            <w:pPr>
              <w:jc w:val="right"/>
              <w:spacing w:after="0"/>
              <w:rPr>
                <w:sz w:val="20"/>
                <w:szCs w:val="20"/>
                <w:color w:val="auto"/>
              </w:rPr>
            </w:pPr>
            <w:r>
              <w:rPr>
                <w:rFonts w:ascii="Arial" w:cs="Arial" w:eastAsia="Arial" w:hAnsi="Arial"/>
                <w:sz w:val="18"/>
                <w:szCs w:val="18"/>
                <w:color w:val="auto"/>
              </w:rPr>
              <w:t>86.27%</w:t>
            </w:r>
          </w:p>
        </w:tc>
        <w:tc>
          <w:tcPr>
            <w:tcW w:w="0" w:type="dxa"/>
            <w:vAlign w:val="bottom"/>
          </w:tcPr>
          <w:p>
            <w:pPr>
              <w:spacing w:after="0"/>
              <w:rPr>
                <w:sz w:val="1"/>
                <w:szCs w:val="1"/>
                <w:color w:val="auto"/>
              </w:rPr>
            </w:pPr>
          </w:p>
        </w:tc>
      </w:tr>
      <w:tr>
        <w:trPr>
          <w:trHeight w:val="122"/>
        </w:trPr>
        <w:tc>
          <w:tcPr>
            <w:tcW w:w="2420" w:type="dxa"/>
            <w:vAlign w:val="bottom"/>
            <w:tcBorders>
              <w:left w:val="single" w:sz="8" w:color="auto"/>
              <w:right w:val="single" w:sz="8" w:color="auto"/>
            </w:tcBorders>
            <w:vMerge w:val="restart"/>
          </w:tcPr>
          <w:p>
            <w:pPr>
              <w:ind w:left="40"/>
              <w:spacing w:after="0"/>
              <w:rPr>
                <w:sz w:val="20"/>
                <w:szCs w:val="20"/>
                <w:color w:val="auto"/>
              </w:rPr>
            </w:pPr>
            <w:r>
              <w:rPr>
                <w:rFonts w:ascii="Arial" w:cs="Arial" w:eastAsia="Arial" w:hAnsi="Arial"/>
                <w:sz w:val="18"/>
                <w:szCs w:val="18"/>
                <w:color w:val="auto"/>
              </w:rPr>
              <w:t>equipment</w:t>
            </w:r>
          </w:p>
        </w:tc>
        <w:tc>
          <w:tcPr>
            <w:tcW w:w="1000" w:type="dxa"/>
            <w:vAlign w:val="bottom"/>
            <w:tcBorders>
              <w:right w:val="single" w:sz="8" w:color="auto"/>
            </w:tcBorders>
            <w:vMerge w:val="continue"/>
          </w:tcPr>
          <w:p>
            <w:pPr>
              <w:spacing w:after="0"/>
              <w:rPr>
                <w:sz w:val="10"/>
                <w:szCs w:val="10"/>
                <w:color w:val="auto"/>
              </w:rPr>
            </w:pPr>
          </w:p>
        </w:tc>
        <w:tc>
          <w:tcPr>
            <w:tcW w:w="1160" w:type="dxa"/>
            <w:vAlign w:val="bottom"/>
            <w:tcBorders>
              <w:right w:val="single" w:sz="8" w:color="auto"/>
            </w:tcBorders>
            <w:vMerge w:val="continue"/>
          </w:tcPr>
          <w:p>
            <w:pPr>
              <w:spacing w:after="0"/>
              <w:rPr>
                <w:sz w:val="10"/>
                <w:szCs w:val="10"/>
                <w:color w:val="auto"/>
              </w:rPr>
            </w:pPr>
          </w:p>
        </w:tc>
        <w:tc>
          <w:tcPr>
            <w:tcW w:w="1120" w:type="dxa"/>
            <w:vAlign w:val="bottom"/>
            <w:tcBorders>
              <w:right w:val="single" w:sz="8" w:color="auto"/>
            </w:tcBorders>
            <w:vMerge w:val="continue"/>
          </w:tcPr>
          <w:p>
            <w:pPr>
              <w:spacing w:after="0"/>
              <w:rPr>
                <w:sz w:val="10"/>
                <w:szCs w:val="10"/>
                <w:color w:val="auto"/>
              </w:rPr>
            </w:pPr>
          </w:p>
        </w:tc>
        <w:tc>
          <w:tcPr>
            <w:tcW w:w="220" w:type="dxa"/>
            <w:vAlign w:val="bottom"/>
          </w:tcPr>
          <w:p>
            <w:pPr>
              <w:spacing w:after="0"/>
              <w:rPr>
                <w:sz w:val="10"/>
                <w:szCs w:val="10"/>
                <w:color w:val="auto"/>
              </w:rPr>
            </w:pPr>
          </w:p>
        </w:tc>
        <w:tc>
          <w:tcPr>
            <w:tcW w:w="940" w:type="dxa"/>
            <w:vAlign w:val="bottom"/>
            <w:tcBorders>
              <w:right w:val="single" w:sz="8" w:color="auto"/>
            </w:tcBorders>
            <w:vMerge w:val="continue"/>
          </w:tcPr>
          <w:p>
            <w:pPr>
              <w:spacing w:after="0"/>
              <w:rPr>
                <w:sz w:val="10"/>
                <w:szCs w:val="10"/>
                <w:color w:val="auto"/>
              </w:rPr>
            </w:pPr>
          </w:p>
        </w:tc>
        <w:tc>
          <w:tcPr>
            <w:tcW w:w="1120" w:type="dxa"/>
            <w:vAlign w:val="bottom"/>
            <w:tcBorders>
              <w:right w:val="single" w:sz="8" w:color="auto"/>
            </w:tcBorders>
            <w:vMerge w:val="continue"/>
          </w:tcPr>
          <w:p>
            <w:pPr>
              <w:spacing w:after="0"/>
              <w:rPr>
                <w:sz w:val="10"/>
                <w:szCs w:val="10"/>
                <w:color w:val="auto"/>
              </w:rPr>
            </w:pPr>
          </w:p>
        </w:tc>
        <w:tc>
          <w:tcPr>
            <w:tcW w:w="220" w:type="dxa"/>
            <w:vAlign w:val="bottom"/>
          </w:tcPr>
          <w:p>
            <w:pPr>
              <w:spacing w:after="0"/>
              <w:rPr>
                <w:sz w:val="10"/>
                <w:szCs w:val="10"/>
                <w:color w:val="auto"/>
              </w:rPr>
            </w:pPr>
          </w:p>
        </w:tc>
        <w:tc>
          <w:tcPr>
            <w:tcW w:w="940" w:type="dxa"/>
            <w:vAlign w:val="bottom"/>
            <w:tcBorders>
              <w:right w:val="single" w:sz="8" w:color="auto"/>
            </w:tcBorders>
            <w:vMerge w:val="continue"/>
          </w:tcPr>
          <w:p>
            <w:pPr>
              <w:spacing w:after="0"/>
              <w:rPr>
                <w:sz w:val="10"/>
                <w:szCs w:val="10"/>
                <w:color w:val="auto"/>
              </w:rPr>
            </w:pPr>
          </w:p>
        </w:tc>
        <w:tc>
          <w:tcPr>
            <w:tcW w:w="1120" w:type="dxa"/>
            <w:vAlign w:val="bottom"/>
            <w:tcBorders>
              <w:right w:val="single" w:sz="8" w:color="auto"/>
            </w:tcBorders>
            <w:vMerge w:val="continue"/>
          </w:tcPr>
          <w:p>
            <w:pPr>
              <w:spacing w:after="0"/>
              <w:rPr>
                <w:sz w:val="10"/>
                <w:szCs w:val="10"/>
                <w:color w:val="auto"/>
              </w:rPr>
            </w:pPr>
          </w:p>
        </w:tc>
        <w:tc>
          <w:tcPr>
            <w:tcW w:w="120" w:type="dxa"/>
            <w:vAlign w:val="bottom"/>
          </w:tcPr>
          <w:p>
            <w:pPr>
              <w:spacing w:after="0"/>
              <w:rPr>
                <w:sz w:val="10"/>
                <w:szCs w:val="10"/>
                <w:color w:val="auto"/>
              </w:rPr>
            </w:pPr>
          </w:p>
        </w:tc>
        <w:tc>
          <w:tcPr>
            <w:tcW w:w="860" w:type="dxa"/>
            <w:vAlign w:val="bottom"/>
            <w:tcBorders>
              <w:right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15"/>
        </w:trPr>
        <w:tc>
          <w:tcPr>
            <w:tcW w:w="2420" w:type="dxa"/>
            <w:vAlign w:val="bottom"/>
            <w:tcBorders>
              <w:left w:val="single" w:sz="8" w:color="auto"/>
              <w:bottom w:val="single" w:sz="8" w:color="auto"/>
              <w:right w:val="single" w:sz="8" w:color="auto"/>
            </w:tcBorders>
            <w:vMerge w:val="continue"/>
          </w:tcPr>
          <w:p>
            <w:pPr>
              <w:spacing w:after="0"/>
              <w:rPr>
                <w:sz w:val="10"/>
                <w:szCs w:val="10"/>
                <w:color w:val="auto"/>
              </w:rPr>
            </w:pPr>
          </w:p>
        </w:tc>
        <w:tc>
          <w:tcPr>
            <w:tcW w:w="1000" w:type="dxa"/>
            <w:vAlign w:val="bottom"/>
            <w:tcBorders>
              <w:bottom w:val="single" w:sz="8" w:color="auto"/>
              <w:right w:val="single" w:sz="8" w:color="auto"/>
            </w:tcBorders>
          </w:tcPr>
          <w:p>
            <w:pPr>
              <w:spacing w:after="0"/>
              <w:rPr>
                <w:sz w:val="10"/>
                <w:szCs w:val="10"/>
                <w:color w:val="auto"/>
              </w:rPr>
            </w:pPr>
          </w:p>
        </w:tc>
        <w:tc>
          <w:tcPr>
            <w:tcW w:w="1160" w:type="dxa"/>
            <w:vAlign w:val="bottom"/>
            <w:tcBorders>
              <w:bottom w:val="single" w:sz="8" w:color="auto"/>
              <w:right w:val="single" w:sz="8" w:color="auto"/>
            </w:tcBorders>
          </w:tcPr>
          <w:p>
            <w:pPr>
              <w:spacing w:after="0"/>
              <w:rPr>
                <w:sz w:val="10"/>
                <w:szCs w:val="10"/>
                <w:color w:val="auto"/>
              </w:rPr>
            </w:pPr>
          </w:p>
        </w:tc>
        <w:tc>
          <w:tcPr>
            <w:tcW w:w="1120" w:type="dxa"/>
            <w:vAlign w:val="bottom"/>
            <w:tcBorders>
              <w:bottom w:val="single" w:sz="8" w:color="auto"/>
              <w:right w:val="single" w:sz="8" w:color="auto"/>
            </w:tcBorders>
          </w:tcPr>
          <w:p>
            <w:pPr>
              <w:spacing w:after="0"/>
              <w:rPr>
                <w:sz w:val="10"/>
                <w:szCs w:val="10"/>
                <w:color w:val="auto"/>
              </w:rPr>
            </w:pPr>
          </w:p>
        </w:tc>
        <w:tc>
          <w:tcPr>
            <w:tcW w:w="220" w:type="dxa"/>
            <w:vAlign w:val="bottom"/>
            <w:tcBorders>
              <w:bottom w:val="single" w:sz="8" w:color="auto"/>
            </w:tcBorders>
          </w:tcPr>
          <w:p>
            <w:pPr>
              <w:spacing w:after="0"/>
              <w:rPr>
                <w:sz w:val="10"/>
                <w:szCs w:val="10"/>
                <w:color w:val="auto"/>
              </w:rPr>
            </w:pPr>
          </w:p>
        </w:tc>
        <w:tc>
          <w:tcPr>
            <w:tcW w:w="940" w:type="dxa"/>
            <w:vAlign w:val="bottom"/>
            <w:tcBorders>
              <w:bottom w:val="single" w:sz="8" w:color="auto"/>
              <w:right w:val="single" w:sz="8" w:color="auto"/>
            </w:tcBorders>
          </w:tcPr>
          <w:p>
            <w:pPr>
              <w:spacing w:after="0"/>
              <w:rPr>
                <w:sz w:val="10"/>
                <w:szCs w:val="10"/>
                <w:color w:val="auto"/>
              </w:rPr>
            </w:pPr>
          </w:p>
        </w:tc>
        <w:tc>
          <w:tcPr>
            <w:tcW w:w="1120" w:type="dxa"/>
            <w:vAlign w:val="bottom"/>
            <w:tcBorders>
              <w:bottom w:val="single" w:sz="8" w:color="auto"/>
              <w:right w:val="single" w:sz="8" w:color="auto"/>
            </w:tcBorders>
          </w:tcPr>
          <w:p>
            <w:pPr>
              <w:spacing w:after="0"/>
              <w:rPr>
                <w:sz w:val="10"/>
                <w:szCs w:val="10"/>
                <w:color w:val="auto"/>
              </w:rPr>
            </w:pPr>
          </w:p>
        </w:tc>
        <w:tc>
          <w:tcPr>
            <w:tcW w:w="220" w:type="dxa"/>
            <w:vAlign w:val="bottom"/>
            <w:tcBorders>
              <w:bottom w:val="single" w:sz="8" w:color="auto"/>
            </w:tcBorders>
          </w:tcPr>
          <w:p>
            <w:pPr>
              <w:spacing w:after="0"/>
              <w:rPr>
                <w:sz w:val="10"/>
                <w:szCs w:val="10"/>
                <w:color w:val="auto"/>
              </w:rPr>
            </w:pPr>
          </w:p>
        </w:tc>
        <w:tc>
          <w:tcPr>
            <w:tcW w:w="940" w:type="dxa"/>
            <w:vAlign w:val="bottom"/>
            <w:tcBorders>
              <w:bottom w:val="single" w:sz="8" w:color="auto"/>
              <w:right w:val="single" w:sz="8" w:color="auto"/>
            </w:tcBorders>
          </w:tcPr>
          <w:p>
            <w:pPr>
              <w:spacing w:after="0"/>
              <w:rPr>
                <w:sz w:val="10"/>
                <w:szCs w:val="10"/>
                <w:color w:val="auto"/>
              </w:rPr>
            </w:pPr>
          </w:p>
        </w:tc>
        <w:tc>
          <w:tcPr>
            <w:tcW w:w="1120" w:type="dxa"/>
            <w:vAlign w:val="bottom"/>
            <w:tcBorders>
              <w:bottom w:val="single" w:sz="8" w:color="auto"/>
              <w:right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860" w:type="dxa"/>
            <w:vAlign w:val="bottom"/>
            <w:tcBorders>
              <w:bottom w:val="single" w:sz="8" w:color="auto"/>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202"/>
        </w:trPr>
        <w:tc>
          <w:tcPr>
            <w:tcW w:w="2420" w:type="dxa"/>
            <w:vAlign w:val="bottom"/>
            <w:tcBorders>
              <w:left w:val="single" w:sz="8" w:color="auto"/>
              <w:right w:val="single" w:sz="8" w:color="auto"/>
            </w:tcBorders>
          </w:tcPr>
          <w:p>
            <w:pPr>
              <w:ind w:left="40"/>
              <w:spacing w:after="0" w:line="201" w:lineRule="exact"/>
              <w:rPr>
                <w:sz w:val="20"/>
                <w:szCs w:val="20"/>
                <w:color w:val="auto"/>
              </w:rPr>
            </w:pPr>
            <w:r>
              <w:rPr>
                <w:rFonts w:ascii="Arial" w:cs="Arial" w:eastAsia="Arial" w:hAnsi="Arial"/>
                <w:sz w:val="18"/>
                <w:szCs w:val="18"/>
                <w:color w:val="auto"/>
              </w:rPr>
              <w:t>Semiconductor electroplating</w:t>
            </w:r>
          </w:p>
        </w:tc>
        <w:tc>
          <w:tcPr>
            <w:tcW w:w="1000" w:type="dxa"/>
            <w:vAlign w:val="bottom"/>
            <w:tcBorders>
              <w:right w:val="single" w:sz="8" w:color="auto"/>
            </w:tcBorders>
            <w:vMerge w:val="restart"/>
          </w:tcPr>
          <w:p>
            <w:pPr>
              <w:jc w:val="right"/>
              <w:spacing w:after="0"/>
              <w:rPr>
                <w:sz w:val="20"/>
                <w:szCs w:val="20"/>
                <w:color w:val="auto"/>
              </w:rPr>
            </w:pPr>
            <w:r>
              <w:rPr>
                <w:rFonts w:ascii="Arial" w:cs="Arial" w:eastAsia="Arial" w:hAnsi="Arial"/>
                <w:sz w:val="18"/>
                <w:szCs w:val="18"/>
                <w:color w:val="auto"/>
              </w:rPr>
              <w:t>-</w:t>
            </w:r>
          </w:p>
        </w:tc>
        <w:tc>
          <w:tcPr>
            <w:tcW w:w="1160" w:type="dxa"/>
            <w:vAlign w:val="bottom"/>
            <w:tcBorders>
              <w:right w:val="single" w:sz="8" w:color="auto"/>
            </w:tcBorders>
            <w:vMerge w:val="restart"/>
          </w:tcPr>
          <w:p>
            <w:pPr>
              <w:jc w:val="right"/>
              <w:spacing w:after="0"/>
              <w:rPr>
                <w:sz w:val="20"/>
                <w:szCs w:val="20"/>
                <w:color w:val="auto"/>
              </w:rPr>
            </w:pPr>
            <w:r>
              <w:rPr>
                <w:rFonts w:ascii="Arial" w:cs="Arial" w:eastAsia="Arial" w:hAnsi="Arial"/>
                <w:sz w:val="18"/>
                <w:szCs w:val="18"/>
                <w:color w:val="auto"/>
              </w:rPr>
              <w:t>-</w:t>
            </w:r>
          </w:p>
        </w:tc>
        <w:tc>
          <w:tcPr>
            <w:tcW w:w="1120" w:type="dxa"/>
            <w:vAlign w:val="bottom"/>
            <w:tcBorders>
              <w:right w:val="single" w:sz="8" w:color="auto"/>
            </w:tcBorders>
            <w:vMerge w:val="restart"/>
          </w:tcPr>
          <w:p>
            <w:pPr>
              <w:jc w:val="right"/>
              <w:spacing w:after="0"/>
              <w:rPr>
                <w:sz w:val="20"/>
                <w:szCs w:val="20"/>
                <w:color w:val="auto"/>
              </w:rPr>
            </w:pPr>
            <w:r>
              <w:rPr>
                <w:rFonts w:ascii="Arial" w:cs="Arial" w:eastAsia="Arial" w:hAnsi="Arial"/>
                <w:sz w:val="18"/>
                <w:szCs w:val="18"/>
                <w:color w:val="auto"/>
              </w:rPr>
              <w:t>39.25%</w:t>
            </w:r>
          </w:p>
        </w:tc>
        <w:tc>
          <w:tcPr>
            <w:tcW w:w="220" w:type="dxa"/>
            <w:vAlign w:val="bottom"/>
          </w:tcPr>
          <w:p>
            <w:pPr>
              <w:spacing w:after="0"/>
              <w:rPr>
                <w:sz w:val="17"/>
                <w:szCs w:val="17"/>
                <w:color w:val="auto"/>
              </w:rPr>
            </w:pPr>
          </w:p>
        </w:tc>
        <w:tc>
          <w:tcPr>
            <w:tcW w:w="940" w:type="dxa"/>
            <w:vAlign w:val="bottom"/>
            <w:tcBorders>
              <w:right w:val="single" w:sz="8" w:color="auto"/>
            </w:tcBorders>
            <w:vMerge w:val="restart"/>
          </w:tcPr>
          <w:p>
            <w:pPr>
              <w:jc w:val="right"/>
              <w:spacing w:after="0"/>
              <w:rPr>
                <w:sz w:val="20"/>
                <w:szCs w:val="20"/>
                <w:color w:val="auto"/>
              </w:rPr>
            </w:pPr>
            <w:r>
              <w:rPr>
                <w:rFonts w:ascii="Arial" w:cs="Arial" w:eastAsia="Arial" w:hAnsi="Arial"/>
                <w:sz w:val="18"/>
                <w:szCs w:val="18"/>
                <w:color w:val="auto"/>
              </w:rPr>
              <w:t>10.57%</w:t>
            </w:r>
          </w:p>
        </w:tc>
        <w:tc>
          <w:tcPr>
            <w:tcW w:w="1120" w:type="dxa"/>
            <w:vAlign w:val="bottom"/>
            <w:tcBorders>
              <w:right w:val="single" w:sz="8" w:color="auto"/>
            </w:tcBorders>
            <w:vMerge w:val="restart"/>
          </w:tcPr>
          <w:p>
            <w:pPr>
              <w:jc w:val="right"/>
              <w:spacing w:after="0"/>
              <w:rPr>
                <w:sz w:val="20"/>
                <w:szCs w:val="20"/>
                <w:color w:val="auto"/>
              </w:rPr>
            </w:pPr>
            <w:r>
              <w:rPr>
                <w:rFonts w:ascii="Arial" w:cs="Arial" w:eastAsia="Arial" w:hAnsi="Arial"/>
                <w:sz w:val="18"/>
                <w:szCs w:val="18"/>
                <w:color w:val="auto"/>
              </w:rPr>
              <w:t>16.68%</w:t>
            </w:r>
          </w:p>
        </w:tc>
        <w:tc>
          <w:tcPr>
            <w:tcW w:w="220" w:type="dxa"/>
            <w:vAlign w:val="bottom"/>
          </w:tcPr>
          <w:p>
            <w:pPr>
              <w:spacing w:after="0"/>
              <w:rPr>
                <w:sz w:val="17"/>
                <w:szCs w:val="17"/>
                <w:color w:val="auto"/>
              </w:rPr>
            </w:pPr>
          </w:p>
        </w:tc>
        <w:tc>
          <w:tcPr>
            <w:tcW w:w="940" w:type="dxa"/>
            <w:vAlign w:val="bottom"/>
            <w:tcBorders>
              <w:right w:val="single" w:sz="8" w:color="auto"/>
            </w:tcBorders>
            <w:vMerge w:val="restart"/>
          </w:tcPr>
          <w:p>
            <w:pPr>
              <w:jc w:val="right"/>
              <w:spacing w:after="0"/>
              <w:rPr>
                <w:sz w:val="20"/>
                <w:szCs w:val="20"/>
                <w:color w:val="auto"/>
              </w:rPr>
            </w:pPr>
            <w:r>
              <w:rPr>
                <w:rFonts w:ascii="Arial" w:cs="Arial" w:eastAsia="Arial" w:hAnsi="Arial"/>
                <w:sz w:val="18"/>
                <w:szCs w:val="18"/>
                <w:color w:val="auto"/>
              </w:rPr>
              <w:t>2.21%</w:t>
            </w:r>
          </w:p>
        </w:tc>
        <w:tc>
          <w:tcPr>
            <w:tcW w:w="1120" w:type="dxa"/>
            <w:vAlign w:val="bottom"/>
            <w:tcBorders>
              <w:right w:val="single" w:sz="8" w:color="auto"/>
            </w:tcBorders>
            <w:vMerge w:val="restart"/>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7"/>
                <w:szCs w:val="17"/>
                <w:color w:val="auto"/>
              </w:rPr>
            </w:pPr>
          </w:p>
        </w:tc>
        <w:tc>
          <w:tcPr>
            <w:tcW w:w="860" w:type="dxa"/>
            <w:vAlign w:val="bottom"/>
            <w:tcBorders>
              <w:right w:val="single" w:sz="8" w:color="auto"/>
            </w:tcBorders>
            <w:vMerge w:val="restart"/>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22"/>
        </w:trPr>
        <w:tc>
          <w:tcPr>
            <w:tcW w:w="2420" w:type="dxa"/>
            <w:vAlign w:val="bottom"/>
            <w:tcBorders>
              <w:left w:val="single" w:sz="8" w:color="auto"/>
              <w:right w:val="single" w:sz="8" w:color="auto"/>
            </w:tcBorders>
            <w:vMerge w:val="restart"/>
          </w:tcPr>
          <w:p>
            <w:pPr>
              <w:ind w:left="40"/>
              <w:spacing w:after="0"/>
              <w:rPr>
                <w:sz w:val="20"/>
                <w:szCs w:val="20"/>
                <w:color w:val="auto"/>
              </w:rPr>
            </w:pPr>
            <w:r>
              <w:rPr>
                <w:rFonts w:ascii="Arial" w:cs="Arial" w:eastAsia="Arial" w:hAnsi="Arial"/>
                <w:sz w:val="18"/>
                <w:szCs w:val="18"/>
                <w:color w:val="auto"/>
              </w:rPr>
              <w:t>equipment</w:t>
            </w:r>
          </w:p>
        </w:tc>
        <w:tc>
          <w:tcPr>
            <w:tcW w:w="1000" w:type="dxa"/>
            <w:vAlign w:val="bottom"/>
            <w:tcBorders>
              <w:right w:val="single" w:sz="8" w:color="auto"/>
            </w:tcBorders>
            <w:vMerge w:val="continue"/>
          </w:tcPr>
          <w:p>
            <w:pPr>
              <w:spacing w:after="0"/>
              <w:rPr>
                <w:sz w:val="10"/>
                <w:szCs w:val="10"/>
                <w:color w:val="auto"/>
              </w:rPr>
            </w:pPr>
          </w:p>
        </w:tc>
        <w:tc>
          <w:tcPr>
            <w:tcW w:w="1160" w:type="dxa"/>
            <w:vAlign w:val="bottom"/>
            <w:tcBorders>
              <w:right w:val="single" w:sz="8" w:color="auto"/>
            </w:tcBorders>
            <w:vMerge w:val="continue"/>
          </w:tcPr>
          <w:p>
            <w:pPr>
              <w:spacing w:after="0"/>
              <w:rPr>
                <w:sz w:val="10"/>
                <w:szCs w:val="10"/>
                <w:color w:val="auto"/>
              </w:rPr>
            </w:pPr>
          </w:p>
        </w:tc>
        <w:tc>
          <w:tcPr>
            <w:tcW w:w="1120" w:type="dxa"/>
            <w:vAlign w:val="bottom"/>
            <w:tcBorders>
              <w:right w:val="single" w:sz="8" w:color="auto"/>
            </w:tcBorders>
            <w:vMerge w:val="continue"/>
          </w:tcPr>
          <w:p>
            <w:pPr>
              <w:spacing w:after="0"/>
              <w:rPr>
                <w:sz w:val="10"/>
                <w:szCs w:val="10"/>
                <w:color w:val="auto"/>
              </w:rPr>
            </w:pPr>
          </w:p>
        </w:tc>
        <w:tc>
          <w:tcPr>
            <w:tcW w:w="220" w:type="dxa"/>
            <w:vAlign w:val="bottom"/>
          </w:tcPr>
          <w:p>
            <w:pPr>
              <w:spacing w:after="0"/>
              <w:rPr>
                <w:sz w:val="10"/>
                <w:szCs w:val="10"/>
                <w:color w:val="auto"/>
              </w:rPr>
            </w:pPr>
          </w:p>
        </w:tc>
        <w:tc>
          <w:tcPr>
            <w:tcW w:w="940" w:type="dxa"/>
            <w:vAlign w:val="bottom"/>
            <w:tcBorders>
              <w:right w:val="single" w:sz="8" w:color="auto"/>
            </w:tcBorders>
            <w:vMerge w:val="continue"/>
          </w:tcPr>
          <w:p>
            <w:pPr>
              <w:spacing w:after="0"/>
              <w:rPr>
                <w:sz w:val="10"/>
                <w:szCs w:val="10"/>
                <w:color w:val="auto"/>
              </w:rPr>
            </w:pPr>
          </w:p>
        </w:tc>
        <w:tc>
          <w:tcPr>
            <w:tcW w:w="1120" w:type="dxa"/>
            <w:vAlign w:val="bottom"/>
            <w:tcBorders>
              <w:right w:val="single" w:sz="8" w:color="auto"/>
            </w:tcBorders>
            <w:vMerge w:val="continue"/>
          </w:tcPr>
          <w:p>
            <w:pPr>
              <w:spacing w:after="0"/>
              <w:rPr>
                <w:sz w:val="10"/>
                <w:szCs w:val="10"/>
                <w:color w:val="auto"/>
              </w:rPr>
            </w:pPr>
          </w:p>
        </w:tc>
        <w:tc>
          <w:tcPr>
            <w:tcW w:w="220" w:type="dxa"/>
            <w:vAlign w:val="bottom"/>
          </w:tcPr>
          <w:p>
            <w:pPr>
              <w:spacing w:after="0"/>
              <w:rPr>
                <w:sz w:val="10"/>
                <w:szCs w:val="10"/>
                <w:color w:val="auto"/>
              </w:rPr>
            </w:pPr>
          </w:p>
        </w:tc>
        <w:tc>
          <w:tcPr>
            <w:tcW w:w="940" w:type="dxa"/>
            <w:vAlign w:val="bottom"/>
            <w:tcBorders>
              <w:right w:val="single" w:sz="8" w:color="auto"/>
            </w:tcBorders>
            <w:vMerge w:val="continue"/>
          </w:tcPr>
          <w:p>
            <w:pPr>
              <w:spacing w:after="0"/>
              <w:rPr>
                <w:sz w:val="10"/>
                <w:szCs w:val="10"/>
                <w:color w:val="auto"/>
              </w:rPr>
            </w:pPr>
          </w:p>
        </w:tc>
        <w:tc>
          <w:tcPr>
            <w:tcW w:w="1120" w:type="dxa"/>
            <w:vAlign w:val="bottom"/>
            <w:tcBorders>
              <w:right w:val="single" w:sz="8" w:color="auto"/>
            </w:tcBorders>
            <w:vMerge w:val="continue"/>
          </w:tcPr>
          <w:p>
            <w:pPr>
              <w:spacing w:after="0"/>
              <w:rPr>
                <w:sz w:val="10"/>
                <w:szCs w:val="10"/>
                <w:color w:val="auto"/>
              </w:rPr>
            </w:pPr>
          </w:p>
        </w:tc>
        <w:tc>
          <w:tcPr>
            <w:tcW w:w="120" w:type="dxa"/>
            <w:vAlign w:val="bottom"/>
          </w:tcPr>
          <w:p>
            <w:pPr>
              <w:spacing w:after="0"/>
              <w:rPr>
                <w:sz w:val="10"/>
                <w:szCs w:val="10"/>
                <w:color w:val="auto"/>
              </w:rPr>
            </w:pPr>
          </w:p>
        </w:tc>
        <w:tc>
          <w:tcPr>
            <w:tcW w:w="860" w:type="dxa"/>
            <w:vAlign w:val="bottom"/>
            <w:tcBorders>
              <w:right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15"/>
        </w:trPr>
        <w:tc>
          <w:tcPr>
            <w:tcW w:w="2420" w:type="dxa"/>
            <w:vAlign w:val="bottom"/>
            <w:tcBorders>
              <w:left w:val="single" w:sz="8" w:color="auto"/>
              <w:bottom w:val="single" w:sz="8" w:color="auto"/>
              <w:right w:val="single" w:sz="8" w:color="auto"/>
            </w:tcBorders>
            <w:vMerge w:val="continue"/>
          </w:tcPr>
          <w:p>
            <w:pPr>
              <w:spacing w:after="0"/>
              <w:rPr>
                <w:sz w:val="10"/>
                <w:szCs w:val="10"/>
                <w:color w:val="auto"/>
              </w:rPr>
            </w:pPr>
          </w:p>
        </w:tc>
        <w:tc>
          <w:tcPr>
            <w:tcW w:w="1000" w:type="dxa"/>
            <w:vAlign w:val="bottom"/>
            <w:tcBorders>
              <w:bottom w:val="single" w:sz="8" w:color="auto"/>
              <w:right w:val="single" w:sz="8" w:color="auto"/>
            </w:tcBorders>
          </w:tcPr>
          <w:p>
            <w:pPr>
              <w:spacing w:after="0"/>
              <w:rPr>
                <w:sz w:val="10"/>
                <w:szCs w:val="10"/>
                <w:color w:val="auto"/>
              </w:rPr>
            </w:pPr>
          </w:p>
        </w:tc>
        <w:tc>
          <w:tcPr>
            <w:tcW w:w="1160" w:type="dxa"/>
            <w:vAlign w:val="bottom"/>
            <w:tcBorders>
              <w:bottom w:val="single" w:sz="8" w:color="auto"/>
              <w:right w:val="single" w:sz="8" w:color="auto"/>
            </w:tcBorders>
          </w:tcPr>
          <w:p>
            <w:pPr>
              <w:spacing w:after="0"/>
              <w:rPr>
                <w:sz w:val="10"/>
                <w:szCs w:val="10"/>
                <w:color w:val="auto"/>
              </w:rPr>
            </w:pPr>
          </w:p>
        </w:tc>
        <w:tc>
          <w:tcPr>
            <w:tcW w:w="1120" w:type="dxa"/>
            <w:vAlign w:val="bottom"/>
            <w:tcBorders>
              <w:bottom w:val="single" w:sz="8" w:color="auto"/>
              <w:right w:val="single" w:sz="8" w:color="auto"/>
            </w:tcBorders>
          </w:tcPr>
          <w:p>
            <w:pPr>
              <w:spacing w:after="0"/>
              <w:rPr>
                <w:sz w:val="10"/>
                <w:szCs w:val="10"/>
                <w:color w:val="auto"/>
              </w:rPr>
            </w:pPr>
          </w:p>
        </w:tc>
        <w:tc>
          <w:tcPr>
            <w:tcW w:w="220" w:type="dxa"/>
            <w:vAlign w:val="bottom"/>
            <w:tcBorders>
              <w:bottom w:val="single" w:sz="8" w:color="auto"/>
            </w:tcBorders>
          </w:tcPr>
          <w:p>
            <w:pPr>
              <w:spacing w:after="0"/>
              <w:rPr>
                <w:sz w:val="10"/>
                <w:szCs w:val="10"/>
                <w:color w:val="auto"/>
              </w:rPr>
            </w:pPr>
          </w:p>
        </w:tc>
        <w:tc>
          <w:tcPr>
            <w:tcW w:w="940" w:type="dxa"/>
            <w:vAlign w:val="bottom"/>
            <w:tcBorders>
              <w:bottom w:val="single" w:sz="8" w:color="auto"/>
              <w:right w:val="single" w:sz="8" w:color="auto"/>
            </w:tcBorders>
          </w:tcPr>
          <w:p>
            <w:pPr>
              <w:spacing w:after="0"/>
              <w:rPr>
                <w:sz w:val="10"/>
                <w:szCs w:val="10"/>
                <w:color w:val="auto"/>
              </w:rPr>
            </w:pPr>
          </w:p>
        </w:tc>
        <w:tc>
          <w:tcPr>
            <w:tcW w:w="1120" w:type="dxa"/>
            <w:vAlign w:val="bottom"/>
            <w:tcBorders>
              <w:bottom w:val="single" w:sz="8" w:color="auto"/>
              <w:right w:val="single" w:sz="8" w:color="auto"/>
            </w:tcBorders>
          </w:tcPr>
          <w:p>
            <w:pPr>
              <w:spacing w:after="0"/>
              <w:rPr>
                <w:sz w:val="10"/>
                <w:szCs w:val="10"/>
                <w:color w:val="auto"/>
              </w:rPr>
            </w:pPr>
          </w:p>
        </w:tc>
        <w:tc>
          <w:tcPr>
            <w:tcW w:w="220" w:type="dxa"/>
            <w:vAlign w:val="bottom"/>
            <w:tcBorders>
              <w:bottom w:val="single" w:sz="8" w:color="auto"/>
            </w:tcBorders>
          </w:tcPr>
          <w:p>
            <w:pPr>
              <w:spacing w:after="0"/>
              <w:rPr>
                <w:sz w:val="10"/>
                <w:szCs w:val="10"/>
                <w:color w:val="auto"/>
              </w:rPr>
            </w:pPr>
          </w:p>
        </w:tc>
        <w:tc>
          <w:tcPr>
            <w:tcW w:w="940" w:type="dxa"/>
            <w:vAlign w:val="bottom"/>
            <w:tcBorders>
              <w:bottom w:val="single" w:sz="8" w:color="auto"/>
              <w:right w:val="single" w:sz="8" w:color="auto"/>
            </w:tcBorders>
          </w:tcPr>
          <w:p>
            <w:pPr>
              <w:spacing w:after="0"/>
              <w:rPr>
                <w:sz w:val="10"/>
                <w:szCs w:val="10"/>
                <w:color w:val="auto"/>
              </w:rPr>
            </w:pPr>
          </w:p>
        </w:tc>
        <w:tc>
          <w:tcPr>
            <w:tcW w:w="1120" w:type="dxa"/>
            <w:vAlign w:val="bottom"/>
            <w:tcBorders>
              <w:bottom w:val="single" w:sz="8" w:color="auto"/>
              <w:right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860" w:type="dxa"/>
            <w:vAlign w:val="bottom"/>
            <w:tcBorders>
              <w:bottom w:val="single" w:sz="8" w:color="auto"/>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202"/>
        </w:trPr>
        <w:tc>
          <w:tcPr>
            <w:tcW w:w="2420" w:type="dxa"/>
            <w:vAlign w:val="bottom"/>
            <w:tcBorders>
              <w:left w:val="single" w:sz="8" w:color="auto"/>
              <w:right w:val="single" w:sz="8" w:color="auto"/>
            </w:tcBorders>
          </w:tcPr>
          <w:p>
            <w:pPr>
              <w:ind w:left="40"/>
              <w:spacing w:after="0" w:line="201" w:lineRule="exact"/>
              <w:rPr>
                <w:sz w:val="20"/>
                <w:szCs w:val="20"/>
                <w:color w:val="auto"/>
              </w:rPr>
            </w:pPr>
            <w:r>
              <w:rPr>
                <w:rFonts w:ascii="Arial" w:cs="Arial" w:eastAsia="Arial" w:hAnsi="Arial"/>
                <w:sz w:val="18"/>
                <w:szCs w:val="18"/>
                <w:color w:val="auto"/>
              </w:rPr>
              <w:t>Advanced packaging wet</w:t>
            </w:r>
          </w:p>
        </w:tc>
        <w:tc>
          <w:tcPr>
            <w:tcW w:w="1000" w:type="dxa"/>
            <w:vAlign w:val="bottom"/>
            <w:tcBorders>
              <w:right w:val="single" w:sz="8" w:color="auto"/>
            </w:tcBorders>
            <w:vMerge w:val="restart"/>
          </w:tcPr>
          <w:p>
            <w:pPr>
              <w:jc w:val="right"/>
              <w:spacing w:after="0"/>
              <w:rPr>
                <w:sz w:val="20"/>
                <w:szCs w:val="20"/>
                <w:color w:val="auto"/>
              </w:rPr>
            </w:pPr>
            <w:r>
              <w:rPr>
                <w:rFonts w:ascii="Arial" w:cs="Arial" w:eastAsia="Arial" w:hAnsi="Arial"/>
                <w:sz w:val="18"/>
                <w:szCs w:val="18"/>
                <w:color w:val="auto"/>
              </w:rPr>
              <w:t>39.69%</w:t>
            </w:r>
          </w:p>
        </w:tc>
        <w:tc>
          <w:tcPr>
            <w:tcW w:w="1160" w:type="dxa"/>
            <w:vAlign w:val="bottom"/>
            <w:tcBorders>
              <w:right w:val="single" w:sz="8" w:color="auto"/>
            </w:tcBorders>
            <w:vMerge w:val="restart"/>
          </w:tcPr>
          <w:p>
            <w:pPr>
              <w:jc w:val="right"/>
              <w:spacing w:after="0"/>
              <w:rPr>
                <w:sz w:val="20"/>
                <w:szCs w:val="20"/>
                <w:color w:val="auto"/>
              </w:rPr>
            </w:pPr>
            <w:r>
              <w:rPr>
                <w:rFonts w:ascii="Arial" w:cs="Arial" w:eastAsia="Arial" w:hAnsi="Arial"/>
                <w:sz w:val="18"/>
                <w:szCs w:val="18"/>
                <w:color w:val="auto"/>
              </w:rPr>
              <w:t>14.13%</w:t>
            </w:r>
          </w:p>
        </w:tc>
        <w:tc>
          <w:tcPr>
            <w:tcW w:w="1120" w:type="dxa"/>
            <w:vAlign w:val="bottom"/>
            <w:tcBorders>
              <w:right w:val="single" w:sz="8" w:color="auto"/>
            </w:tcBorders>
            <w:vMerge w:val="restart"/>
          </w:tcPr>
          <w:p>
            <w:pPr>
              <w:jc w:val="right"/>
              <w:spacing w:after="0"/>
              <w:rPr>
                <w:sz w:val="20"/>
                <w:szCs w:val="20"/>
                <w:color w:val="auto"/>
              </w:rPr>
            </w:pPr>
            <w:r>
              <w:rPr>
                <w:rFonts w:ascii="Arial" w:cs="Arial" w:eastAsia="Arial" w:hAnsi="Arial"/>
                <w:sz w:val="18"/>
                <w:szCs w:val="18"/>
                <w:color w:val="auto"/>
              </w:rPr>
              <w:t>44.73%</w:t>
            </w:r>
          </w:p>
        </w:tc>
        <w:tc>
          <w:tcPr>
            <w:tcW w:w="220" w:type="dxa"/>
            <w:vAlign w:val="bottom"/>
          </w:tcPr>
          <w:p>
            <w:pPr>
              <w:spacing w:after="0"/>
              <w:rPr>
                <w:sz w:val="17"/>
                <w:szCs w:val="17"/>
                <w:color w:val="auto"/>
              </w:rPr>
            </w:pPr>
          </w:p>
        </w:tc>
        <w:tc>
          <w:tcPr>
            <w:tcW w:w="940" w:type="dxa"/>
            <w:vAlign w:val="bottom"/>
            <w:tcBorders>
              <w:right w:val="single" w:sz="8" w:color="auto"/>
            </w:tcBorders>
            <w:vMerge w:val="restart"/>
          </w:tcPr>
          <w:p>
            <w:pPr>
              <w:jc w:val="right"/>
              <w:spacing w:after="0"/>
              <w:rPr>
                <w:sz w:val="20"/>
                <w:szCs w:val="20"/>
                <w:color w:val="auto"/>
              </w:rPr>
            </w:pPr>
            <w:r>
              <w:rPr>
                <w:rFonts w:ascii="Arial" w:cs="Arial" w:eastAsia="Arial" w:hAnsi="Arial"/>
                <w:sz w:val="18"/>
                <w:szCs w:val="18"/>
                <w:color w:val="auto"/>
              </w:rPr>
              <w:t>5.33%</w:t>
            </w:r>
          </w:p>
        </w:tc>
        <w:tc>
          <w:tcPr>
            <w:tcW w:w="1120" w:type="dxa"/>
            <w:vAlign w:val="bottom"/>
            <w:tcBorders>
              <w:right w:val="single" w:sz="8" w:color="auto"/>
            </w:tcBorders>
            <w:vMerge w:val="restart"/>
          </w:tcPr>
          <w:p>
            <w:pPr>
              <w:jc w:val="right"/>
              <w:spacing w:after="0"/>
              <w:rPr>
                <w:sz w:val="20"/>
                <w:szCs w:val="20"/>
                <w:color w:val="auto"/>
              </w:rPr>
            </w:pPr>
            <w:r>
              <w:rPr>
                <w:rFonts w:ascii="Arial" w:cs="Arial" w:eastAsia="Arial" w:hAnsi="Arial"/>
                <w:sz w:val="18"/>
                <w:szCs w:val="18"/>
                <w:color w:val="auto"/>
              </w:rPr>
              <w:t>42.73%</w:t>
            </w:r>
          </w:p>
        </w:tc>
        <w:tc>
          <w:tcPr>
            <w:tcW w:w="220" w:type="dxa"/>
            <w:vAlign w:val="bottom"/>
          </w:tcPr>
          <w:p>
            <w:pPr>
              <w:spacing w:after="0"/>
              <w:rPr>
                <w:sz w:val="17"/>
                <w:szCs w:val="17"/>
                <w:color w:val="auto"/>
              </w:rPr>
            </w:pPr>
          </w:p>
        </w:tc>
        <w:tc>
          <w:tcPr>
            <w:tcW w:w="940" w:type="dxa"/>
            <w:vAlign w:val="bottom"/>
            <w:tcBorders>
              <w:right w:val="single" w:sz="8" w:color="auto"/>
            </w:tcBorders>
            <w:vMerge w:val="restart"/>
          </w:tcPr>
          <w:p>
            <w:pPr>
              <w:jc w:val="right"/>
              <w:spacing w:after="0"/>
              <w:rPr>
                <w:sz w:val="20"/>
                <w:szCs w:val="20"/>
                <w:color w:val="auto"/>
              </w:rPr>
            </w:pPr>
            <w:r>
              <w:rPr>
                <w:rFonts w:ascii="Arial" w:cs="Arial" w:eastAsia="Arial" w:hAnsi="Arial"/>
                <w:sz w:val="18"/>
                <w:szCs w:val="18"/>
                <w:color w:val="auto"/>
              </w:rPr>
              <w:t>4.88%</w:t>
            </w:r>
          </w:p>
        </w:tc>
        <w:tc>
          <w:tcPr>
            <w:tcW w:w="1120" w:type="dxa"/>
            <w:vAlign w:val="bottom"/>
            <w:tcBorders>
              <w:right w:val="single" w:sz="8" w:color="auto"/>
            </w:tcBorders>
            <w:vMerge w:val="restart"/>
          </w:tcPr>
          <w:p>
            <w:pPr>
              <w:jc w:val="right"/>
              <w:spacing w:after="0"/>
              <w:rPr>
                <w:sz w:val="20"/>
                <w:szCs w:val="20"/>
                <w:color w:val="auto"/>
              </w:rPr>
            </w:pPr>
            <w:r>
              <w:rPr>
                <w:rFonts w:ascii="Arial" w:cs="Arial" w:eastAsia="Arial" w:hAnsi="Arial"/>
                <w:sz w:val="18"/>
                <w:szCs w:val="18"/>
                <w:color w:val="auto"/>
              </w:rPr>
              <w:t>41.42%</w:t>
            </w:r>
          </w:p>
        </w:tc>
        <w:tc>
          <w:tcPr>
            <w:tcW w:w="120" w:type="dxa"/>
            <w:vAlign w:val="bottom"/>
          </w:tcPr>
          <w:p>
            <w:pPr>
              <w:spacing w:after="0"/>
              <w:rPr>
                <w:sz w:val="17"/>
                <w:szCs w:val="17"/>
                <w:color w:val="auto"/>
              </w:rPr>
            </w:pPr>
          </w:p>
        </w:tc>
        <w:tc>
          <w:tcPr>
            <w:tcW w:w="860" w:type="dxa"/>
            <w:vAlign w:val="bottom"/>
            <w:tcBorders>
              <w:right w:val="single" w:sz="8" w:color="auto"/>
            </w:tcBorders>
            <w:vMerge w:val="restart"/>
          </w:tcPr>
          <w:p>
            <w:pPr>
              <w:jc w:val="right"/>
              <w:spacing w:after="0"/>
              <w:rPr>
                <w:sz w:val="20"/>
                <w:szCs w:val="20"/>
                <w:color w:val="auto"/>
              </w:rPr>
            </w:pPr>
            <w:r>
              <w:rPr>
                <w:rFonts w:ascii="Arial" w:cs="Arial" w:eastAsia="Arial" w:hAnsi="Arial"/>
                <w:sz w:val="18"/>
                <w:szCs w:val="18"/>
                <w:color w:val="auto"/>
              </w:rPr>
              <w:t>13.73%</w:t>
            </w:r>
          </w:p>
        </w:tc>
        <w:tc>
          <w:tcPr>
            <w:tcW w:w="0" w:type="dxa"/>
            <w:vAlign w:val="bottom"/>
          </w:tcPr>
          <w:p>
            <w:pPr>
              <w:spacing w:after="0"/>
              <w:rPr>
                <w:sz w:val="1"/>
                <w:szCs w:val="1"/>
                <w:color w:val="auto"/>
              </w:rPr>
            </w:pPr>
          </w:p>
        </w:tc>
      </w:tr>
      <w:tr>
        <w:trPr>
          <w:trHeight w:val="122"/>
        </w:trPr>
        <w:tc>
          <w:tcPr>
            <w:tcW w:w="2420" w:type="dxa"/>
            <w:vAlign w:val="bottom"/>
            <w:tcBorders>
              <w:left w:val="single" w:sz="8" w:color="auto"/>
              <w:right w:val="single" w:sz="8" w:color="auto"/>
            </w:tcBorders>
            <w:vMerge w:val="restart"/>
          </w:tcPr>
          <w:p>
            <w:pPr>
              <w:ind w:left="40"/>
              <w:spacing w:after="0"/>
              <w:rPr>
                <w:sz w:val="20"/>
                <w:szCs w:val="20"/>
                <w:color w:val="auto"/>
              </w:rPr>
            </w:pPr>
            <w:r>
              <w:rPr>
                <w:rFonts w:ascii="Arial" w:cs="Arial" w:eastAsia="Arial" w:hAnsi="Arial"/>
                <w:sz w:val="18"/>
                <w:szCs w:val="18"/>
                <w:color w:val="auto"/>
              </w:rPr>
              <w:t>process equipment</w:t>
            </w:r>
          </w:p>
        </w:tc>
        <w:tc>
          <w:tcPr>
            <w:tcW w:w="1000" w:type="dxa"/>
            <w:vAlign w:val="bottom"/>
            <w:tcBorders>
              <w:right w:val="single" w:sz="8" w:color="auto"/>
            </w:tcBorders>
            <w:vMerge w:val="continue"/>
          </w:tcPr>
          <w:p>
            <w:pPr>
              <w:spacing w:after="0"/>
              <w:rPr>
                <w:sz w:val="10"/>
                <w:szCs w:val="10"/>
                <w:color w:val="auto"/>
              </w:rPr>
            </w:pPr>
          </w:p>
        </w:tc>
        <w:tc>
          <w:tcPr>
            <w:tcW w:w="1160" w:type="dxa"/>
            <w:vAlign w:val="bottom"/>
            <w:tcBorders>
              <w:right w:val="single" w:sz="8" w:color="auto"/>
            </w:tcBorders>
            <w:vMerge w:val="continue"/>
          </w:tcPr>
          <w:p>
            <w:pPr>
              <w:spacing w:after="0"/>
              <w:rPr>
                <w:sz w:val="10"/>
                <w:szCs w:val="10"/>
                <w:color w:val="auto"/>
              </w:rPr>
            </w:pPr>
          </w:p>
        </w:tc>
        <w:tc>
          <w:tcPr>
            <w:tcW w:w="1120" w:type="dxa"/>
            <w:vAlign w:val="bottom"/>
            <w:tcBorders>
              <w:right w:val="single" w:sz="8" w:color="auto"/>
            </w:tcBorders>
            <w:vMerge w:val="continue"/>
          </w:tcPr>
          <w:p>
            <w:pPr>
              <w:spacing w:after="0"/>
              <w:rPr>
                <w:sz w:val="10"/>
                <w:szCs w:val="10"/>
                <w:color w:val="auto"/>
              </w:rPr>
            </w:pPr>
          </w:p>
        </w:tc>
        <w:tc>
          <w:tcPr>
            <w:tcW w:w="220" w:type="dxa"/>
            <w:vAlign w:val="bottom"/>
          </w:tcPr>
          <w:p>
            <w:pPr>
              <w:spacing w:after="0"/>
              <w:rPr>
                <w:sz w:val="10"/>
                <w:szCs w:val="10"/>
                <w:color w:val="auto"/>
              </w:rPr>
            </w:pPr>
          </w:p>
        </w:tc>
        <w:tc>
          <w:tcPr>
            <w:tcW w:w="940" w:type="dxa"/>
            <w:vAlign w:val="bottom"/>
            <w:tcBorders>
              <w:right w:val="single" w:sz="8" w:color="auto"/>
            </w:tcBorders>
            <w:vMerge w:val="continue"/>
          </w:tcPr>
          <w:p>
            <w:pPr>
              <w:spacing w:after="0"/>
              <w:rPr>
                <w:sz w:val="10"/>
                <w:szCs w:val="10"/>
                <w:color w:val="auto"/>
              </w:rPr>
            </w:pPr>
          </w:p>
        </w:tc>
        <w:tc>
          <w:tcPr>
            <w:tcW w:w="1120" w:type="dxa"/>
            <w:vAlign w:val="bottom"/>
            <w:tcBorders>
              <w:right w:val="single" w:sz="8" w:color="auto"/>
            </w:tcBorders>
            <w:vMerge w:val="continue"/>
          </w:tcPr>
          <w:p>
            <w:pPr>
              <w:spacing w:after="0"/>
              <w:rPr>
                <w:sz w:val="10"/>
                <w:szCs w:val="10"/>
                <w:color w:val="auto"/>
              </w:rPr>
            </w:pPr>
          </w:p>
        </w:tc>
        <w:tc>
          <w:tcPr>
            <w:tcW w:w="220" w:type="dxa"/>
            <w:vAlign w:val="bottom"/>
          </w:tcPr>
          <w:p>
            <w:pPr>
              <w:spacing w:after="0"/>
              <w:rPr>
                <w:sz w:val="10"/>
                <w:szCs w:val="10"/>
                <w:color w:val="auto"/>
              </w:rPr>
            </w:pPr>
          </w:p>
        </w:tc>
        <w:tc>
          <w:tcPr>
            <w:tcW w:w="940" w:type="dxa"/>
            <w:vAlign w:val="bottom"/>
            <w:tcBorders>
              <w:right w:val="single" w:sz="8" w:color="auto"/>
            </w:tcBorders>
            <w:vMerge w:val="continue"/>
          </w:tcPr>
          <w:p>
            <w:pPr>
              <w:spacing w:after="0"/>
              <w:rPr>
                <w:sz w:val="10"/>
                <w:szCs w:val="10"/>
                <w:color w:val="auto"/>
              </w:rPr>
            </w:pPr>
          </w:p>
        </w:tc>
        <w:tc>
          <w:tcPr>
            <w:tcW w:w="1120" w:type="dxa"/>
            <w:vAlign w:val="bottom"/>
            <w:tcBorders>
              <w:right w:val="single" w:sz="8" w:color="auto"/>
            </w:tcBorders>
            <w:vMerge w:val="continue"/>
          </w:tcPr>
          <w:p>
            <w:pPr>
              <w:spacing w:after="0"/>
              <w:rPr>
                <w:sz w:val="10"/>
                <w:szCs w:val="10"/>
                <w:color w:val="auto"/>
              </w:rPr>
            </w:pPr>
          </w:p>
        </w:tc>
        <w:tc>
          <w:tcPr>
            <w:tcW w:w="120" w:type="dxa"/>
            <w:vAlign w:val="bottom"/>
          </w:tcPr>
          <w:p>
            <w:pPr>
              <w:spacing w:after="0"/>
              <w:rPr>
                <w:sz w:val="10"/>
                <w:szCs w:val="10"/>
                <w:color w:val="auto"/>
              </w:rPr>
            </w:pPr>
          </w:p>
        </w:tc>
        <w:tc>
          <w:tcPr>
            <w:tcW w:w="860" w:type="dxa"/>
            <w:vAlign w:val="bottom"/>
            <w:tcBorders>
              <w:right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15"/>
        </w:trPr>
        <w:tc>
          <w:tcPr>
            <w:tcW w:w="2420" w:type="dxa"/>
            <w:vAlign w:val="bottom"/>
            <w:tcBorders>
              <w:left w:val="single" w:sz="8" w:color="auto"/>
              <w:bottom w:val="single" w:sz="8" w:color="auto"/>
              <w:right w:val="single" w:sz="8" w:color="auto"/>
            </w:tcBorders>
            <w:vMerge w:val="continue"/>
          </w:tcPr>
          <w:p>
            <w:pPr>
              <w:spacing w:after="0"/>
              <w:rPr>
                <w:sz w:val="10"/>
                <w:szCs w:val="10"/>
                <w:color w:val="auto"/>
              </w:rPr>
            </w:pPr>
          </w:p>
        </w:tc>
        <w:tc>
          <w:tcPr>
            <w:tcW w:w="1000" w:type="dxa"/>
            <w:vAlign w:val="bottom"/>
            <w:tcBorders>
              <w:bottom w:val="single" w:sz="8" w:color="auto"/>
              <w:right w:val="single" w:sz="8" w:color="auto"/>
            </w:tcBorders>
          </w:tcPr>
          <w:p>
            <w:pPr>
              <w:spacing w:after="0"/>
              <w:rPr>
                <w:sz w:val="10"/>
                <w:szCs w:val="10"/>
                <w:color w:val="auto"/>
              </w:rPr>
            </w:pPr>
          </w:p>
        </w:tc>
        <w:tc>
          <w:tcPr>
            <w:tcW w:w="1160" w:type="dxa"/>
            <w:vAlign w:val="bottom"/>
            <w:tcBorders>
              <w:bottom w:val="single" w:sz="8" w:color="auto"/>
              <w:right w:val="single" w:sz="8" w:color="auto"/>
            </w:tcBorders>
          </w:tcPr>
          <w:p>
            <w:pPr>
              <w:spacing w:after="0"/>
              <w:rPr>
                <w:sz w:val="10"/>
                <w:szCs w:val="10"/>
                <w:color w:val="auto"/>
              </w:rPr>
            </w:pPr>
          </w:p>
        </w:tc>
        <w:tc>
          <w:tcPr>
            <w:tcW w:w="1120" w:type="dxa"/>
            <w:vAlign w:val="bottom"/>
            <w:tcBorders>
              <w:bottom w:val="single" w:sz="8" w:color="auto"/>
              <w:right w:val="single" w:sz="8" w:color="auto"/>
            </w:tcBorders>
          </w:tcPr>
          <w:p>
            <w:pPr>
              <w:spacing w:after="0"/>
              <w:rPr>
                <w:sz w:val="10"/>
                <w:szCs w:val="10"/>
                <w:color w:val="auto"/>
              </w:rPr>
            </w:pPr>
          </w:p>
        </w:tc>
        <w:tc>
          <w:tcPr>
            <w:tcW w:w="220" w:type="dxa"/>
            <w:vAlign w:val="bottom"/>
            <w:tcBorders>
              <w:bottom w:val="single" w:sz="8" w:color="auto"/>
            </w:tcBorders>
          </w:tcPr>
          <w:p>
            <w:pPr>
              <w:spacing w:after="0"/>
              <w:rPr>
                <w:sz w:val="10"/>
                <w:szCs w:val="10"/>
                <w:color w:val="auto"/>
              </w:rPr>
            </w:pPr>
          </w:p>
        </w:tc>
        <w:tc>
          <w:tcPr>
            <w:tcW w:w="940" w:type="dxa"/>
            <w:vAlign w:val="bottom"/>
            <w:tcBorders>
              <w:bottom w:val="single" w:sz="8" w:color="auto"/>
              <w:right w:val="single" w:sz="8" w:color="auto"/>
            </w:tcBorders>
          </w:tcPr>
          <w:p>
            <w:pPr>
              <w:spacing w:after="0"/>
              <w:rPr>
                <w:sz w:val="10"/>
                <w:szCs w:val="10"/>
                <w:color w:val="auto"/>
              </w:rPr>
            </w:pPr>
          </w:p>
        </w:tc>
        <w:tc>
          <w:tcPr>
            <w:tcW w:w="1120" w:type="dxa"/>
            <w:vAlign w:val="bottom"/>
            <w:tcBorders>
              <w:bottom w:val="single" w:sz="8" w:color="auto"/>
              <w:right w:val="single" w:sz="8" w:color="auto"/>
            </w:tcBorders>
          </w:tcPr>
          <w:p>
            <w:pPr>
              <w:spacing w:after="0"/>
              <w:rPr>
                <w:sz w:val="10"/>
                <w:szCs w:val="10"/>
                <w:color w:val="auto"/>
              </w:rPr>
            </w:pPr>
          </w:p>
        </w:tc>
        <w:tc>
          <w:tcPr>
            <w:tcW w:w="220" w:type="dxa"/>
            <w:vAlign w:val="bottom"/>
            <w:tcBorders>
              <w:bottom w:val="single" w:sz="8" w:color="auto"/>
            </w:tcBorders>
          </w:tcPr>
          <w:p>
            <w:pPr>
              <w:spacing w:after="0"/>
              <w:rPr>
                <w:sz w:val="10"/>
                <w:szCs w:val="10"/>
                <w:color w:val="auto"/>
              </w:rPr>
            </w:pPr>
          </w:p>
        </w:tc>
        <w:tc>
          <w:tcPr>
            <w:tcW w:w="940" w:type="dxa"/>
            <w:vAlign w:val="bottom"/>
            <w:tcBorders>
              <w:bottom w:val="single" w:sz="8" w:color="auto"/>
              <w:right w:val="single" w:sz="8" w:color="auto"/>
            </w:tcBorders>
          </w:tcPr>
          <w:p>
            <w:pPr>
              <w:spacing w:after="0"/>
              <w:rPr>
                <w:sz w:val="10"/>
                <w:szCs w:val="10"/>
                <w:color w:val="auto"/>
              </w:rPr>
            </w:pPr>
          </w:p>
        </w:tc>
        <w:tc>
          <w:tcPr>
            <w:tcW w:w="1120" w:type="dxa"/>
            <w:vAlign w:val="bottom"/>
            <w:tcBorders>
              <w:bottom w:val="single" w:sz="8" w:color="auto"/>
              <w:right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860" w:type="dxa"/>
            <w:vAlign w:val="bottom"/>
            <w:tcBorders>
              <w:bottom w:val="single" w:sz="8" w:color="auto"/>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223"/>
        </w:trPr>
        <w:tc>
          <w:tcPr>
            <w:tcW w:w="2420" w:type="dxa"/>
            <w:vAlign w:val="bottom"/>
            <w:tcBorders>
              <w:left w:val="single" w:sz="8" w:color="auto"/>
              <w:bottom w:val="single" w:sz="8" w:color="auto"/>
              <w:right w:val="single" w:sz="8" w:color="auto"/>
            </w:tcBorders>
          </w:tcPr>
          <w:p>
            <w:pPr>
              <w:ind w:left="1020"/>
              <w:spacing w:after="0"/>
              <w:rPr>
                <w:sz w:val="20"/>
                <w:szCs w:val="20"/>
                <w:color w:val="auto"/>
              </w:rPr>
            </w:pPr>
            <w:r>
              <w:rPr>
                <w:rFonts w:ascii="Arial" w:cs="Arial" w:eastAsia="Arial" w:hAnsi="Arial"/>
                <w:sz w:val="18"/>
                <w:szCs w:val="18"/>
                <w:b w:val="1"/>
                <w:bCs w:val="1"/>
                <w:color w:val="auto"/>
              </w:rPr>
              <w:t>Total</w:t>
            </w:r>
          </w:p>
        </w:tc>
        <w:tc>
          <w:tcPr>
            <w:tcW w:w="100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b w:val="1"/>
                <w:bCs w:val="1"/>
                <w:color w:val="auto"/>
              </w:rPr>
              <w:t>44.33%</w:t>
            </w:r>
          </w:p>
        </w:tc>
        <w:tc>
          <w:tcPr>
            <w:tcW w:w="116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b w:val="1"/>
                <w:bCs w:val="1"/>
                <w:color w:val="auto"/>
              </w:rPr>
              <w:t>100.00%</w:t>
            </w:r>
          </w:p>
        </w:tc>
        <w:tc>
          <w:tcPr>
            <w:tcW w:w="112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b w:val="1"/>
                <w:bCs w:val="1"/>
                <w:color w:val="auto"/>
              </w:rPr>
              <w:t>44.67%</w:t>
            </w:r>
          </w:p>
        </w:tc>
        <w:tc>
          <w:tcPr>
            <w:tcW w:w="220" w:type="dxa"/>
            <w:vAlign w:val="bottom"/>
            <w:tcBorders>
              <w:bottom w:val="single" w:sz="8" w:color="auto"/>
            </w:tcBorders>
          </w:tcPr>
          <w:p>
            <w:pPr>
              <w:spacing w:after="0"/>
              <w:rPr>
                <w:sz w:val="19"/>
                <w:szCs w:val="19"/>
                <w:color w:val="auto"/>
              </w:rPr>
            </w:pPr>
          </w:p>
        </w:tc>
        <w:tc>
          <w:tcPr>
            <w:tcW w:w="94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b w:val="1"/>
                <w:bCs w:val="1"/>
                <w:color w:val="auto"/>
              </w:rPr>
              <w:t>100.00%</w:t>
            </w:r>
          </w:p>
        </w:tc>
        <w:tc>
          <w:tcPr>
            <w:tcW w:w="112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b w:val="1"/>
                <w:bCs w:val="1"/>
                <w:color w:val="auto"/>
              </w:rPr>
              <w:t>43.80%</w:t>
            </w:r>
          </w:p>
        </w:tc>
        <w:tc>
          <w:tcPr>
            <w:tcW w:w="220" w:type="dxa"/>
            <w:vAlign w:val="bottom"/>
            <w:tcBorders>
              <w:bottom w:val="single" w:sz="8" w:color="auto"/>
            </w:tcBorders>
          </w:tcPr>
          <w:p>
            <w:pPr>
              <w:spacing w:after="0"/>
              <w:rPr>
                <w:sz w:val="19"/>
                <w:szCs w:val="19"/>
                <w:color w:val="auto"/>
              </w:rPr>
            </w:pPr>
          </w:p>
        </w:tc>
        <w:tc>
          <w:tcPr>
            <w:tcW w:w="94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b w:val="1"/>
                <w:bCs w:val="1"/>
                <w:color w:val="auto"/>
              </w:rPr>
              <w:t>100.00%</w:t>
            </w:r>
          </w:p>
        </w:tc>
        <w:tc>
          <w:tcPr>
            <w:tcW w:w="112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b w:val="1"/>
                <w:bCs w:val="1"/>
                <w:color w:val="auto"/>
              </w:rPr>
              <w:t>44.46%</w:t>
            </w:r>
          </w:p>
        </w:tc>
        <w:tc>
          <w:tcPr>
            <w:tcW w:w="120" w:type="dxa"/>
            <w:vAlign w:val="bottom"/>
            <w:tcBorders>
              <w:bottom w:val="single" w:sz="8" w:color="auto"/>
            </w:tcBorders>
          </w:tcPr>
          <w:p>
            <w:pPr>
              <w:spacing w:after="0"/>
              <w:rPr>
                <w:sz w:val="19"/>
                <w:szCs w:val="19"/>
                <w:color w:val="auto"/>
              </w:rPr>
            </w:pPr>
          </w:p>
        </w:tc>
        <w:tc>
          <w:tcPr>
            <w:tcW w:w="86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b w:val="1"/>
                <w:bCs w:val="1"/>
                <w:color w:val="auto"/>
              </w:rPr>
              <w:t>100.00%</w:t>
            </w:r>
          </w:p>
        </w:tc>
        <w:tc>
          <w:tcPr>
            <w:tcW w:w="0" w:type="dxa"/>
            <w:vAlign w:val="bottom"/>
          </w:tcPr>
          <w:p>
            <w:pPr>
              <w:spacing w:after="0"/>
              <w:rPr>
                <w:sz w:val="1"/>
                <w:szCs w:val="1"/>
                <w:color w:val="auto"/>
              </w:rPr>
            </w:pPr>
          </w:p>
        </w:tc>
      </w:tr>
      <w:tr>
        <w:trPr>
          <w:trHeight w:val="582"/>
        </w:trPr>
        <w:tc>
          <w:tcPr>
            <w:tcW w:w="24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340" w:type="dxa"/>
            <w:vAlign w:val="bottom"/>
            <w:gridSpan w:val="2"/>
          </w:tcPr>
          <w:p>
            <w:pPr>
              <w:jc w:val="right"/>
              <w:ind w:right="40"/>
              <w:spacing w:after="0"/>
              <w:rPr>
                <w:sz w:val="20"/>
                <w:szCs w:val="20"/>
                <w:color w:val="auto"/>
              </w:rPr>
            </w:pPr>
            <w:r>
              <w:rPr>
                <w:rFonts w:ascii="Arial" w:cs="Arial" w:eastAsia="Arial" w:hAnsi="Arial"/>
                <w:sz w:val="14"/>
                <w:szCs w:val="14"/>
                <w:color w:val="auto"/>
              </w:rPr>
              <w:t>8-4-1-16</w:t>
            </w:r>
          </w:p>
        </w:tc>
        <w:tc>
          <w:tcPr>
            <w:tcW w:w="9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6"/>
        </w:trPr>
        <w:tc>
          <w:tcPr>
            <w:tcW w:w="2420" w:type="dxa"/>
            <w:vAlign w:val="bottom"/>
            <w:tcBorders>
              <w:bottom w:val="single" w:sz="8" w:color="auto"/>
            </w:tcBorders>
          </w:tcPr>
          <w:p>
            <w:pPr>
              <w:spacing w:after="0"/>
              <w:rPr>
                <w:sz w:val="4"/>
                <w:szCs w:val="4"/>
                <w:color w:val="auto"/>
              </w:rPr>
            </w:pPr>
          </w:p>
        </w:tc>
        <w:tc>
          <w:tcPr>
            <w:tcW w:w="1000" w:type="dxa"/>
            <w:vAlign w:val="bottom"/>
            <w:tcBorders>
              <w:bottom w:val="single" w:sz="8" w:color="auto"/>
            </w:tcBorders>
          </w:tcPr>
          <w:p>
            <w:pPr>
              <w:spacing w:after="0"/>
              <w:rPr>
                <w:sz w:val="4"/>
                <w:szCs w:val="4"/>
                <w:color w:val="auto"/>
              </w:rPr>
            </w:pPr>
          </w:p>
        </w:tc>
        <w:tc>
          <w:tcPr>
            <w:tcW w:w="1160" w:type="dxa"/>
            <w:vAlign w:val="bottom"/>
            <w:tcBorders>
              <w:bottom w:val="single" w:sz="8" w:color="auto"/>
            </w:tcBorders>
          </w:tcPr>
          <w:p>
            <w:pPr>
              <w:spacing w:after="0"/>
              <w:rPr>
                <w:sz w:val="4"/>
                <w:szCs w:val="4"/>
                <w:color w:val="auto"/>
              </w:rPr>
            </w:pPr>
          </w:p>
        </w:tc>
        <w:tc>
          <w:tcPr>
            <w:tcW w:w="112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940" w:type="dxa"/>
            <w:vAlign w:val="bottom"/>
            <w:tcBorders>
              <w:bottom w:val="single" w:sz="8" w:color="auto"/>
            </w:tcBorders>
          </w:tcPr>
          <w:p>
            <w:pPr>
              <w:spacing w:after="0"/>
              <w:rPr>
                <w:sz w:val="4"/>
                <w:szCs w:val="4"/>
                <w:color w:val="auto"/>
              </w:rPr>
            </w:pPr>
          </w:p>
        </w:tc>
        <w:tc>
          <w:tcPr>
            <w:tcW w:w="112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940" w:type="dxa"/>
            <w:vAlign w:val="bottom"/>
            <w:tcBorders>
              <w:bottom w:val="single" w:sz="8" w:color="auto"/>
            </w:tcBorders>
          </w:tcPr>
          <w:p>
            <w:pPr>
              <w:spacing w:after="0"/>
              <w:rPr>
                <w:sz w:val="4"/>
                <w:szCs w:val="4"/>
                <w:color w:val="auto"/>
              </w:rPr>
            </w:pPr>
          </w:p>
        </w:tc>
        <w:tc>
          <w:tcPr>
            <w:tcW w:w="112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86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121" w:right="339" w:bottom="1440" w:gutter="0" w:footer="0" w:header="0"/>
        </w:sectPr>
      </w:pPr>
    </w:p>
    <w:bookmarkStart w:id="20" w:name="page21"/>
    <w:bookmarkEnd w:id="20"/>
    <w:p>
      <w:pPr>
        <w:jc w:val="both"/>
        <w:ind w:firstLine="648"/>
        <w:spacing w:after="0" w:line="269" w:lineRule="auto"/>
        <w:rPr>
          <w:sz w:val="20"/>
          <w:szCs w:val="20"/>
          <w:color w:val="auto"/>
        </w:rPr>
      </w:pPr>
      <w:r>
        <w:rPr>
          <w:rFonts w:ascii="Arial" w:cs="Arial" w:eastAsia="Arial" w:hAnsi="Arial"/>
          <w:sz w:val="17"/>
          <w:szCs w:val="17"/>
          <w:color w:val="auto"/>
        </w:rPr>
        <w:t>During the Reporting Period, the gross profit margin of the Company’s main business was respectively 44.46%, 43.80%, 44.67% and 44.33%, which was relatively stable. The gross profit margin of semiconductor cleaning equipment, the revenue from which accounted for more than 80% of the Company’s total revenue, was 44.94%, 44.50%, 45.34% and 45.10%, respectively, which was relatively stable and remained at a relatively high level. The primary reasons are: 1) the semiconductor cleaning equipment is a mature product of the Company, having a relatively stable gross profit margin; 2) the Company’s semiconductor cleaning equipment is highly customized to meet downstream customers’ high requirements for specifications, product standards, technical parameters and so on and is “hi-tech, refined and professional” high-end equipment with high barriers to market and customer verification in the industry, all of which product and industry characteristics support a relatively high gross profit margin level; 3) the Company has strong competitive advantages in the semiconductor cleaning equipment market of Mainland China with a relatively limited number of competitors and is the leading enterprise in China’s current semiconductor cleaning equipment industry; 4) the Company also is highly competitive in the global semiconductor cleaning equipment market, with semiconductor cleaning equipment successfully used in the production line of, and continuing to be sold to, Hynix, one of the top ten semiconductor companies in the world; and 5) the Company has patent protection for its core technologies and has formed technology barriers to effectively protect the competitiveness of its products and technologies.</w:t>
      </w:r>
    </w:p>
    <w:p>
      <w:pPr>
        <w:spacing w:after="0" w:line="206"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The Company has selected NAURA and KINGSEMI, A-share listed companies that have direct or potential competitive relationships in the subdivided fields with the Company, as well as AMEC and HZCCTECH, A-share listed companies that are in the same semiconductor special equipment field in China with the Company, as comparable companies. During the Reporting Period, the comparison between the gross profit margin of the Company’s main business and that of comparable listed companies in the same industry is as follows:</w:t>
      </w:r>
    </w:p>
    <w:p>
      <w:pPr>
        <w:spacing w:after="0" w:line="208" w:lineRule="exact"/>
        <w:rPr>
          <w:sz w:val="20"/>
          <w:szCs w:val="20"/>
          <w:color w:val="auto"/>
        </w:rPr>
      </w:pPr>
    </w:p>
    <w:tbl>
      <w:tblPr>
        <w:tblLayout w:type="fixed"/>
        <w:tblInd w:w="10" w:type="dxa"/>
        <w:tblCellMar>
          <w:top w:w="0" w:type="dxa"/>
          <w:left w:w="0" w:type="dxa"/>
          <w:bottom w:w="0" w:type="dxa"/>
          <w:right w:w="0" w:type="dxa"/>
        </w:tblCellMar>
      </w:tblPr>
      <w:tr>
        <w:trPr>
          <w:trHeight w:val="250"/>
        </w:trPr>
        <w:tc>
          <w:tcPr>
            <w:tcW w:w="2420" w:type="dxa"/>
            <w:vAlign w:val="bottom"/>
            <w:tcBorders>
              <w:top w:val="single" w:sz="8" w:color="auto"/>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91"/>
              </w:rPr>
              <w:t>Company Name</w:t>
            </w:r>
          </w:p>
        </w:tc>
        <w:tc>
          <w:tcPr>
            <w:tcW w:w="1820" w:type="dxa"/>
            <w:vAlign w:val="bottom"/>
            <w:tcBorders>
              <w:top w:val="single" w:sz="8" w:color="auto"/>
              <w:bottom w:val="single" w:sz="8" w:color="auto"/>
            </w:tcBorders>
          </w:tcPr>
          <w:p>
            <w:pPr>
              <w:ind w:left="660"/>
              <w:spacing w:after="0"/>
              <w:rPr>
                <w:sz w:val="20"/>
                <w:szCs w:val="20"/>
                <w:color w:val="auto"/>
              </w:rPr>
            </w:pPr>
            <w:r>
              <w:rPr>
                <w:rFonts w:ascii="Arial" w:cs="Arial" w:eastAsia="Arial" w:hAnsi="Arial"/>
                <w:sz w:val="18"/>
                <w:szCs w:val="18"/>
                <w:b w:val="1"/>
                <w:bCs w:val="1"/>
                <w:color w:val="auto"/>
                <w:w w:val="91"/>
              </w:rPr>
              <w:t>Jan.-Jun. 2020</w:t>
            </w:r>
          </w:p>
        </w:tc>
        <w:tc>
          <w:tcPr>
            <w:tcW w:w="660" w:type="dxa"/>
            <w:vAlign w:val="bottom"/>
            <w:tcBorders>
              <w:top w:val="single" w:sz="8" w:color="auto"/>
              <w:bottom w:val="single" w:sz="8" w:color="auto"/>
              <w:right w:val="single" w:sz="8" w:color="auto"/>
            </w:tcBorders>
          </w:tcPr>
          <w:p>
            <w:pPr>
              <w:spacing w:after="0"/>
              <w:rPr>
                <w:sz w:val="21"/>
                <w:szCs w:val="21"/>
                <w:color w:val="auto"/>
              </w:rPr>
            </w:pPr>
          </w:p>
        </w:tc>
        <w:tc>
          <w:tcPr>
            <w:tcW w:w="13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b w:val="1"/>
                <w:bCs w:val="1"/>
                <w:color w:val="auto"/>
              </w:rPr>
              <w:t>2019</w:t>
            </w:r>
          </w:p>
        </w:tc>
        <w:tc>
          <w:tcPr>
            <w:tcW w:w="740" w:type="dxa"/>
            <w:vAlign w:val="bottom"/>
            <w:tcBorders>
              <w:top w:val="single" w:sz="8" w:color="auto"/>
              <w:bottom w:val="single" w:sz="8" w:color="auto"/>
              <w:right w:val="single" w:sz="8" w:color="auto"/>
            </w:tcBorders>
          </w:tcPr>
          <w:p>
            <w:pPr>
              <w:spacing w:after="0"/>
              <w:rPr>
                <w:sz w:val="21"/>
                <w:szCs w:val="21"/>
                <w:color w:val="auto"/>
              </w:rPr>
            </w:pPr>
          </w:p>
        </w:tc>
        <w:tc>
          <w:tcPr>
            <w:tcW w:w="13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rPr>
              <w:t>2018</w:t>
            </w:r>
          </w:p>
        </w:tc>
        <w:tc>
          <w:tcPr>
            <w:tcW w:w="760" w:type="dxa"/>
            <w:vAlign w:val="bottom"/>
            <w:tcBorders>
              <w:top w:val="single" w:sz="8" w:color="auto"/>
              <w:bottom w:val="single" w:sz="8" w:color="auto"/>
              <w:right w:val="single" w:sz="8" w:color="auto"/>
            </w:tcBorders>
          </w:tcPr>
          <w:p>
            <w:pPr>
              <w:spacing w:after="0"/>
              <w:rPr>
                <w:sz w:val="21"/>
                <w:szCs w:val="21"/>
                <w:color w:val="auto"/>
              </w:rPr>
            </w:pPr>
          </w:p>
        </w:tc>
        <w:tc>
          <w:tcPr>
            <w:tcW w:w="2100" w:type="dxa"/>
            <w:vAlign w:val="bottom"/>
            <w:tcBorders>
              <w:top w:val="single" w:sz="8" w:color="auto"/>
              <w:bottom w:val="single" w:sz="8" w:color="auto"/>
              <w:right w:val="single" w:sz="8" w:color="auto"/>
            </w:tcBorders>
          </w:tcPr>
          <w:p>
            <w:pPr>
              <w:jc w:val="right"/>
              <w:ind w:right="790"/>
              <w:spacing w:after="0"/>
              <w:rPr>
                <w:sz w:val="20"/>
                <w:szCs w:val="20"/>
                <w:color w:val="auto"/>
              </w:rPr>
            </w:pPr>
            <w:r>
              <w:rPr>
                <w:rFonts w:ascii="Arial" w:cs="Arial" w:eastAsia="Arial" w:hAnsi="Arial"/>
                <w:sz w:val="18"/>
                <w:szCs w:val="18"/>
                <w:b w:val="1"/>
                <w:bCs w:val="1"/>
                <w:color w:val="auto"/>
              </w:rPr>
              <w:t>2017</w:t>
            </w:r>
          </w:p>
        </w:tc>
      </w:tr>
      <w:tr>
        <w:trPr>
          <w:trHeight w:val="223"/>
        </w:trPr>
        <w:tc>
          <w:tcPr>
            <w:tcW w:w="242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NAURA</w:t>
            </w:r>
          </w:p>
        </w:tc>
        <w:tc>
          <w:tcPr>
            <w:tcW w:w="1820" w:type="dxa"/>
            <w:vAlign w:val="bottom"/>
            <w:tcBorders>
              <w:bottom w:val="single" w:sz="8" w:color="auto"/>
            </w:tcBorders>
          </w:tcPr>
          <w:p>
            <w:pPr>
              <w:spacing w:after="0"/>
              <w:rPr>
                <w:sz w:val="19"/>
                <w:szCs w:val="19"/>
                <w:color w:val="auto"/>
              </w:rPr>
            </w:pPr>
          </w:p>
        </w:tc>
        <w:tc>
          <w:tcPr>
            <w:tcW w:w="66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color w:val="auto"/>
                <w:w w:val="98"/>
              </w:rPr>
              <w:t>36.32%</w:t>
            </w:r>
          </w:p>
        </w:tc>
        <w:tc>
          <w:tcPr>
            <w:tcW w:w="1380" w:type="dxa"/>
            <w:vAlign w:val="bottom"/>
            <w:tcBorders>
              <w:bottom w:val="single" w:sz="8" w:color="auto"/>
            </w:tcBorders>
          </w:tcPr>
          <w:p>
            <w:pPr>
              <w:spacing w:after="0"/>
              <w:rPr>
                <w:sz w:val="19"/>
                <w:szCs w:val="19"/>
                <w:color w:val="auto"/>
              </w:rPr>
            </w:pPr>
          </w:p>
        </w:tc>
        <w:tc>
          <w:tcPr>
            <w:tcW w:w="74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40.53%</w:t>
            </w:r>
          </w:p>
        </w:tc>
        <w:tc>
          <w:tcPr>
            <w:tcW w:w="1360" w:type="dxa"/>
            <w:vAlign w:val="bottom"/>
            <w:tcBorders>
              <w:bottom w:val="single" w:sz="8" w:color="auto"/>
            </w:tcBorders>
          </w:tcPr>
          <w:p>
            <w:pPr>
              <w:spacing w:after="0"/>
              <w:rPr>
                <w:sz w:val="19"/>
                <w:szCs w:val="19"/>
                <w:color w:val="auto"/>
              </w:rPr>
            </w:pPr>
          </w:p>
        </w:tc>
        <w:tc>
          <w:tcPr>
            <w:tcW w:w="76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38.38%</w:t>
            </w:r>
          </w:p>
        </w:tc>
        <w:tc>
          <w:tcPr>
            <w:tcW w:w="210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36.59%</w:t>
            </w:r>
          </w:p>
        </w:tc>
      </w:tr>
      <w:tr>
        <w:trPr>
          <w:trHeight w:val="223"/>
        </w:trPr>
        <w:tc>
          <w:tcPr>
            <w:tcW w:w="242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AMEC</w:t>
            </w:r>
          </w:p>
        </w:tc>
        <w:tc>
          <w:tcPr>
            <w:tcW w:w="1820" w:type="dxa"/>
            <w:vAlign w:val="bottom"/>
            <w:tcBorders>
              <w:bottom w:val="single" w:sz="8" w:color="auto"/>
            </w:tcBorders>
          </w:tcPr>
          <w:p>
            <w:pPr>
              <w:spacing w:after="0"/>
              <w:rPr>
                <w:sz w:val="19"/>
                <w:szCs w:val="19"/>
                <w:color w:val="auto"/>
              </w:rPr>
            </w:pPr>
          </w:p>
        </w:tc>
        <w:tc>
          <w:tcPr>
            <w:tcW w:w="66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color w:val="auto"/>
                <w:w w:val="98"/>
              </w:rPr>
              <w:t>33.92%</w:t>
            </w:r>
          </w:p>
        </w:tc>
        <w:tc>
          <w:tcPr>
            <w:tcW w:w="1380" w:type="dxa"/>
            <w:vAlign w:val="bottom"/>
            <w:tcBorders>
              <w:bottom w:val="single" w:sz="8" w:color="auto"/>
            </w:tcBorders>
          </w:tcPr>
          <w:p>
            <w:pPr>
              <w:spacing w:after="0"/>
              <w:rPr>
                <w:sz w:val="19"/>
                <w:szCs w:val="19"/>
                <w:color w:val="auto"/>
              </w:rPr>
            </w:pPr>
          </w:p>
        </w:tc>
        <w:tc>
          <w:tcPr>
            <w:tcW w:w="74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34.93%</w:t>
            </w:r>
          </w:p>
        </w:tc>
        <w:tc>
          <w:tcPr>
            <w:tcW w:w="1360" w:type="dxa"/>
            <w:vAlign w:val="bottom"/>
            <w:tcBorders>
              <w:bottom w:val="single" w:sz="8" w:color="auto"/>
            </w:tcBorders>
          </w:tcPr>
          <w:p>
            <w:pPr>
              <w:spacing w:after="0"/>
              <w:rPr>
                <w:sz w:val="19"/>
                <w:szCs w:val="19"/>
                <w:color w:val="auto"/>
              </w:rPr>
            </w:pPr>
          </w:p>
        </w:tc>
        <w:tc>
          <w:tcPr>
            <w:tcW w:w="76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35.50%</w:t>
            </w:r>
          </w:p>
        </w:tc>
        <w:tc>
          <w:tcPr>
            <w:tcW w:w="210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38.59%</w:t>
            </w:r>
          </w:p>
        </w:tc>
      </w:tr>
      <w:tr>
        <w:trPr>
          <w:trHeight w:val="223"/>
        </w:trPr>
        <w:tc>
          <w:tcPr>
            <w:tcW w:w="242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KINGSEMI</w:t>
            </w:r>
          </w:p>
        </w:tc>
        <w:tc>
          <w:tcPr>
            <w:tcW w:w="1820" w:type="dxa"/>
            <w:vAlign w:val="bottom"/>
            <w:tcBorders>
              <w:bottom w:val="single" w:sz="8" w:color="auto"/>
            </w:tcBorders>
          </w:tcPr>
          <w:p>
            <w:pPr>
              <w:spacing w:after="0"/>
              <w:rPr>
                <w:sz w:val="19"/>
                <w:szCs w:val="19"/>
                <w:color w:val="auto"/>
              </w:rPr>
            </w:pPr>
          </w:p>
        </w:tc>
        <w:tc>
          <w:tcPr>
            <w:tcW w:w="66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44%</w:t>
            </w:r>
          </w:p>
        </w:tc>
        <w:tc>
          <w:tcPr>
            <w:tcW w:w="1380" w:type="dxa"/>
            <w:vAlign w:val="bottom"/>
            <w:tcBorders>
              <w:bottom w:val="single" w:sz="8" w:color="auto"/>
            </w:tcBorders>
          </w:tcPr>
          <w:p>
            <w:pPr>
              <w:spacing w:after="0"/>
              <w:rPr>
                <w:sz w:val="19"/>
                <w:szCs w:val="19"/>
                <w:color w:val="auto"/>
              </w:rPr>
            </w:pPr>
          </w:p>
        </w:tc>
        <w:tc>
          <w:tcPr>
            <w:tcW w:w="74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46.62%</w:t>
            </w:r>
          </w:p>
        </w:tc>
        <w:tc>
          <w:tcPr>
            <w:tcW w:w="1360" w:type="dxa"/>
            <w:vAlign w:val="bottom"/>
            <w:tcBorders>
              <w:bottom w:val="single" w:sz="8" w:color="auto"/>
            </w:tcBorders>
          </w:tcPr>
          <w:p>
            <w:pPr>
              <w:spacing w:after="0"/>
              <w:rPr>
                <w:sz w:val="19"/>
                <w:szCs w:val="19"/>
                <w:color w:val="auto"/>
              </w:rPr>
            </w:pPr>
          </w:p>
        </w:tc>
        <w:tc>
          <w:tcPr>
            <w:tcW w:w="76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46.49%</w:t>
            </w:r>
          </w:p>
        </w:tc>
        <w:tc>
          <w:tcPr>
            <w:tcW w:w="210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41.68%</w:t>
            </w:r>
          </w:p>
        </w:tc>
      </w:tr>
      <w:tr>
        <w:trPr>
          <w:trHeight w:val="223"/>
        </w:trPr>
        <w:tc>
          <w:tcPr>
            <w:tcW w:w="242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HZCCTECH</w:t>
            </w:r>
          </w:p>
        </w:tc>
        <w:tc>
          <w:tcPr>
            <w:tcW w:w="1820" w:type="dxa"/>
            <w:vAlign w:val="bottom"/>
            <w:tcBorders>
              <w:bottom w:val="single" w:sz="8" w:color="auto"/>
            </w:tcBorders>
          </w:tcPr>
          <w:p>
            <w:pPr>
              <w:spacing w:after="0"/>
              <w:rPr>
                <w:sz w:val="19"/>
                <w:szCs w:val="19"/>
                <w:color w:val="auto"/>
              </w:rPr>
            </w:pPr>
          </w:p>
        </w:tc>
        <w:tc>
          <w:tcPr>
            <w:tcW w:w="66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color w:val="auto"/>
                <w:w w:val="98"/>
              </w:rPr>
              <w:t>49.65%</w:t>
            </w:r>
          </w:p>
        </w:tc>
        <w:tc>
          <w:tcPr>
            <w:tcW w:w="1380" w:type="dxa"/>
            <w:vAlign w:val="bottom"/>
            <w:tcBorders>
              <w:bottom w:val="single" w:sz="8" w:color="auto"/>
            </w:tcBorders>
          </w:tcPr>
          <w:p>
            <w:pPr>
              <w:spacing w:after="0"/>
              <w:rPr>
                <w:sz w:val="19"/>
                <w:szCs w:val="19"/>
                <w:color w:val="auto"/>
              </w:rPr>
            </w:pPr>
          </w:p>
        </w:tc>
        <w:tc>
          <w:tcPr>
            <w:tcW w:w="74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51.15%</w:t>
            </w:r>
          </w:p>
        </w:tc>
        <w:tc>
          <w:tcPr>
            <w:tcW w:w="1360" w:type="dxa"/>
            <w:vAlign w:val="bottom"/>
            <w:tcBorders>
              <w:bottom w:val="single" w:sz="8" w:color="auto"/>
            </w:tcBorders>
          </w:tcPr>
          <w:p>
            <w:pPr>
              <w:spacing w:after="0"/>
              <w:rPr>
                <w:sz w:val="19"/>
                <w:szCs w:val="19"/>
                <w:color w:val="auto"/>
              </w:rPr>
            </w:pPr>
          </w:p>
        </w:tc>
        <w:tc>
          <w:tcPr>
            <w:tcW w:w="76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55.60%</w:t>
            </w:r>
          </w:p>
        </w:tc>
        <w:tc>
          <w:tcPr>
            <w:tcW w:w="210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57.10%</w:t>
            </w:r>
          </w:p>
        </w:tc>
      </w:tr>
      <w:tr>
        <w:trPr>
          <w:trHeight w:val="223"/>
        </w:trPr>
        <w:tc>
          <w:tcPr>
            <w:tcW w:w="242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87"/>
              </w:rPr>
              <w:t>Average</w:t>
            </w:r>
          </w:p>
        </w:tc>
        <w:tc>
          <w:tcPr>
            <w:tcW w:w="1820" w:type="dxa"/>
            <w:vAlign w:val="bottom"/>
            <w:tcBorders>
              <w:bottom w:val="single" w:sz="8" w:color="auto"/>
            </w:tcBorders>
          </w:tcPr>
          <w:p>
            <w:pPr>
              <w:spacing w:after="0"/>
              <w:rPr>
                <w:sz w:val="19"/>
                <w:szCs w:val="19"/>
                <w:color w:val="auto"/>
              </w:rPr>
            </w:pPr>
          </w:p>
        </w:tc>
        <w:tc>
          <w:tcPr>
            <w:tcW w:w="66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b w:val="1"/>
                <w:bCs w:val="1"/>
                <w:color w:val="auto"/>
                <w:w w:val="98"/>
              </w:rPr>
              <w:t>40.97%</w:t>
            </w:r>
          </w:p>
        </w:tc>
        <w:tc>
          <w:tcPr>
            <w:tcW w:w="1380" w:type="dxa"/>
            <w:vAlign w:val="bottom"/>
            <w:tcBorders>
              <w:bottom w:val="single" w:sz="8" w:color="auto"/>
            </w:tcBorders>
          </w:tcPr>
          <w:p>
            <w:pPr>
              <w:spacing w:after="0"/>
              <w:rPr>
                <w:sz w:val="19"/>
                <w:szCs w:val="19"/>
                <w:color w:val="auto"/>
              </w:rPr>
            </w:pPr>
          </w:p>
        </w:tc>
        <w:tc>
          <w:tcPr>
            <w:tcW w:w="74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b w:val="1"/>
                <w:bCs w:val="1"/>
                <w:color w:val="auto"/>
              </w:rPr>
              <w:t>43.31%</w:t>
            </w:r>
          </w:p>
        </w:tc>
        <w:tc>
          <w:tcPr>
            <w:tcW w:w="1360" w:type="dxa"/>
            <w:vAlign w:val="bottom"/>
            <w:tcBorders>
              <w:bottom w:val="single" w:sz="8" w:color="auto"/>
            </w:tcBorders>
          </w:tcPr>
          <w:p>
            <w:pPr>
              <w:spacing w:after="0"/>
              <w:rPr>
                <w:sz w:val="19"/>
                <w:szCs w:val="19"/>
                <w:color w:val="auto"/>
              </w:rPr>
            </w:pPr>
          </w:p>
        </w:tc>
        <w:tc>
          <w:tcPr>
            <w:tcW w:w="76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b w:val="1"/>
                <w:bCs w:val="1"/>
                <w:color w:val="auto"/>
              </w:rPr>
              <w:t>43.99%</w:t>
            </w:r>
          </w:p>
        </w:tc>
        <w:tc>
          <w:tcPr>
            <w:tcW w:w="210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b w:val="1"/>
                <w:bCs w:val="1"/>
                <w:color w:val="auto"/>
              </w:rPr>
              <w:t>43.49%</w:t>
            </w:r>
          </w:p>
        </w:tc>
      </w:tr>
      <w:tr>
        <w:trPr>
          <w:trHeight w:val="223"/>
        </w:trPr>
        <w:tc>
          <w:tcPr>
            <w:tcW w:w="242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92"/>
              </w:rPr>
              <w:t>Company</w:t>
            </w:r>
          </w:p>
        </w:tc>
        <w:tc>
          <w:tcPr>
            <w:tcW w:w="1820" w:type="dxa"/>
            <w:vAlign w:val="bottom"/>
            <w:tcBorders>
              <w:bottom w:val="single" w:sz="8" w:color="auto"/>
            </w:tcBorders>
          </w:tcPr>
          <w:p>
            <w:pPr>
              <w:spacing w:after="0"/>
              <w:rPr>
                <w:sz w:val="19"/>
                <w:szCs w:val="19"/>
                <w:color w:val="auto"/>
              </w:rPr>
            </w:pPr>
          </w:p>
        </w:tc>
        <w:tc>
          <w:tcPr>
            <w:tcW w:w="66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b w:val="1"/>
                <w:bCs w:val="1"/>
                <w:color w:val="auto"/>
                <w:w w:val="98"/>
              </w:rPr>
              <w:t>44.33%</w:t>
            </w:r>
          </w:p>
        </w:tc>
        <w:tc>
          <w:tcPr>
            <w:tcW w:w="1380" w:type="dxa"/>
            <w:vAlign w:val="bottom"/>
            <w:tcBorders>
              <w:bottom w:val="single" w:sz="8" w:color="auto"/>
            </w:tcBorders>
          </w:tcPr>
          <w:p>
            <w:pPr>
              <w:spacing w:after="0"/>
              <w:rPr>
                <w:sz w:val="19"/>
                <w:szCs w:val="19"/>
                <w:color w:val="auto"/>
              </w:rPr>
            </w:pPr>
          </w:p>
        </w:tc>
        <w:tc>
          <w:tcPr>
            <w:tcW w:w="74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b w:val="1"/>
                <w:bCs w:val="1"/>
                <w:color w:val="auto"/>
              </w:rPr>
              <w:t>44.67%</w:t>
            </w:r>
          </w:p>
        </w:tc>
        <w:tc>
          <w:tcPr>
            <w:tcW w:w="1360" w:type="dxa"/>
            <w:vAlign w:val="bottom"/>
            <w:tcBorders>
              <w:bottom w:val="single" w:sz="8" w:color="auto"/>
            </w:tcBorders>
          </w:tcPr>
          <w:p>
            <w:pPr>
              <w:spacing w:after="0"/>
              <w:rPr>
                <w:sz w:val="19"/>
                <w:szCs w:val="19"/>
                <w:color w:val="auto"/>
              </w:rPr>
            </w:pPr>
          </w:p>
        </w:tc>
        <w:tc>
          <w:tcPr>
            <w:tcW w:w="76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b w:val="1"/>
                <w:bCs w:val="1"/>
                <w:color w:val="auto"/>
              </w:rPr>
              <w:t>43.80%</w:t>
            </w:r>
          </w:p>
        </w:tc>
        <w:tc>
          <w:tcPr>
            <w:tcW w:w="210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b w:val="1"/>
                <w:bCs w:val="1"/>
                <w:color w:val="auto"/>
              </w:rPr>
              <w:t>44.46%</w:t>
            </w:r>
          </w:p>
        </w:tc>
      </w:tr>
    </w:tbl>
    <w:p>
      <w:pPr>
        <w:spacing w:after="0" w:line="202" w:lineRule="exact"/>
        <w:rPr>
          <w:sz w:val="20"/>
          <w:szCs w:val="20"/>
          <w:color w:val="auto"/>
        </w:rPr>
      </w:pPr>
    </w:p>
    <w:p>
      <w:pPr>
        <w:ind w:left="340"/>
        <w:spacing w:after="0"/>
        <w:rPr>
          <w:sz w:val="20"/>
          <w:szCs w:val="20"/>
          <w:color w:val="auto"/>
        </w:rPr>
      </w:pPr>
      <w:r>
        <w:rPr>
          <w:rFonts w:ascii="Arial" w:cs="Arial" w:eastAsia="Arial" w:hAnsi="Arial"/>
          <w:sz w:val="18"/>
          <w:szCs w:val="18"/>
          <w:color w:val="auto"/>
        </w:rPr>
        <w:t>Note: The above indicators are calculated based on the data publicly disclosed by the comparable listed companies.</w:t>
      </w:r>
    </w:p>
    <w:p>
      <w:pPr>
        <w:spacing w:after="0" w:line="252"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During the Reporting Period, the gross profit margin of the Company is close to the average level of the comparable listed companies in the same industry.</w:t>
      </w:r>
    </w:p>
    <w:p>
      <w:pPr>
        <w:spacing w:after="0" w:line="36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8-4-1-17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1" w:name="page22"/>
    <w:bookmarkEnd w:id="21"/>
    <w:p>
      <w:pPr>
        <w:ind w:left="340"/>
        <w:spacing w:after="0"/>
        <w:rPr>
          <w:sz w:val="20"/>
          <w:szCs w:val="20"/>
          <w:color w:val="auto"/>
        </w:rPr>
      </w:pPr>
      <w:r>
        <w:rPr>
          <w:rFonts w:ascii="Arial" w:cs="Arial" w:eastAsia="Arial" w:hAnsi="Arial"/>
          <w:sz w:val="18"/>
          <w:szCs w:val="18"/>
          <w:b w:val="1"/>
          <w:bCs w:val="1"/>
          <w:color w:val="auto"/>
        </w:rPr>
        <w:t>(ii) The gross profit margin of the Issuer is close to that of the domestic listed companies in the same industry.</w:t>
      </w:r>
    </w:p>
    <w:p>
      <w:pPr>
        <w:spacing w:after="0" w:line="256"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The Company principally engages in the R&amp;D, production and sales of semiconductor special equipment, with the main products including semiconductor cleaning equipment, semiconductor electroplating equipment and advanced packaging wet process equipment. NAURA, KINGSEMI and PNC System, A-share listed companies with direct, or potentially, competitive relationship with the Company in the subdivided fields, as well as AMEC and HZCCTECH, A-share listed companies in the same field of semiconductor special equipment in China as the Company, which have been selected by the Company as comparable companies. Taking the gross profit margin of each such company by product in 2019 as an example, the comparison is as follows:</w:t>
      </w:r>
    </w:p>
    <w:p>
      <w:pPr>
        <w:spacing w:after="0" w:line="214" w:lineRule="exact"/>
        <w:rPr>
          <w:sz w:val="20"/>
          <w:szCs w:val="20"/>
          <w:color w:val="auto"/>
        </w:rPr>
      </w:pPr>
    </w:p>
    <w:tbl>
      <w:tblPr>
        <w:tblLayout w:type="fixed"/>
        <w:tblInd w:w="10" w:type="dxa"/>
        <w:tblCellMar>
          <w:top w:w="0" w:type="dxa"/>
          <w:left w:w="0" w:type="dxa"/>
          <w:bottom w:w="0" w:type="dxa"/>
          <w:right w:w="0" w:type="dxa"/>
        </w:tblCellMar>
      </w:tblPr>
      <w:tr>
        <w:trPr>
          <w:trHeight w:val="225"/>
        </w:trPr>
        <w:tc>
          <w:tcPr>
            <w:tcW w:w="1580" w:type="dxa"/>
            <w:vAlign w:val="bottom"/>
            <w:tcBorders>
              <w:top w:val="single" w:sz="8" w:color="auto"/>
              <w:left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92"/>
              </w:rPr>
              <w:t>Company</w:t>
            </w:r>
          </w:p>
        </w:tc>
        <w:tc>
          <w:tcPr>
            <w:tcW w:w="1300" w:type="dxa"/>
            <w:vAlign w:val="bottom"/>
            <w:tcBorders>
              <w:top w:val="single" w:sz="8" w:color="auto"/>
            </w:tcBorders>
          </w:tcPr>
          <w:p>
            <w:pPr>
              <w:spacing w:after="0"/>
              <w:rPr>
                <w:sz w:val="19"/>
                <w:szCs w:val="19"/>
                <w:color w:val="auto"/>
              </w:rPr>
            </w:pPr>
          </w:p>
        </w:tc>
        <w:tc>
          <w:tcPr>
            <w:tcW w:w="4940" w:type="dxa"/>
            <w:vAlign w:val="bottom"/>
            <w:tcBorders>
              <w:top w:val="single" w:sz="8" w:color="auto"/>
            </w:tcBorders>
            <w:vMerge w:val="restart"/>
          </w:tcPr>
          <w:p>
            <w:pPr>
              <w:ind w:left="1700"/>
              <w:spacing w:after="0"/>
              <w:rPr>
                <w:sz w:val="20"/>
                <w:szCs w:val="20"/>
                <w:color w:val="auto"/>
              </w:rPr>
            </w:pPr>
            <w:r>
              <w:rPr>
                <w:rFonts w:ascii="Arial" w:cs="Arial" w:eastAsia="Arial" w:hAnsi="Arial"/>
                <w:sz w:val="18"/>
                <w:szCs w:val="18"/>
                <w:b w:val="1"/>
                <w:bCs w:val="1"/>
                <w:color w:val="auto"/>
              </w:rPr>
              <w:t>Product Name</w:t>
            </w:r>
          </w:p>
        </w:tc>
        <w:tc>
          <w:tcPr>
            <w:tcW w:w="920" w:type="dxa"/>
            <w:vAlign w:val="bottom"/>
            <w:tcBorders>
              <w:top w:val="single" w:sz="8" w:color="auto"/>
              <w:right w:val="single" w:sz="8" w:color="auto"/>
            </w:tcBorders>
          </w:tcPr>
          <w:p>
            <w:pPr>
              <w:spacing w:after="0"/>
              <w:rPr>
                <w:sz w:val="19"/>
                <w:szCs w:val="19"/>
                <w:color w:val="auto"/>
              </w:rPr>
            </w:pPr>
          </w:p>
        </w:tc>
        <w:tc>
          <w:tcPr>
            <w:tcW w:w="250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90"/>
              </w:rPr>
              <w:t>Gross Profit</w:t>
            </w:r>
          </w:p>
        </w:tc>
        <w:tc>
          <w:tcPr>
            <w:tcW w:w="0" w:type="dxa"/>
            <w:vAlign w:val="bottom"/>
          </w:tcPr>
          <w:p>
            <w:pPr>
              <w:spacing w:after="0"/>
              <w:rPr>
                <w:sz w:val="1"/>
                <w:szCs w:val="1"/>
                <w:color w:val="auto"/>
              </w:rPr>
            </w:pPr>
          </w:p>
        </w:tc>
      </w:tr>
      <w:tr>
        <w:trPr>
          <w:trHeight w:val="126"/>
        </w:trPr>
        <w:tc>
          <w:tcPr>
            <w:tcW w:w="158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18"/>
                <w:szCs w:val="18"/>
                <w:b w:val="1"/>
                <w:bCs w:val="1"/>
                <w:color w:val="auto"/>
                <w:w w:val="89"/>
              </w:rPr>
              <w:t>Name</w:t>
            </w:r>
          </w:p>
        </w:tc>
        <w:tc>
          <w:tcPr>
            <w:tcW w:w="1300" w:type="dxa"/>
            <w:vAlign w:val="bottom"/>
          </w:tcPr>
          <w:p>
            <w:pPr>
              <w:spacing w:after="0"/>
              <w:rPr>
                <w:sz w:val="10"/>
                <w:szCs w:val="10"/>
                <w:color w:val="auto"/>
              </w:rPr>
            </w:pPr>
          </w:p>
        </w:tc>
        <w:tc>
          <w:tcPr>
            <w:tcW w:w="4940" w:type="dxa"/>
            <w:vAlign w:val="bottom"/>
            <w:vMerge w:val="continue"/>
          </w:tcPr>
          <w:p>
            <w:pPr>
              <w:spacing w:after="0"/>
              <w:rPr>
                <w:sz w:val="10"/>
                <w:szCs w:val="10"/>
                <w:color w:val="auto"/>
              </w:rPr>
            </w:pPr>
          </w:p>
        </w:tc>
        <w:tc>
          <w:tcPr>
            <w:tcW w:w="920" w:type="dxa"/>
            <w:vAlign w:val="bottom"/>
            <w:tcBorders>
              <w:right w:val="single" w:sz="8" w:color="auto"/>
            </w:tcBorders>
          </w:tcPr>
          <w:p>
            <w:pPr>
              <w:spacing w:after="0"/>
              <w:rPr>
                <w:sz w:val="10"/>
                <w:szCs w:val="10"/>
                <w:color w:val="auto"/>
              </w:rPr>
            </w:pPr>
          </w:p>
        </w:tc>
        <w:tc>
          <w:tcPr>
            <w:tcW w:w="25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b w:val="1"/>
                <w:bCs w:val="1"/>
                <w:color w:val="auto"/>
                <w:w w:val="94"/>
              </w:rPr>
              <w:t>Margin in 2019</w:t>
            </w:r>
          </w:p>
        </w:tc>
        <w:tc>
          <w:tcPr>
            <w:tcW w:w="0" w:type="dxa"/>
            <w:vAlign w:val="bottom"/>
          </w:tcPr>
          <w:p>
            <w:pPr>
              <w:spacing w:after="0"/>
              <w:rPr>
                <w:sz w:val="1"/>
                <w:szCs w:val="1"/>
                <w:color w:val="auto"/>
              </w:rPr>
            </w:pPr>
          </w:p>
        </w:tc>
      </w:tr>
      <w:tr>
        <w:trPr>
          <w:trHeight w:val="115"/>
        </w:trPr>
        <w:tc>
          <w:tcPr>
            <w:tcW w:w="1580" w:type="dxa"/>
            <w:vAlign w:val="bottom"/>
            <w:tcBorders>
              <w:left w:val="single" w:sz="8" w:color="auto"/>
              <w:bottom w:val="single" w:sz="8" w:color="auto"/>
              <w:right w:val="single" w:sz="8" w:color="auto"/>
            </w:tcBorders>
            <w:vMerge w:val="continue"/>
          </w:tcPr>
          <w:p>
            <w:pPr>
              <w:spacing w:after="0"/>
              <w:rPr>
                <w:sz w:val="10"/>
                <w:szCs w:val="10"/>
                <w:color w:val="auto"/>
              </w:rPr>
            </w:pPr>
          </w:p>
        </w:tc>
        <w:tc>
          <w:tcPr>
            <w:tcW w:w="1300" w:type="dxa"/>
            <w:vAlign w:val="bottom"/>
            <w:tcBorders>
              <w:bottom w:val="single" w:sz="8" w:color="auto"/>
            </w:tcBorders>
          </w:tcPr>
          <w:p>
            <w:pPr>
              <w:spacing w:after="0"/>
              <w:rPr>
                <w:sz w:val="10"/>
                <w:szCs w:val="10"/>
                <w:color w:val="auto"/>
              </w:rPr>
            </w:pPr>
          </w:p>
        </w:tc>
        <w:tc>
          <w:tcPr>
            <w:tcW w:w="4940" w:type="dxa"/>
            <w:vAlign w:val="bottom"/>
            <w:tcBorders>
              <w:bottom w:val="single" w:sz="8" w:color="auto"/>
            </w:tcBorders>
          </w:tcPr>
          <w:p>
            <w:pPr>
              <w:spacing w:after="0"/>
              <w:rPr>
                <w:sz w:val="10"/>
                <w:szCs w:val="10"/>
                <w:color w:val="auto"/>
              </w:rPr>
            </w:pPr>
          </w:p>
        </w:tc>
        <w:tc>
          <w:tcPr>
            <w:tcW w:w="920" w:type="dxa"/>
            <w:vAlign w:val="bottom"/>
            <w:tcBorders>
              <w:bottom w:val="single" w:sz="8" w:color="auto"/>
              <w:right w:val="single" w:sz="8" w:color="auto"/>
            </w:tcBorders>
          </w:tcPr>
          <w:p>
            <w:pPr>
              <w:spacing w:after="0"/>
              <w:rPr>
                <w:sz w:val="10"/>
                <w:szCs w:val="10"/>
                <w:color w:val="auto"/>
              </w:rPr>
            </w:pPr>
          </w:p>
        </w:tc>
        <w:tc>
          <w:tcPr>
            <w:tcW w:w="2500" w:type="dxa"/>
            <w:vAlign w:val="bottom"/>
            <w:tcBorders>
              <w:bottom w:val="single" w:sz="8" w:color="auto"/>
              <w:right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2"/>
        </w:trPr>
        <w:tc>
          <w:tcPr>
            <w:tcW w:w="158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18"/>
                <w:szCs w:val="18"/>
                <w:color w:val="auto"/>
              </w:rPr>
              <w:t>NAURA</w:t>
            </w:r>
          </w:p>
        </w:tc>
        <w:tc>
          <w:tcPr>
            <w:tcW w:w="7160" w:type="dxa"/>
            <w:vAlign w:val="bottom"/>
            <w:tcBorders>
              <w:right w:val="single" w:sz="8" w:color="auto"/>
            </w:tcBorders>
            <w:gridSpan w:val="3"/>
          </w:tcPr>
          <w:p>
            <w:pPr>
              <w:spacing w:after="0" w:line="201" w:lineRule="exact"/>
              <w:rPr>
                <w:sz w:val="20"/>
                <w:szCs w:val="20"/>
                <w:color w:val="auto"/>
              </w:rPr>
            </w:pPr>
            <w:r>
              <w:rPr>
                <w:rFonts w:ascii="Arial" w:cs="Arial" w:eastAsia="Arial" w:hAnsi="Arial"/>
                <w:sz w:val="18"/>
                <w:szCs w:val="18"/>
                <w:color w:val="auto"/>
                <w:w w:val="93"/>
              </w:rPr>
              <w:t>Electronic process equipment, mainly including semiconductor equipment such as cleaning and</w:t>
            </w:r>
          </w:p>
        </w:tc>
        <w:tc>
          <w:tcPr>
            <w:tcW w:w="25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1"/>
              </w:rPr>
              <w:t>35.23%</w:t>
            </w:r>
          </w:p>
        </w:tc>
        <w:tc>
          <w:tcPr>
            <w:tcW w:w="0" w:type="dxa"/>
            <w:vAlign w:val="bottom"/>
          </w:tcPr>
          <w:p>
            <w:pPr>
              <w:spacing w:after="0"/>
              <w:rPr>
                <w:sz w:val="1"/>
                <w:szCs w:val="1"/>
                <w:color w:val="auto"/>
              </w:rPr>
            </w:pPr>
          </w:p>
        </w:tc>
      </w:tr>
      <w:tr>
        <w:trPr>
          <w:trHeight w:val="122"/>
        </w:trPr>
        <w:tc>
          <w:tcPr>
            <w:tcW w:w="1580" w:type="dxa"/>
            <w:vAlign w:val="bottom"/>
            <w:tcBorders>
              <w:left w:val="single" w:sz="8" w:color="auto"/>
              <w:right w:val="single" w:sz="8" w:color="auto"/>
            </w:tcBorders>
            <w:vMerge w:val="continue"/>
          </w:tcPr>
          <w:p>
            <w:pPr>
              <w:spacing w:after="0"/>
              <w:rPr>
                <w:sz w:val="10"/>
                <w:szCs w:val="10"/>
                <w:color w:val="auto"/>
              </w:rPr>
            </w:pPr>
          </w:p>
        </w:tc>
        <w:tc>
          <w:tcPr>
            <w:tcW w:w="6240" w:type="dxa"/>
            <w:vAlign w:val="bottom"/>
            <w:gridSpan w:val="2"/>
            <w:vMerge w:val="restart"/>
          </w:tcPr>
          <w:p>
            <w:pPr>
              <w:spacing w:after="0"/>
              <w:rPr>
                <w:sz w:val="20"/>
                <w:szCs w:val="20"/>
                <w:color w:val="auto"/>
              </w:rPr>
            </w:pPr>
            <w:r>
              <w:rPr>
                <w:rFonts w:ascii="Arial" w:cs="Arial" w:eastAsia="Arial" w:hAnsi="Arial"/>
                <w:sz w:val="18"/>
                <w:szCs w:val="18"/>
                <w:color w:val="auto"/>
              </w:rPr>
              <w:t>etching equipment, vacuum equipment and lithium battery equipment</w:t>
            </w:r>
          </w:p>
        </w:tc>
        <w:tc>
          <w:tcPr>
            <w:tcW w:w="920" w:type="dxa"/>
            <w:vAlign w:val="bottom"/>
            <w:tcBorders>
              <w:right w:val="single" w:sz="8" w:color="auto"/>
            </w:tcBorders>
          </w:tcPr>
          <w:p>
            <w:pPr>
              <w:spacing w:after="0"/>
              <w:rPr>
                <w:sz w:val="10"/>
                <w:szCs w:val="10"/>
                <w:color w:val="auto"/>
              </w:rPr>
            </w:pPr>
          </w:p>
        </w:tc>
        <w:tc>
          <w:tcPr>
            <w:tcW w:w="2500" w:type="dxa"/>
            <w:vAlign w:val="bottom"/>
            <w:tcBorders>
              <w:right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15"/>
        </w:trPr>
        <w:tc>
          <w:tcPr>
            <w:tcW w:w="1580" w:type="dxa"/>
            <w:vAlign w:val="bottom"/>
            <w:tcBorders>
              <w:left w:val="single" w:sz="8" w:color="auto"/>
              <w:bottom w:val="single" w:sz="8" w:color="auto"/>
              <w:right w:val="single" w:sz="8" w:color="auto"/>
            </w:tcBorders>
          </w:tcPr>
          <w:p>
            <w:pPr>
              <w:spacing w:after="0"/>
              <w:rPr>
                <w:sz w:val="10"/>
                <w:szCs w:val="10"/>
                <w:color w:val="auto"/>
              </w:rPr>
            </w:pPr>
          </w:p>
        </w:tc>
        <w:tc>
          <w:tcPr>
            <w:tcW w:w="6240" w:type="dxa"/>
            <w:vAlign w:val="bottom"/>
            <w:tcBorders>
              <w:bottom w:val="single" w:sz="8" w:color="auto"/>
            </w:tcBorders>
            <w:gridSpan w:val="2"/>
            <w:vMerge w:val="continue"/>
          </w:tcPr>
          <w:p>
            <w:pPr>
              <w:spacing w:after="0"/>
              <w:rPr>
                <w:sz w:val="10"/>
                <w:szCs w:val="10"/>
                <w:color w:val="auto"/>
              </w:rPr>
            </w:pPr>
          </w:p>
        </w:tc>
        <w:tc>
          <w:tcPr>
            <w:tcW w:w="920" w:type="dxa"/>
            <w:vAlign w:val="bottom"/>
            <w:tcBorders>
              <w:bottom w:val="single" w:sz="8" w:color="auto"/>
              <w:right w:val="single" w:sz="8" w:color="auto"/>
            </w:tcBorders>
          </w:tcPr>
          <w:p>
            <w:pPr>
              <w:spacing w:after="0"/>
              <w:rPr>
                <w:sz w:val="10"/>
                <w:szCs w:val="10"/>
                <w:color w:val="auto"/>
              </w:rPr>
            </w:pPr>
          </w:p>
        </w:tc>
        <w:tc>
          <w:tcPr>
            <w:tcW w:w="2500" w:type="dxa"/>
            <w:vAlign w:val="bottom"/>
            <w:tcBorders>
              <w:bottom w:val="single" w:sz="8" w:color="auto"/>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223"/>
        </w:trPr>
        <w:tc>
          <w:tcPr>
            <w:tcW w:w="158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9"/>
              </w:rPr>
              <w:t>AMEC</w:t>
            </w:r>
          </w:p>
        </w:tc>
        <w:tc>
          <w:tcPr>
            <w:tcW w:w="624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w w:val="96"/>
              </w:rPr>
              <w:t>Special equipment, mainly including etching equipment, MOCVD equipment, etc.</w:t>
            </w:r>
          </w:p>
        </w:tc>
        <w:tc>
          <w:tcPr>
            <w:tcW w:w="920" w:type="dxa"/>
            <w:vAlign w:val="bottom"/>
            <w:tcBorders>
              <w:bottom w:val="single" w:sz="8" w:color="auto"/>
              <w:right w:val="single" w:sz="8" w:color="auto"/>
            </w:tcBorders>
          </w:tcPr>
          <w:p>
            <w:pPr>
              <w:spacing w:after="0"/>
              <w:rPr>
                <w:sz w:val="19"/>
                <w:szCs w:val="19"/>
                <w:color w:val="auto"/>
              </w:rPr>
            </w:pPr>
          </w:p>
        </w:tc>
        <w:tc>
          <w:tcPr>
            <w:tcW w:w="25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1"/>
              </w:rPr>
              <w:t>34.93%</w:t>
            </w:r>
          </w:p>
        </w:tc>
        <w:tc>
          <w:tcPr>
            <w:tcW w:w="0" w:type="dxa"/>
            <w:vAlign w:val="bottom"/>
          </w:tcPr>
          <w:p>
            <w:pPr>
              <w:spacing w:after="0"/>
              <w:rPr>
                <w:sz w:val="1"/>
                <w:szCs w:val="1"/>
                <w:color w:val="auto"/>
              </w:rPr>
            </w:pPr>
          </w:p>
        </w:tc>
      </w:tr>
      <w:tr>
        <w:trPr>
          <w:trHeight w:val="202"/>
        </w:trPr>
        <w:tc>
          <w:tcPr>
            <w:tcW w:w="158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18"/>
                <w:szCs w:val="18"/>
                <w:color w:val="auto"/>
                <w:w w:val="99"/>
              </w:rPr>
              <w:t>KINGSEMI</w:t>
            </w:r>
          </w:p>
        </w:tc>
        <w:tc>
          <w:tcPr>
            <w:tcW w:w="7160" w:type="dxa"/>
            <w:vAlign w:val="bottom"/>
            <w:tcBorders>
              <w:right w:val="single" w:sz="8" w:color="auto"/>
            </w:tcBorders>
            <w:gridSpan w:val="3"/>
          </w:tcPr>
          <w:p>
            <w:pPr>
              <w:spacing w:after="0" w:line="201" w:lineRule="exact"/>
              <w:rPr>
                <w:sz w:val="20"/>
                <w:szCs w:val="20"/>
                <w:color w:val="auto"/>
              </w:rPr>
            </w:pPr>
            <w:r>
              <w:rPr>
                <w:rFonts w:ascii="Arial" w:cs="Arial" w:eastAsia="Arial" w:hAnsi="Arial"/>
                <w:sz w:val="18"/>
                <w:szCs w:val="18"/>
                <w:color w:val="auto"/>
                <w:w w:val="95"/>
              </w:rPr>
              <w:t>Single-wafer wet equipment, mainly including cleaning equipment, degumming equipment and</w:t>
            </w:r>
          </w:p>
        </w:tc>
        <w:tc>
          <w:tcPr>
            <w:tcW w:w="25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1"/>
              </w:rPr>
              <w:t>51.90%</w:t>
            </w:r>
          </w:p>
        </w:tc>
        <w:tc>
          <w:tcPr>
            <w:tcW w:w="0" w:type="dxa"/>
            <w:vAlign w:val="bottom"/>
          </w:tcPr>
          <w:p>
            <w:pPr>
              <w:spacing w:after="0"/>
              <w:rPr>
                <w:sz w:val="1"/>
                <w:szCs w:val="1"/>
                <w:color w:val="auto"/>
              </w:rPr>
            </w:pPr>
          </w:p>
        </w:tc>
      </w:tr>
      <w:tr>
        <w:trPr>
          <w:trHeight w:val="122"/>
        </w:trPr>
        <w:tc>
          <w:tcPr>
            <w:tcW w:w="1580" w:type="dxa"/>
            <w:vAlign w:val="bottom"/>
            <w:tcBorders>
              <w:left w:val="single" w:sz="8" w:color="auto"/>
              <w:right w:val="single" w:sz="8" w:color="auto"/>
            </w:tcBorders>
            <w:vMerge w:val="continue"/>
          </w:tcPr>
          <w:p>
            <w:pPr>
              <w:spacing w:after="0"/>
              <w:rPr>
                <w:sz w:val="10"/>
                <w:szCs w:val="10"/>
                <w:color w:val="auto"/>
              </w:rPr>
            </w:pPr>
          </w:p>
        </w:tc>
        <w:tc>
          <w:tcPr>
            <w:tcW w:w="6240" w:type="dxa"/>
            <w:vAlign w:val="bottom"/>
            <w:gridSpan w:val="2"/>
            <w:vMerge w:val="restart"/>
          </w:tcPr>
          <w:p>
            <w:pPr>
              <w:spacing w:after="0"/>
              <w:rPr>
                <w:sz w:val="20"/>
                <w:szCs w:val="20"/>
                <w:color w:val="auto"/>
              </w:rPr>
            </w:pPr>
            <w:r>
              <w:rPr>
                <w:rFonts w:ascii="Arial" w:cs="Arial" w:eastAsia="Arial" w:hAnsi="Arial"/>
                <w:sz w:val="18"/>
                <w:szCs w:val="18"/>
                <w:color w:val="auto"/>
              </w:rPr>
              <w:t>wet etching equipment</w:t>
            </w:r>
          </w:p>
        </w:tc>
        <w:tc>
          <w:tcPr>
            <w:tcW w:w="920" w:type="dxa"/>
            <w:vAlign w:val="bottom"/>
            <w:tcBorders>
              <w:right w:val="single" w:sz="8" w:color="auto"/>
            </w:tcBorders>
          </w:tcPr>
          <w:p>
            <w:pPr>
              <w:spacing w:after="0"/>
              <w:rPr>
                <w:sz w:val="10"/>
                <w:szCs w:val="10"/>
                <w:color w:val="auto"/>
              </w:rPr>
            </w:pPr>
          </w:p>
        </w:tc>
        <w:tc>
          <w:tcPr>
            <w:tcW w:w="2500" w:type="dxa"/>
            <w:vAlign w:val="bottom"/>
            <w:tcBorders>
              <w:right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15"/>
        </w:trPr>
        <w:tc>
          <w:tcPr>
            <w:tcW w:w="1580" w:type="dxa"/>
            <w:vAlign w:val="bottom"/>
            <w:tcBorders>
              <w:left w:val="single" w:sz="8" w:color="auto"/>
              <w:bottom w:val="single" w:sz="8" w:color="auto"/>
              <w:right w:val="single" w:sz="8" w:color="auto"/>
            </w:tcBorders>
          </w:tcPr>
          <w:p>
            <w:pPr>
              <w:spacing w:after="0"/>
              <w:rPr>
                <w:sz w:val="10"/>
                <w:szCs w:val="10"/>
                <w:color w:val="auto"/>
              </w:rPr>
            </w:pPr>
          </w:p>
        </w:tc>
        <w:tc>
          <w:tcPr>
            <w:tcW w:w="6240" w:type="dxa"/>
            <w:vAlign w:val="bottom"/>
            <w:tcBorders>
              <w:bottom w:val="single" w:sz="8" w:color="auto"/>
            </w:tcBorders>
            <w:gridSpan w:val="2"/>
            <w:vMerge w:val="continue"/>
          </w:tcPr>
          <w:p>
            <w:pPr>
              <w:spacing w:after="0"/>
              <w:rPr>
                <w:sz w:val="10"/>
                <w:szCs w:val="10"/>
                <w:color w:val="auto"/>
              </w:rPr>
            </w:pPr>
          </w:p>
        </w:tc>
        <w:tc>
          <w:tcPr>
            <w:tcW w:w="920" w:type="dxa"/>
            <w:vAlign w:val="bottom"/>
            <w:tcBorders>
              <w:bottom w:val="single" w:sz="8" w:color="auto"/>
              <w:right w:val="single" w:sz="8" w:color="auto"/>
            </w:tcBorders>
          </w:tcPr>
          <w:p>
            <w:pPr>
              <w:spacing w:after="0"/>
              <w:rPr>
                <w:sz w:val="10"/>
                <w:szCs w:val="10"/>
                <w:color w:val="auto"/>
              </w:rPr>
            </w:pPr>
          </w:p>
        </w:tc>
        <w:tc>
          <w:tcPr>
            <w:tcW w:w="2500" w:type="dxa"/>
            <w:vAlign w:val="bottom"/>
            <w:tcBorders>
              <w:bottom w:val="single" w:sz="8" w:color="auto"/>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202"/>
        </w:trPr>
        <w:tc>
          <w:tcPr>
            <w:tcW w:w="158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18"/>
                <w:szCs w:val="18"/>
                <w:color w:val="auto"/>
                <w:w w:val="96"/>
              </w:rPr>
              <w:t>HZCCTECH</w:t>
            </w:r>
          </w:p>
        </w:tc>
        <w:tc>
          <w:tcPr>
            <w:tcW w:w="1300" w:type="dxa"/>
            <w:vAlign w:val="bottom"/>
          </w:tcPr>
          <w:p>
            <w:pPr>
              <w:spacing w:after="0" w:line="201" w:lineRule="exact"/>
              <w:rPr>
                <w:sz w:val="20"/>
                <w:szCs w:val="20"/>
                <w:color w:val="auto"/>
              </w:rPr>
            </w:pPr>
            <w:r>
              <w:rPr>
                <w:rFonts w:ascii="Arial" w:cs="Arial" w:eastAsia="Arial" w:hAnsi="Arial"/>
                <w:sz w:val="18"/>
                <w:szCs w:val="18"/>
                <w:color w:val="auto"/>
                <w:w w:val="96"/>
              </w:rPr>
              <w:t>Integrated circuit</w:t>
            </w:r>
          </w:p>
        </w:tc>
        <w:tc>
          <w:tcPr>
            <w:tcW w:w="4940" w:type="dxa"/>
            <w:vAlign w:val="bottom"/>
          </w:tcPr>
          <w:p>
            <w:pPr>
              <w:ind w:left="60"/>
              <w:spacing w:after="0" w:line="201" w:lineRule="exact"/>
              <w:rPr>
                <w:sz w:val="20"/>
                <w:szCs w:val="20"/>
                <w:color w:val="auto"/>
              </w:rPr>
            </w:pPr>
            <w:r>
              <w:rPr>
                <w:rFonts w:ascii="Arial" w:cs="Arial" w:eastAsia="Arial" w:hAnsi="Arial"/>
                <w:sz w:val="18"/>
                <w:szCs w:val="18"/>
                <w:color w:val="auto"/>
                <w:w w:val="98"/>
              </w:rPr>
              <w:t>electronic industry special equipment, mainly including testing</w:t>
            </w:r>
          </w:p>
        </w:tc>
        <w:tc>
          <w:tcPr>
            <w:tcW w:w="920" w:type="dxa"/>
            <w:vAlign w:val="bottom"/>
            <w:tcBorders>
              <w:right w:val="single" w:sz="8" w:color="auto"/>
            </w:tcBorders>
          </w:tcPr>
          <w:p>
            <w:pPr>
              <w:jc w:val="right"/>
              <w:spacing w:after="0" w:line="201" w:lineRule="exact"/>
              <w:rPr>
                <w:sz w:val="20"/>
                <w:szCs w:val="20"/>
                <w:color w:val="auto"/>
              </w:rPr>
            </w:pPr>
            <w:r>
              <w:rPr>
                <w:rFonts w:ascii="Arial" w:cs="Arial" w:eastAsia="Arial" w:hAnsi="Arial"/>
                <w:sz w:val="18"/>
                <w:szCs w:val="18"/>
                <w:color w:val="auto"/>
                <w:w w:val="96"/>
              </w:rPr>
              <w:t>equipment,</w:t>
            </w:r>
          </w:p>
        </w:tc>
        <w:tc>
          <w:tcPr>
            <w:tcW w:w="25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1"/>
              </w:rPr>
              <w:t>51.15%</w:t>
            </w:r>
          </w:p>
        </w:tc>
        <w:tc>
          <w:tcPr>
            <w:tcW w:w="0" w:type="dxa"/>
            <w:vAlign w:val="bottom"/>
          </w:tcPr>
          <w:p>
            <w:pPr>
              <w:spacing w:after="0"/>
              <w:rPr>
                <w:sz w:val="1"/>
                <w:szCs w:val="1"/>
                <w:color w:val="auto"/>
              </w:rPr>
            </w:pPr>
          </w:p>
        </w:tc>
      </w:tr>
      <w:tr>
        <w:trPr>
          <w:trHeight w:val="122"/>
        </w:trPr>
        <w:tc>
          <w:tcPr>
            <w:tcW w:w="1580" w:type="dxa"/>
            <w:vAlign w:val="bottom"/>
            <w:tcBorders>
              <w:left w:val="single" w:sz="8" w:color="auto"/>
              <w:right w:val="single" w:sz="8" w:color="auto"/>
            </w:tcBorders>
            <w:vMerge w:val="continue"/>
          </w:tcPr>
          <w:p>
            <w:pPr>
              <w:spacing w:after="0"/>
              <w:rPr>
                <w:sz w:val="10"/>
                <w:szCs w:val="10"/>
                <w:color w:val="auto"/>
              </w:rPr>
            </w:pPr>
          </w:p>
        </w:tc>
        <w:tc>
          <w:tcPr>
            <w:tcW w:w="6240" w:type="dxa"/>
            <w:vAlign w:val="bottom"/>
            <w:gridSpan w:val="2"/>
            <w:vMerge w:val="restart"/>
          </w:tcPr>
          <w:p>
            <w:pPr>
              <w:spacing w:after="0"/>
              <w:rPr>
                <w:sz w:val="20"/>
                <w:szCs w:val="20"/>
                <w:color w:val="auto"/>
              </w:rPr>
            </w:pPr>
            <w:r>
              <w:rPr>
                <w:rFonts w:ascii="Arial" w:cs="Arial" w:eastAsia="Arial" w:hAnsi="Arial"/>
                <w:sz w:val="18"/>
                <w:szCs w:val="18"/>
                <w:color w:val="auto"/>
              </w:rPr>
              <w:t>sorting equipment, etc.</w:t>
            </w:r>
          </w:p>
        </w:tc>
        <w:tc>
          <w:tcPr>
            <w:tcW w:w="920" w:type="dxa"/>
            <w:vAlign w:val="bottom"/>
            <w:tcBorders>
              <w:right w:val="single" w:sz="8" w:color="auto"/>
            </w:tcBorders>
          </w:tcPr>
          <w:p>
            <w:pPr>
              <w:spacing w:after="0"/>
              <w:rPr>
                <w:sz w:val="10"/>
                <w:szCs w:val="10"/>
                <w:color w:val="auto"/>
              </w:rPr>
            </w:pPr>
          </w:p>
        </w:tc>
        <w:tc>
          <w:tcPr>
            <w:tcW w:w="2500" w:type="dxa"/>
            <w:vAlign w:val="bottom"/>
            <w:tcBorders>
              <w:right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15"/>
        </w:trPr>
        <w:tc>
          <w:tcPr>
            <w:tcW w:w="1580" w:type="dxa"/>
            <w:vAlign w:val="bottom"/>
            <w:tcBorders>
              <w:left w:val="single" w:sz="8" w:color="auto"/>
              <w:bottom w:val="single" w:sz="8" w:color="auto"/>
              <w:right w:val="single" w:sz="8" w:color="auto"/>
            </w:tcBorders>
          </w:tcPr>
          <w:p>
            <w:pPr>
              <w:spacing w:after="0"/>
              <w:rPr>
                <w:sz w:val="10"/>
                <w:szCs w:val="10"/>
                <w:color w:val="auto"/>
              </w:rPr>
            </w:pPr>
          </w:p>
        </w:tc>
        <w:tc>
          <w:tcPr>
            <w:tcW w:w="6240" w:type="dxa"/>
            <w:vAlign w:val="bottom"/>
            <w:tcBorders>
              <w:bottom w:val="single" w:sz="8" w:color="auto"/>
            </w:tcBorders>
            <w:gridSpan w:val="2"/>
            <w:vMerge w:val="continue"/>
          </w:tcPr>
          <w:p>
            <w:pPr>
              <w:spacing w:after="0"/>
              <w:rPr>
                <w:sz w:val="10"/>
                <w:szCs w:val="10"/>
                <w:color w:val="auto"/>
              </w:rPr>
            </w:pPr>
          </w:p>
        </w:tc>
        <w:tc>
          <w:tcPr>
            <w:tcW w:w="920" w:type="dxa"/>
            <w:vAlign w:val="bottom"/>
            <w:tcBorders>
              <w:bottom w:val="single" w:sz="8" w:color="auto"/>
              <w:right w:val="single" w:sz="8" w:color="auto"/>
            </w:tcBorders>
          </w:tcPr>
          <w:p>
            <w:pPr>
              <w:spacing w:after="0"/>
              <w:rPr>
                <w:sz w:val="10"/>
                <w:szCs w:val="10"/>
                <w:color w:val="auto"/>
              </w:rPr>
            </w:pPr>
          </w:p>
        </w:tc>
        <w:tc>
          <w:tcPr>
            <w:tcW w:w="2500" w:type="dxa"/>
            <w:vAlign w:val="bottom"/>
            <w:tcBorders>
              <w:bottom w:val="single" w:sz="8" w:color="auto"/>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223"/>
        </w:trPr>
        <w:tc>
          <w:tcPr>
            <w:tcW w:w="158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9"/>
              </w:rPr>
              <w:t>PNC System</w:t>
            </w:r>
          </w:p>
        </w:tc>
        <w:tc>
          <w:tcPr>
            <w:tcW w:w="7160" w:type="dxa"/>
            <w:vAlign w:val="bottom"/>
            <w:tcBorders>
              <w:bottom w:val="single" w:sz="8" w:color="auto"/>
              <w:right w:val="single" w:sz="8" w:color="auto"/>
            </w:tcBorders>
            <w:gridSpan w:val="3"/>
          </w:tcPr>
          <w:p>
            <w:pPr>
              <w:spacing w:after="0"/>
              <w:rPr>
                <w:sz w:val="20"/>
                <w:szCs w:val="20"/>
                <w:color w:val="auto"/>
              </w:rPr>
            </w:pPr>
            <w:r>
              <w:rPr>
                <w:rFonts w:ascii="Arial" w:cs="Arial" w:eastAsia="Arial" w:hAnsi="Arial"/>
                <w:sz w:val="18"/>
                <w:szCs w:val="18"/>
                <w:color w:val="auto"/>
                <w:w w:val="96"/>
              </w:rPr>
              <w:t>Semiconductor equipment, mainly including wet etching equipment, cleaning equipment, etc.</w:t>
            </w:r>
          </w:p>
        </w:tc>
        <w:tc>
          <w:tcPr>
            <w:tcW w:w="25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1"/>
              </w:rPr>
              <w:t>32.08%</w:t>
            </w:r>
          </w:p>
        </w:tc>
        <w:tc>
          <w:tcPr>
            <w:tcW w:w="0" w:type="dxa"/>
            <w:vAlign w:val="bottom"/>
          </w:tcPr>
          <w:p>
            <w:pPr>
              <w:spacing w:after="0"/>
              <w:rPr>
                <w:sz w:val="1"/>
                <w:szCs w:val="1"/>
                <w:color w:val="auto"/>
              </w:rPr>
            </w:pPr>
          </w:p>
        </w:tc>
      </w:tr>
      <w:tr>
        <w:trPr>
          <w:trHeight w:val="223"/>
        </w:trPr>
        <w:tc>
          <w:tcPr>
            <w:tcW w:w="1580" w:type="dxa"/>
            <w:vAlign w:val="bottom"/>
            <w:tcBorders>
              <w:left w:val="single" w:sz="8" w:color="auto"/>
              <w:bottom w:val="single" w:sz="8" w:color="auto"/>
            </w:tcBorders>
          </w:tcPr>
          <w:p>
            <w:pPr>
              <w:spacing w:after="0"/>
              <w:rPr>
                <w:sz w:val="19"/>
                <w:szCs w:val="19"/>
                <w:color w:val="auto"/>
              </w:rPr>
            </w:pPr>
          </w:p>
        </w:tc>
        <w:tc>
          <w:tcPr>
            <w:tcW w:w="1300" w:type="dxa"/>
            <w:vAlign w:val="bottom"/>
            <w:tcBorders>
              <w:bottom w:val="single" w:sz="8" w:color="auto"/>
            </w:tcBorders>
          </w:tcPr>
          <w:p>
            <w:pPr>
              <w:spacing w:after="0"/>
              <w:rPr>
                <w:sz w:val="19"/>
                <w:szCs w:val="19"/>
                <w:color w:val="auto"/>
              </w:rPr>
            </w:pPr>
          </w:p>
        </w:tc>
        <w:tc>
          <w:tcPr>
            <w:tcW w:w="4940" w:type="dxa"/>
            <w:vAlign w:val="bottom"/>
            <w:tcBorders>
              <w:bottom w:val="single" w:sz="8" w:color="auto"/>
            </w:tcBorders>
          </w:tcPr>
          <w:p>
            <w:pPr>
              <w:ind w:left="380"/>
              <w:spacing w:after="0"/>
              <w:rPr>
                <w:sz w:val="20"/>
                <w:szCs w:val="20"/>
                <w:color w:val="auto"/>
              </w:rPr>
            </w:pPr>
            <w:r>
              <w:rPr>
                <w:rFonts w:ascii="Arial" w:cs="Arial" w:eastAsia="Arial" w:hAnsi="Arial"/>
                <w:sz w:val="18"/>
                <w:szCs w:val="18"/>
                <w:b w:val="1"/>
                <w:bCs w:val="1"/>
                <w:color w:val="auto"/>
              </w:rPr>
              <w:t>Average Gross Profit Margin</w:t>
            </w:r>
          </w:p>
        </w:tc>
        <w:tc>
          <w:tcPr>
            <w:tcW w:w="920" w:type="dxa"/>
            <w:vAlign w:val="bottom"/>
            <w:tcBorders>
              <w:bottom w:val="single" w:sz="8" w:color="auto"/>
              <w:right w:val="single" w:sz="8" w:color="auto"/>
            </w:tcBorders>
          </w:tcPr>
          <w:p>
            <w:pPr>
              <w:spacing w:after="0"/>
              <w:rPr>
                <w:sz w:val="19"/>
                <w:szCs w:val="19"/>
                <w:color w:val="auto"/>
              </w:rPr>
            </w:pPr>
          </w:p>
        </w:tc>
        <w:tc>
          <w:tcPr>
            <w:tcW w:w="25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98"/>
              </w:rPr>
              <w:t>41.06%</w:t>
            </w:r>
          </w:p>
        </w:tc>
        <w:tc>
          <w:tcPr>
            <w:tcW w:w="0" w:type="dxa"/>
            <w:vAlign w:val="bottom"/>
          </w:tcPr>
          <w:p>
            <w:pPr>
              <w:spacing w:after="0"/>
              <w:rPr>
                <w:sz w:val="1"/>
                <w:szCs w:val="1"/>
                <w:color w:val="auto"/>
              </w:rPr>
            </w:pPr>
          </w:p>
        </w:tc>
      </w:tr>
      <w:tr>
        <w:trPr>
          <w:trHeight w:val="198"/>
        </w:trPr>
        <w:tc>
          <w:tcPr>
            <w:tcW w:w="158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18"/>
                <w:szCs w:val="18"/>
                <w:b w:val="1"/>
                <w:bCs w:val="1"/>
                <w:color w:val="auto"/>
                <w:w w:val="90"/>
              </w:rPr>
              <w:t>Issuer</w:t>
            </w:r>
          </w:p>
        </w:tc>
        <w:tc>
          <w:tcPr>
            <w:tcW w:w="1300" w:type="dxa"/>
            <w:vAlign w:val="bottom"/>
          </w:tcPr>
          <w:p>
            <w:pPr>
              <w:spacing w:after="0" w:line="198" w:lineRule="exact"/>
              <w:rPr>
                <w:sz w:val="20"/>
                <w:szCs w:val="20"/>
                <w:color w:val="auto"/>
              </w:rPr>
            </w:pPr>
            <w:r>
              <w:rPr>
                <w:rFonts w:ascii="Arial" w:cs="Arial" w:eastAsia="Arial" w:hAnsi="Arial"/>
                <w:sz w:val="18"/>
                <w:szCs w:val="18"/>
                <w:b w:val="1"/>
                <w:bCs w:val="1"/>
                <w:color w:val="auto"/>
                <w:w w:val="97"/>
              </w:rPr>
              <w:t>Semiconductor</w:t>
            </w:r>
          </w:p>
        </w:tc>
        <w:tc>
          <w:tcPr>
            <w:tcW w:w="4940" w:type="dxa"/>
            <w:vAlign w:val="bottom"/>
          </w:tcPr>
          <w:p>
            <w:pPr>
              <w:ind w:left="40"/>
              <w:spacing w:after="0" w:line="198" w:lineRule="exact"/>
              <w:rPr>
                <w:sz w:val="20"/>
                <w:szCs w:val="20"/>
                <w:color w:val="auto"/>
              </w:rPr>
            </w:pPr>
            <w:r>
              <w:rPr>
                <w:rFonts w:ascii="Arial" w:cs="Arial" w:eastAsia="Arial" w:hAnsi="Arial"/>
                <w:sz w:val="18"/>
                <w:szCs w:val="18"/>
                <w:b w:val="1"/>
                <w:bCs w:val="1"/>
                <w:color w:val="auto"/>
              </w:rPr>
              <w:t>equipment,  mainly  including  semiconductor  cleaning</w:t>
            </w:r>
          </w:p>
        </w:tc>
        <w:tc>
          <w:tcPr>
            <w:tcW w:w="920" w:type="dxa"/>
            <w:vAlign w:val="bottom"/>
            <w:tcBorders>
              <w:right w:val="single" w:sz="8" w:color="auto"/>
            </w:tcBorders>
          </w:tcPr>
          <w:p>
            <w:pPr>
              <w:jc w:val="right"/>
              <w:spacing w:after="0" w:line="198" w:lineRule="exact"/>
              <w:rPr>
                <w:sz w:val="20"/>
                <w:szCs w:val="20"/>
                <w:color w:val="auto"/>
              </w:rPr>
            </w:pPr>
            <w:r>
              <w:rPr>
                <w:rFonts w:ascii="Arial" w:cs="Arial" w:eastAsia="Arial" w:hAnsi="Arial"/>
                <w:sz w:val="18"/>
                <w:szCs w:val="18"/>
                <w:b w:val="1"/>
                <w:bCs w:val="1"/>
                <w:color w:val="auto"/>
                <w:w w:val="91"/>
              </w:rPr>
              <w:t>equipment,</w:t>
            </w:r>
          </w:p>
        </w:tc>
        <w:tc>
          <w:tcPr>
            <w:tcW w:w="25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b w:val="1"/>
                <w:bCs w:val="1"/>
                <w:color w:val="auto"/>
                <w:w w:val="98"/>
              </w:rPr>
              <w:t>44.67%</w:t>
            </w:r>
          </w:p>
        </w:tc>
        <w:tc>
          <w:tcPr>
            <w:tcW w:w="0" w:type="dxa"/>
            <w:vAlign w:val="bottom"/>
          </w:tcPr>
          <w:p>
            <w:pPr>
              <w:spacing w:after="0"/>
              <w:rPr>
                <w:sz w:val="1"/>
                <w:szCs w:val="1"/>
                <w:color w:val="auto"/>
              </w:rPr>
            </w:pPr>
          </w:p>
        </w:tc>
      </w:tr>
      <w:tr>
        <w:trPr>
          <w:trHeight w:val="126"/>
        </w:trPr>
        <w:tc>
          <w:tcPr>
            <w:tcW w:w="1580" w:type="dxa"/>
            <w:vAlign w:val="bottom"/>
            <w:tcBorders>
              <w:left w:val="single" w:sz="8" w:color="auto"/>
              <w:right w:val="single" w:sz="8" w:color="auto"/>
            </w:tcBorders>
            <w:vMerge w:val="continue"/>
          </w:tcPr>
          <w:p>
            <w:pPr>
              <w:spacing w:after="0"/>
              <w:rPr>
                <w:sz w:val="10"/>
                <w:szCs w:val="10"/>
                <w:color w:val="auto"/>
              </w:rPr>
            </w:pPr>
          </w:p>
        </w:tc>
        <w:tc>
          <w:tcPr>
            <w:tcW w:w="7160" w:type="dxa"/>
            <w:vAlign w:val="bottom"/>
            <w:tcBorders>
              <w:right w:val="single" w:sz="8" w:color="auto"/>
            </w:tcBorders>
            <w:gridSpan w:val="3"/>
            <w:vMerge w:val="restart"/>
          </w:tcPr>
          <w:p>
            <w:pPr>
              <w:spacing w:after="0"/>
              <w:rPr>
                <w:sz w:val="20"/>
                <w:szCs w:val="20"/>
                <w:color w:val="auto"/>
              </w:rPr>
            </w:pPr>
            <w:r>
              <w:rPr>
                <w:rFonts w:ascii="Arial" w:cs="Arial" w:eastAsia="Arial" w:hAnsi="Arial"/>
                <w:sz w:val="18"/>
                <w:szCs w:val="18"/>
                <w:b w:val="1"/>
                <w:bCs w:val="1"/>
                <w:color w:val="auto"/>
                <w:w w:val="92"/>
              </w:rPr>
              <w:t>semiconductor electroplating equipment and advanced packaging wet process equipment</w:t>
            </w:r>
          </w:p>
        </w:tc>
        <w:tc>
          <w:tcPr>
            <w:tcW w:w="2500" w:type="dxa"/>
            <w:vAlign w:val="bottom"/>
            <w:tcBorders>
              <w:right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15"/>
        </w:trPr>
        <w:tc>
          <w:tcPr>
            <w:tcW w:w="1580" w:type="dxa"/>
            <w:vAlign w:val="bottom"/>
            <w:tcBorders>
              <w:left w:val="single" w:sz="8" w:color="auto"/>
              <w:bottom w:val="single" w:sz="8" w:color="auto"/>
              <w:right w:val="single" w:sz="8" w:color="auto"/>
            </w:tcBorders>
          </w:tcPr>
          <w:p>
            <w:pPr>
              <w:spacing w:after="0"/>
              <w:rPr>
                <w:sz w:val="10"/>
                <w:szCs w:val="10"/>
                <w:color w:val="auto"/>
              </w:rPr>
            </w:pPr>
          </w:p>
        </w:tc>
        <w:tc>
          <w:tcPr>
            <w:tcW w:w="7160" w:type="dxa"/>
            <w:vAlign w:val="bottom"/>
            <w:tcBorders>
              <w:bottom w:val="single" w:sz="8" w:color="auto"/>
              <w:right w:val="single" w:sz="8" w:color="auto"/>
            </w:tcBorders>
            <w:gridSpan w:val="3"/>
            <w:vMerge w:val="continue"/>
          </w:tcPr>
          <w:p>
            <w:pPr>
              <w:spacing w:after="0"/>
              <w:rPr>
                <w:sz w:val="10"/>
                <w:szCs w:val="10"/>
                <w:color w:val="auto"/>
              </w:rPr>
            </w:pPr>
          </w:p>
        </w:tc>
        <w:tc>
          <w:tcPr>
            <w:tcW w:w="2500" w:type="dxa"/>
            <w:vAlign w:val="bottom"/>
            <w:tcBorders>
              <w:bottom w:val="single" w:sz="8" w:color="auto"/>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Note: The gross profit margins of the above-mentioned products in 2019 are calculated based on data publicly disclosed by the comparable listed companies.</w:t>
      </w:r>
    </w:p>
    <w:p>
      <w:pPr>
        <w:spacing w:after="0" w:line="197"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In addition, according to the prospectus of KINGSEMI, which has a similar product structure with the Issuer, the gross profit margin of KINGSEMI’s single-wafer wet process equipment was 46.61%, 50.05% and 55.52% respectively in 2017, 2018 and the six months ended June 30, 2019, which were all higher than the gross profit margin levels of the Issuer.</w:t>
      </w:r>
    </w:p>
    <w:p>
      <w:pPr>
        <w:spacing w:after="0" w:line="211"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In sum, the gross profit margin of the Company is in the middle range among listed companies in the same industry, which is close to the average level of comparable listed companies in the same industry.</w:t>
      </w:r>
    </w:p>
    <w:p>
      <w:pPr>
        <w:spacing w:after="0" w:line="193" w:lineRule="exact"/>
        <w:rPr>
          <w:sz w:val="20"/>
          <w:szCs w:val="20"/>
          <w:color w:val="auto"/>
        </w:rPr>
      </w:pPr>
    </w:p>
    <w:p>
      <w:pPr>
        <w:ind w:left="340"/>
        <w:spacing w:after="0"/>
        <w:rPr>
          <w:sz w:val="20"/>
          <w:szCs w:val="20"/>
          <w:color w:val="auto"/>
        </w:rPr>
      </w:pPr>
      <w:r>
        <w:rPr>
          <w:rFonts w:ascii="Arial" w:cs="Arial" w:eastAsia="Arial" w:hAnsi="Arial"/>
          <w:sz w:val="16"/>
          <w:szCs w:val="16"/>
          <w:b w:val="1"/>
          <w:bCs w:val="1"/>
          <w:color w:val="auto"/>
        </w:rPr>
        <w:t>(iii) It is not appropriate to compare the composite gross profit margin of Screen Holdings (DNS) with the gross profit margin of the Issuer.</w:t>
      </w:r>
    </w:p>
    <w:p>
      <w:pPr>
        <w:spacing w:after="0" w:line="279"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Screen Holdings (DNS), founded in 1943, is a Japanese company engaged in semiconductor special equipment and LCD production equipment, with customers throughout Japan, South Korea and Taiwan. The main products of Screen Holdings (DNS) are cleaning equipment, etching equipment, gluing/developing equipment and other semiconductor equipment, among which the cleaning equipment has a high market share in the semiconductor industry, accounting for more than 40% of the global semiconductor cleaning equipment market.</w:t>
      </w:r>
    </w:p>
    <w:p>
      <w:pPr>
        <w:spacing w:after="0" w:line="38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8-4-1-18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2" w:name="page23"/>
    <w:bookmarkEnd w:id="22"/>
    <w:p>
      <w:pPr>
        <w:ind w:left="340"/>
        <w:spacing w:after="0"/>
        <w:rPr>
          <w:sz w:val="20"/>
          <w:szCs w:val="20"/>
          <w:color w:val="auto"/>
        </w:rPr>
      </w:pPr>
      <w:r>
        <w:rPr>
          <w:rFonts w:ascii="Arial" w:cs="Arial" w:eastAsia="Arial" w:hAnsi="Arial"/>
          <w:sz w:val="18"/>
          <w:szCs w:val="18"/>
          <w:color w:val="auto"/>
        </w:rPr>
        <w:t>According to the annual report of Screen Holdings (DNS) for the fiscal year of 2019, the revenues of it by product are as follows:</w:t>
      </w:r>
    </w:p>
    <w:p>
      <w:pPr>
        <w:spacing w:after="0" w:line="219" w:lineRule="exact"/>
        <w:rPr>
          <w:sz w:val="20"/>
          <w:szCs w:val="20"/>
          <w:color w:val="auto"/>
        </w:rPr>
      </w:pPr>
    </w:p>
    <w:tbl>
      <w:tblPr>
        <w:tblLayout w:type="fixed"/>
        <w:tblInd w:w="10" w:type="dxa"/>
        <w:tblCellMar>
          <w:top w:w="0" w:type="dxa"/>
          <w:left w:w="0" w:type="dxa"/>
          <w:bottom w:w="0" w:type="dxa"/>
          <w:right w:w="0" w:type="dxa"/>
        </w:tblCellMar>
      </w:tblPr>
      <w:tr>
        <w:trPr>
          <w:trHeight w:val="225"/>
        </w:trPr>
        <w:tc>
          <w:tcPr>
            <w:tcW w:w="4360" w:type="dxa"/>
            <w:vAlign w:val="bottom"/>
            <w:tcBorders>
              <w:top w:val="single" w:sz="8" w:color="auto"/>
              <w:left w:val="single" w:sz="8" w:color="auto"/>
              <w:right w:val="single" w:sz="8" w:color="auto"/>
            </w:tcBorders>
            <w:vMerge w:val="restart"/>
          </w:tcPr>
          <w:p>
            <w:pPr>
              <w:jc w:val="center"/>
              <w:spacing w:after="0"/>
              <w:rPr>
                <w:sz w:val="20"/>
                <w:szCs w:val="20"/>
                <w:color w:val="auto"/>
              </w:rPr>
            </w:pPr>
            <w:r>
              <w:rPr>
                <w:rFonts w:ascii="Arial" w:cs="Arial" w:eastAsia="Arial" w:hAnsi="Arial"/>
                <w:sz w:val="18"/>
                <w:szCs w:val="18"/>
                <w:b w:val="1"/>
                <w:bCs w:val="1"/>
                <w:color w:val="auto"/>
                <w:w w:val="90"/>
              </w:rPr>
              <w:t>Product Category</w:t>
            </w:r>
          </w:p>
        </w:tc>
        <w:tc>
          <w:tcPr>
            <w:tcW w:w="370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91"/>
              </w:rPr>
              <w:t>Revenue Amount in FY2019</w:t>
            </w:r>
          </w:p>
        </w:tc>
        <w:tc>
          <w:tcPr>
            <w:tcW w:w="3180" w:type="dxa"/>
            <w:vAlign w:val="bottom"/>
            <w:tcBorders>
              <w:top w:val="single" w:sz="8" w:color="auto"/>
              <w:right w:val="single" w:sz="8" w:color="auto"/>
            </w:tcBorders>
            <w:vMerge w:val="restart"/>
          </w:tcPr>
          <w:p>
            <w:pPr>
              <w:ind w:left="1000"/>
              <w:spacing w:after="0"/>
              <w:rPr>
                <w:sz w:val="20"/>
                <w:szCs w:val="20"/>
                <w:color w:val="auto"/>
              </w:rPr>
            </w:pPr>
            <w:r>
              <w:rPr>
                <w:rFonts w:ascii="Arial" w:cs="Arial" w:eastAsia="Arial" w:hAnsi="Arial"/>
                <w:sz w:val="18"/>
                <w:szCs w:val="18"/>
                <w:b w:val="1"/>
                <w:bCs w:val="1"/>
                <w:color w:val="auto"/>
              </w:rPr>
              <w:t>Revenue Share</w:t>
            </w:r>
          </w:p>
        </w:tc>
        <w:tc>
          <w:tcPr>
            <w:tcW w:w="0" w:type="dxa"/>
            <w:vAlign w:val="bottom"/>
          </w:tcPr>
          <w:p>
            <w:pPr>
              <w:spacing w:after="0"/>
              <w:rPr>
                <w:sz w:val="1"/>
                <w:szCs w:val="1"/>
                <w:color w:val="auto"/>
              </w:rPr>
            </w:pPr>
          </w:p>
        </w:tc>
      </w:tr>
      <w:tr>
        <w:trPr>
          <w:trHeight w:val="126"/>
        </w:trPr>
        <w:tc>
          <w:tcPr>
            <w:tcW w:w="4360" w:type="dxa"/>
            <w:vAlign w:val="bottom"/>
            <w:tcBorders>
              <w:left w:val="single" w:sz="8" w:color="auto"/>
              <w:right w:val="single" w:sz="8" w:color="auto"/>
            </w:tcBorders>
            <w:vMerge w:val="continue"/>
          </w:tcPr>
          <w:p>
            <w:pPr>
              <w:spacing w:after="0"/>
              <w:rPr>
                <w:sz w:val="10"/>
                <w:szCs w:val="10"/>
                <w:color w:val="auto"/>
              </w:rPr>
            </w:pPr>
          </w:p>
        </w:tc>
        <w:tc>
          <w:tcPr>
            <w:tcW w:w="37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b w:val="1"/>
                <w:bCs w:val="1"/>
                <w:color w:val="auto"/>
                <w:w w:val="94"/>
              </w:rPr>
              <w:t>(JPY 100 million)</w:t>
            </w:r>
          </w:p>
        </w:tc>
        <w:tc>
          <w:tcPr>
            <w:tcW w:w="3180" w:type="dxa"/>
            <w:vAlign w:val="bottom"/>
            <w:tcBorders>
              <w:right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15"/>
        </w:trPr>
        <w:tc>
          <w:tcPr>
            <w:tcW w:w="4360" w:type="dxa"/>
            <w:vAlign w:val="bottom"/>
            <w:tcBorders>
              <w:left w:val="single" w:sz="8" w:color="auto"/>
              <w:bottom w:val="single" w:sz="8" w:color="auto"/>
              <w:right w:val="single" w:sz="8" w:color="auto"/>
            </w:tcBorders>
          </w:tcPr>
          <w:p>
            <w:pPr>
              <w:spacing w:after="0"/>
              <w:rPr>
                <w:sz w:val="10"/>
                <w:szCs w:val="10"/>
                <w:color w:val="auto"/>
              </w:rPr>
            </w:pPr>
          </w:p>
        </w:tc>
        <w:tc>
          <w:tcPr>
            <w:tcW w:w="3700" w:type="dxa"/>
            <w:vAlign w:val="bottom"/>
            <w:tcBorders>
              <w:bottom w:val="single" w:sz="8" w:color="auto"/>
              <w:right w:val="single" w:sz="8" w:color="auto"/>
            </w:tcBorders>
            <w:vMerge w:val="continue"/>
          </w:tcPr>
          <w:p>
            <w:pPr>
              <w:spacing w:after="0"/>
              <w:rPr>
                <w:sz w:val="10"/>
                <w:szCs w:val="10"/>
                <w:color w:val="auto"/>
              </w:rPr>
            </w:pPr>
          </w:p>
        </w:tc>
        <w:tc>
          <w:tcPr>
            <w:tcW w:w="3180" w:type="dxa"/>
            <w:vAlign w:val="bottom"/>
            <w:tcBorders>
              <w:bottom w:val="single" w:sz="8" w:color="auto"/>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223"/>
        </w:trPr>
        <w:tc>
          <w:tcPr>
            <w:tcW w:w="436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9"/>
              </w:rPr>
              <w:t>Semiconductor equipment</w:t>
            </w:r>
          </w:p>
        </w:tc>
        <w:tc>
          <w:tcPr>
            <w:tcW w:w="37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8"/>
              </w:rPr>
              <w:t>2,525</w:t>
            </w:r>
          </w:p>
        </w:tc>
        <w:tc>
          <w:tcPr>
            <w:tcW w:w="31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3"/>
              </w:rPr>
              <w:t>69.3%</w:t>
            </w:r>
          </w:p>
        </w:tc>
        <w:tc>
          <w:tcPr>
            <w:tcW w:w="0" w:type="dxa"/>
            <w:vAlign w:val="bottom"/>
          </w:tcPr>
          <w:p>
            <w:pPr>
              <w:spacing w:after="0"/>
              <w:rPr>
                <w:sz w:val="1"/>
                <w:szCs w:val="1"/>
                <w:color w:val="auto"/>
              </w:rPr>
            </w:pPr>
          </w:p>
        </w:tc>
      </w:tr>
      <w:tr>
        <w:trPr>
          <w:trHeight w:val="223"/>
        </w:trPr>
        <w:tc>
          <w:tcPr>
            <w:tcW w:w="436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8"/>
              </w:rPr>
              <w:t>Panel equipment</w:t>
            </w:r>
          </w:p>
        </w:tc>
        <w:tc>
          <w:tcPr>
            <w:tcW w:w="37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3"/>
              </w:rPr>
              <w:t>482</w:t>
            </w:r>
          </w:p>
        </w:tc>
        <w:tc>
          <w:tcPr>
            <w:tcW w:w="31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3"/>
              </w:rPr>
              <w:t>13.2%</w:t>
            </w:r>
          </w:p>
        </w:tc>
        <w:tc>
          <w:tcPr>
            <w:tcW w:w="0" w:type="dxa"/>
            <w:vAlign w:val="bottom"/>
          </w:tcPr>
          <w:p>
            <w:pPr>
              <w:spacing w:after="0"/>
              <w:rPr>
                <w:sz w:val="1"/>
                <w:szCs w:val="1"/>
                <w:color w:val="auto"/>
              </w:rPr>
            </w:pPr>
          </w:p>
        </w:tc>
      </w:tr>
      <w:tr>
        <w:trPr>
          <w:trHeight w:val="223"/>
        </w:trPr>
        <w:tc>
          <w:tcPr>
            <w:tcW w:w="436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2"/>
              </w:rPr>
              <w:t>Display manufacturing device and film forming equipment</w:t>
            </w:r>
          </w:p>
        </w:tc>
        <w:tc>
          <w:tcPr>
            <w:tcW w:w="37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3"/>
              </w:rPr>
              <w:t>492</w:t>
            </w:r>
          </w:p>
        </w:tc>
        <w:tc>
          <w:tcPr>
            <w:tcW w:w="31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3"/>
              </w:rPr>
              <w:t>13.5%</w:t>
            </w:r>
          </w:p>
        </w:tc>
        <w:tc>
          <w:tcPr>
            <w:tcW w:w="0" w:type="dxa"/>
            <w:vAlign w:val="bottom"/>
          </w:tcPr>
          <w:p>
            <w:pPr>
              <w:spacing w:after="0"/>
              <w:rPr>
                <w:sz w:val="1"/>
                <w:szCs w:val="1"/>
                <w:color w:val="auto"/>
              </w:rPr>
            </w:pPr>
          </w:p>
        </w:tc>
      </w:tr>
      <w:tr>
        <w:trPr>
          <w:trHeight w:val="223"/>
        </w:trPr>
        <w:tc>
          <w:tcPr>
            <w:tcW w:w="436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9"/>
              </w:rPr>
              <w:t>PCB-related equipment</w:t>
            </w:r>
          </w:p>
        </w:tc>
        <w:tc>
          <w:tcPr>
            <w:tcW w:w="37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3"/>
              </w:rPr>
              <w:t>123</w:t>
            </w:r>
          </w:p>
        </w:tc>
        <w:tc>
          <w:tcPr>
            <w:tcW w:w="31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7"/>
              </w:rPr>
              <w:t>3.4%</w:t>
            </w:r>
          </w:p>
        </w:tc>
        <w:tc>
          <w:tcPr>
            <w:tcW w:w="0" w:type="dxa"/>
            <w:vAlign w:val="bottom"/>
          </w:tcPr>
          <w:p>
            <w:pPr>
              <w:spacing w:after="0"/>
              <w:rPr>
                <w:sz w:val="1"/>
                <w:szCs w:val="1"/>
                <w:color w:val="auto"/>
              </w:rPr>
            </w:pPr>
          </w:p>
        </w:tc>
      </w:tr>
      <w:tr>
        <w:trPr>
          <w:trHeight w:val="223"/>
        </w:trPr>
        <w:tc>
          <w:tcPr>
            <w:tcW w:w="436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8"/>
              </w:rPr>
              <w:t>Other</w:t>
            </w:r>
          </w:p>
        </w:tc>
        <w:tc>
          <w:tcPr>
            <w:tcW w:w="37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9"/>
              </w:rPr>
              <w:t>19</w:t>
            </w:r>
          </w:p>
        </w:tc>
        <w:tc>
          <w:tcPr>
            <w:tcW w:w="31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7"/>
              </w:rPr>
              <w:t>0.6%</w:t>
            </w:r>
          </w:p>
        </w:tc>
        <w:tc>
          <w:tcPr>
            <w:tcW w:w="0" w:type="dxa"/>
            <w:vAlign w:val="bottom"/>
          </w:tcPr>
          <w:p>
            <w:pPr>
              <w:spacing w:after="0"/>
              <w:rPr>
                <w:sz w:val="1"/>
                <w:szCs w:val="1"/>
                <w:color w:val="auto"/>
              </w:rPr>
            </w:pPr>
          </w:p>
        </w:tc>
      </w:tr>
      <w:tr>
        <w:trPr>
          <w:trHeight w:val="223"/>
        </w:trPr>
        <w:tc>
          <w:tcPr>
            <w:tcW w:w="436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92"/>
              </w:rPr>
              <w:t>Total</w:t>
            </w:r>
          </w:p>
        </w:tc>
        <w:tc>
          <w:tcPr>
            <w:tcW w:w="37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88"/>
              </w:rPr>
              <w:t>3,642</w:t>
            </w:r>
          </w:p>
        </w:tc>
        <w:tc>
          <w:tcPr>
            <w:tcW w:w="31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98"/>
              </w:rPr>
              <w:t>100.0%</w:t>
            </w: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340"/>
        <w:spacing w:after="0"/>
        <w:rPr>
          <w:sz w:val="20"/>
          <w:szCs w:val="20"/>
          <w:color w:val="auto"/>
        </w:rPr>
      </w:pPr>
      <w:r>
        <w:rPr>
          <w:rFonts w:ascii="Arial" w:cs="Arial" w:eastAsia="Arial" w:hAnsi="Arial"/>
          <w:sz w:val="16"/>
          <w:szCs w:val="16"/>
          <w:color w:val="auto"/>
        </w:rPr>
        <w:t>The composite gross profit margin of Screen Holdings (DNS) was 32.27% and 27.61% in the 2018 fiscal year and the 2019 fiscal year, respectively.</w:t>
      </w:r>
    </w:p>
    <w:p>
      <w:pPr>
        <w:spacing w:after="0" w:line="275"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According to the “New Star of International Semiconductor Cleaning Equipment - the Growth Path of ACMSH” released by BOC International, in addition to cleaning equipment, the semiconductor equipment of Screen Holdings (DNS) also includes developing equipment, degumming equipment, spinners and measuring equipment, and it was estimated that among the semiconductor equipment of Screen Holdings (DNS), cleaning equipment accounted for two-thirds of revenue and the remaining equipment accounted for one-third of revenue.</w:t>
      </w:r>
    </w:p>
    <w:p>
      <w:pPr>
        <w:spacing w:after="0" w:line="198" w:lineRule="exact"/>
        <w:rPr>
          <w:sz w:val="20"/>
          <w:szCs w:val="20"/>
          <w:color w:val="auto"/>
        </w:rPr>
      </w:pPr>
    </w:p>
    <w:p>
      <w:pPr>
        <w:jc w:val="both"/>
        <w:ind w:firstLine="648"/>
        <w:spacing w:after="0" w:line="261" w:lineRule="auto"/>
        <w:rPr>
          <w:sz w:val="20"/>
          <w:szCs w:val="20"/>
          <w:color w:val="auto"/>
        </w:rPr>
      </w:pPr>
      <w:r>
        <w:rPr>
          <w:rFonts w:ascii="Arial" w:cs="Arial" w:eastAsia="Arial" w:hAnsi="Arial"/>
          <w:sz w:val="16"/>
          <w:szCs w:val="16"/>
          <w:color w:val="auto"/>
        </w:rPr>
        <w:t>In the product composition of Screen Holdings (DNS), semiconductor equipment accounted for about 70%, while the revenue from cleaning equipment among the semiconductor equipment accounted for less than 50% of operating income, and the gross profit margin of products other than semiconductor equipment was relatively low</w:t>
      </w:r>
      <w:r>
        <w:rPr>
          <w:rFonts w:ascii="Arial" w:cs="Arial" w:eastAsia="Arial" w:hAnsi="Arial"/>
          <w:sz w:val="26"/>
          <w:szCs w:val="26"/>
          <w:color w:val="auto"/>
          <w:vertAlign w:val="superscript"/>
        </w:rPr>
        <w:t>1</w:t>
      </w:r>
      <w:r>
        <w:rPr>
          <w:rFonts w:ascii="Arial" w:cs="Arial" w:eastAsia="Arial" w:hAnsi="Arial"/>
          <w:sz w:val="16"/>
          <w:szCs w:val="16"/>
          <w:color w:val="auto"/>
        </w:rPr>
        <w:t>. The cleaning equipment of Screen Holdings (DNS) included single wafer cleaning equipment and wet bench cleaning equipment, of which the wet bench cleaning equipment generally had lower gross profit margin than that of the single wafer cleaning equipment. The cleaning equipment sold by the Issuer during the Reporting Period was principally single wafer cleaning equipment. Additionally, Screen Holdings (DNS) had relatively high labor cost given its locality in Japan, which in turn would have increased its costs and reduced its gross profit margin.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144780</wp:posOffset>
            </wp:positionV>
            <wp:extent cx="178308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783080" cy="17145"/>
                    </a:xfrm>
                    <a:prstGeom prst="rect">
                      <a:avLst/>
                    </a:prstGeom>
                    <a:noFill/>
                  </pic:spPr>
                </pic:pic>
              </a:graphicData>
            </a:graphic>
          </wp:anchor>
        </w:drawing>
      </w:r>
    </w:p>
    <w:p>
      <w:pPr>
        <w:spacing w:after="0" w:line="349" w:lineRule="exact"/>
        <w:rPr>
          <w:sz w:val="20"/>
          <w:szCs w:val="20"/>
          <w:color w:val="auto"/>
        </w:rPr>
      </w:pPr>
    </w:p>
    <w:p>
      <w:pPr>
        <w:ind w:left="120" w:hanging="112"/>
        <w:spacing w:after="0"/>
        <w:tabs>
          <w:tab w:leader="none" w:pos="120" w:val="left"/>
        </w:tabs>
        <w:numPr>
          <w:ilvl w:val="0"/>
          <w:numId w:val="11"/>
        </w:numPr>
        <w:rPr>
          <w:rFonts w:ascii="Arial" w:cs="Arial" w:eastAsia="Arial" w:hAnsi="Arial"/>
          <w:sz w:val="30"/>
          <w:szCs w:val="30"/>
          <w:color w:val="auto"/>
          <w:vertAlign w:val="superscript"/>
        </w:rPr>
      </w:pPr>
      <w:r>
        <w:rPr>
          <w:rFonts w:ascii="Arial" w:cs="Arial" w:eastAsia="Arial" w:hAnsi="Arial"/>
          <w:sz w:val="18"/>
          <w:szCs w:val="18"/>
          <w:color w:val="auto"/>
        </w:rPr>
        <w:t>Data Source: “ACM Research - Perceived inaccuracies in JCAP’s report” released by Nomura Securities</w:t>
      </w:r>
    </w:p>
    <w:p>
      <w:pPr>
        <w:spacing w:after="0" w:line="37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8-4-1-19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3" w:name="page24"/>
    <w:bookmarkEnd w:id="23"/>
    <w:p>
      <w:pPr>
        <w:jc w:val="both"/>
        <w:ind w:firstLine="648"/>
        <w:spacing w:after="0" w:line="277" w:lineRule="auto"/>
        <w:rPr>
          <w:sz w:val="20"/>
          <w:szCs w:val="20"/>
          <w:color w:val="auto"/>
        </w:rPr>
      </w:pPr>
      <w:r>
        <w:rPr>
          <w:rFonts w:ascii="Arial" w:cs="Arial" w:eastAsia="Arial" w:hAnsi="Arial"/>
          <w:sz w:val="18"/>
          <w:szCs w:val="18"/>
          <w:color w:val="auto"/>
        </w:rPr>
        <w:t>In addition, according to the annual reports published by international semiconductor equipment enterprises Lam, TEL and Applied Materials in the 2019 fiscal year, their gross profit margins were as follows:</w:t>
      </w:r>
    </w:p>
    <w:p>
      <w:pPr>
        <w:spacing w:after="0" w:line="192" w:lineRule="exact"/>
        <w:rPr>
          <w:sz w:val="20"/>
          <w:szCs w:val="20"/>
          <w:color w:val="auto"/>
        </w:rPr>
      </w:pPr>
    </w:p>
    <w:tbl>
      <w:tblPr>
        <w:tblLayout w:type="fixed"/>
        <w:tblInd w:w="10" w:type="dxa"/>
        <w:tblCellMar>
          <w:top w:w="0" w:type="dxa"/>
          <w:left w:w="0" w:type="dxa"/>
          <w:bottom w:w="0" w:type="dxa"/>
          <w:right w:w="0" w:type="dxa"/>
        </w:tblCellMar>
      </w:tblPr>
      <w:tr>
        <w:trPr>
          <w:trHeight w:val="250"/>
        </w:trPr>
        <w:tc>
          <w:tcPr>
            <w:tcW w:w="6480" w:type="dxa"/>
            <w:vAlign w:val="bottom"/>
            <w:tcBorders>
              <w:top w:val="single" w:sz="8" w:color="auto"/>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92"/>
              </w:rPr>
              <w:t>Company Name</w:t>
            </w:r>
          </w:p>
        </w:tc>
        <w:tc>
          <w:tcPr>
            <w:tcW w:w="476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93"/>
              </w:rPr>
              <w:t>Gross Profit Margin in FY2019</w:t>
            </w:r>
          </w:p>
        </w:tc>
      </w:tr>
      <w:tr>
        <w:trPr>
          <w:trHeight w:val="223"/>
        </w:trPr>
        <w:tc>
          <w:tcPr>
            <w:tcW w:w="648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6"/>
              </w:rPr>
              <w:t>Lam</w:t>
            </w:r>
          </w:p>
        </w:tc>
        <w:tc>
          <w:tcPr>
            <w:tcW w:w="47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1"/>
              </w:rPr>
              <w:t>45.15%</w:t>
            </w:r>
          </w:p>
        </w:tc>
      </w:tr>
      <w:tr>
        <w:trPr>
          <w:trHeight w:val="223"/>
        </w:trPr>
        <w:tc>
          <w:tcPr>
            <w:tcW w:w="648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TEL</w:t>
            </w:r>
          </w:p>
        </w:tc>
        <w:tc>
          <w:tcPr>
            <w:tcW w:w="47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1"/>
              </w:rPr>
              <w:t>41.16%</w:t>
            </w:r>
          </w:p>
        </w:tc>
      </w:tr>
      <w:tr>
        <w:trPr>
          <w:trHeight w:val="223"/>
        </w:trPr>
        <w:tc>
          <w:tcPr>
            <w:tcW w:w="648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4"/>
              </w:rPr>
              <w:t>Applied Materials</w:t>
            </w:r>
          </w:p>
        </w:tc>
        <w:tc>
          <w:tcPr>
            <w:tcW w:w="47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1"/>
              </w:rPr>
              <w:t>43.72%</w:t>
            </w:r>
          </w:p>
        </w:tc>
      </w:tr>
      <w:tr>
        <w:trPr>
          <w:trHeight w:val="223"/>
        </w:trPr>
        <w:tc>
          <w:tcPr>
            <w:tcW w:w="6480" w:type="dxa"/>
            <w:vAlign w:val="bottom"/>
            <w:tcBorders>
              <w:left w:val="single" w:sz="8" w:color="auto"/>
              <w:bottom w:val="single" w:sz="8" w:color="auto"/>
              <w:right w:val="single" w:sz="8" w:color="auto"/>
            </w:tcBorders>
          </w:tcPr>
          <w:p>
            <w:pPr>
              <w:ind w:left="2360"/>
              <w:spacing w:after="0"/>
              <w:rPr>
                <w:sz w:val="20"/>
                <w:szCs w:val="20"/>
                <w:color w:val="auto"/>
              </w:rPr>
            </w:pPr>
            <w:r>
              <w:rPr>
                <w:rFonts w:ascii="Arial" w:cs="Arial" w:eastAsia="Arial" w:hAnsi="Arial"/>
                <w:sz w:val="18"/>
                <w:szCs w:val="18"/>
                <w:color w:val="auto"/>
              </w:rPr>
              <w:t>Screen Holdings (DNS</w:t>
            </w:r>
          </w:p>
        </w:tc>
        <w:tc>
          <w:tcPr>
            <w:tcW w:w="47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1"/>
              </w:rPr>
              <w:t>27.61%</w:t>
            </w:r>
          </w:p>
        </w:tc>
      </w:tr>
      <w:tr>
        <w:trPr>
          <w:trHeight w:val="223"/>
        </w:trPr>
        <w:tc>
          <w:tcPr>
            <w:tcW w:w="648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86"/>
              </w:rPr>
              <w:t>Issuer</w:t>
            </w:r>
          </w:p>
        </w:tc>
        <w:tc>
          <w:tcPr>
            <w:tcW w:w="47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94"/>
              </w:rPr>
              <w:t>44.67%</w:t>
            </w:r>
          </w:p>
        </w:tc>
      </w:tr>
    </w:tbl>
    <w:p>
      <w:pPr>
        <w:spacing w:after="0" w:line="202" w:lineRule="exact"/>
        <w:rPr>
          <w:sz w:val="20"/>
          <w:szCs w:val="20"/>
          <w:color w:val="auto"/>
        </w:rPr>
      </w:pPr>
    </w:p>
    <w:p>
      <w:pPr>
        <w:jc w:val="both"/>
        <w:ind w:right="20" w:firstLine="648"/>
        <w:spacing w:after="0" w:line="259" w:lineRule="auto"/>
        <w:rPr>
          <w:sz w:val="20"/>
          <w:szCs w:val="20"/>
          <w:color w:val="auto"/>
        </w:rPr>
      </w:pPr>
      <w:r>
        <w:rPr>
          <w:rFonts w:ascii="Arial" w:cs="Arial" w:eastAsia="Arial" w:hAnsi="Arial"/>
          <w:sz w:val="18"/>
          <w:szCs w:val="18"/>
          <w:color w:val="auto"/>
        </w:rPr>
        <w:t>As shown in the table above, the gross profit margin of Screen Holdings (DNS) in the 2019 fiscal year is lower than that of other international semiconductor equipment enterprises; the difference on the gross profit margin in the 2019 fiscal year between the Issuer and the international semiconductor equipment enterprises such as Lam, TEL and Applied Materials is small, because the products of the Issuer are mainly front-end single wafer cleaning equipment with core independent intellectual property rights.</w:t>
      </w:r>
    </w:p>
    <w:p>
      <w:pPr>
        <w:spacing w:after="0" w:line="214"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In sum, the gross profit margin of the Issuer is similar to that of domestic listed companies in the same industry and international semiconductor equipment enterprises such as Lam, TEL and Applied Materials. With respect to Screen Holdings (DNS), the composite gross profit margin of all its products (including non-semiconductor special equipment) cannot accurately reflect the gross profit margin level of its cleaning equipment. Due to the influence of differences on product structure, customer composition, and labor cost in various countries or regions, among other factors, it is unreasonable for the Short-sell Report to use the composite gross profit margin of a single company i.e. Screen Holdings (DNS) for a single fiscal year to compare with the gross profit margin of the Issuer.</w:t>
      </w:r>
    </w:p>
    <w:p>
      <w:pPr>
        <w:spacing w:after="0" w:line="215" w:lineRule="exact"/>
        <w:rPr>
          <w:sz w:val="20"/>
          <w:szCs w:val="20"/>
          <w:color w:val="auto"/>
        </w:rPr>
      </w:pPr>
    </w:p>
    <w:p>
      <w:pPr>
        <w:ind w:left="560" w:hanging="228"/>
        <w:spacing w:after="0"/>
        <w:tabs>
          <w:tab w:leader="none" w:pos="560" w:val="left"/>
        </w:tabs>
        <w:numPr>
          <w:ilvl w:val="0"/>
          <w:numId w:val="12"/>
        </w:numPr>
        <w:rPr>
          <w:rFonts w:ascii="Arial" w:cs="Arial" w:eastAsia="Arial" w:hAnsi="Arial"/>
          <w:sz w:val="18"/>
          <w:szCs w:val="18"/>
          <w:b w:val="1"/>
          <w:bCs w:val="1"/>
          <w:color w:val="auto"/>
        </w:rPr>
      </w:pPr>
      <w:r>
        <w:rPr>
          <w:rFonts w:ascii="Arial" w:cs="Arial" w:eastAsia="Arial" w:hAnsi="Arial"/>
          <w:sz w:val="18"/>
          <w:szCs w:val="18"/>
          <w:b w:val="1"/>
          <w:bCs w:val="1"/>
          <w:color w:val="auto"/>
        </w:rPr>
        <w:t>Verification Procedures and Opinions</w:t>
      </w:r>
    </w:p>
    <w:p>
      <w:pPr>
        <w:spacing w:after="0" w:line="252" w:lineRule="exact"/>
        <w:rPr>
          <w:rFonts w:ascii="Arial" w:cs="Arial" w:eastAsia="Arial" w:hAnsi="Arial"/>
          <w:sz w:val="18"/>
          <w:szCs w:val="18"/>
          <w:b w:val="1"/>
          <w:bCs w:val="1"/>
          <w:color w:val="auto"/>
        </w:rPr>
      </w:pPr>
    </w:p>
    <w:p>
      <w:pPr>
        <w:ind w:left="340"/>
        <w:spacing w:after="0"/>
        <w:rPr>
          <w:rFonts w:ascii="Arial" w:cs="Arial" w:eastAsia="Arial" w:hAnsi="Arial"/>
          <w:sz w:val="18"/>
          <w:szCs w:val="18"/>
          <w:b w:val="1"/>
          <w:bCs w:val="1"/>
          <w:color w:val="auto"/>
        </w:rPr>
      </w:pPr>
      <w:r>
        <w:rPr>
          <w:rFonts w:ascii="Arial" w:cs="Arial" w:eastAsia="Arial" w:hAnsi="Arial"/>
          <w:sz w:val="18"/>
          <w:szCs w:val="18"/>
          <w:b w:val="1"/>
          <w:bCs w:val="1"/>
          <w:color w:val="auto"/>
        </w:rPr>
        <w:t>(i) Verification Procedures</w:t>
      </w:r>
    </w:p>
    <w:p>
      <w:pPr>
        <w:spacing w:after="0" w:line="256" w:lineRule="exact"/>
        <w:rPr>
          <w:sz w:val="20"/>
          <w:szCs w:val="20"/>
          <w:color w:val="auto"/>
        </w:rPr>
      </w:pPr>
    </w:p>
    <w:p>
      <w:pPr>
        <w:ind w:left="340"/>
        <w:spacing w:after="0"/>
        <w:rPr>
          <w:sz w:val="20"/>
          <w:szCs w:val="20"/>
          <w:color w:val="auto"/>
        </w:rPr>
      </w:pPr>
      <w:r>
        <w:rPr>
          <w:rFonts w:ascii="Arial" w:cs="Arial" w:eastAsia="Arial" w:hAnsi="Arial"/>
          <w:sz w:val="18"/>
          <w:szCs w:val="18"/>
          <w:color w:val="auto"/>
        </w:rPr>
        <w:t>Before the release of the Short-sell Report, the Sponsor performed the following verification procedures:</w:t>
      </w:r>
    </w:p>
    <w:p>
      <w:pPr>
        <w:spacing w:after="0" w:line="252" w:lineRule="exact"/>
        <w:rPr>
          <w:sz w:val="20"/>
          <w:szCs w:val="20"/>
          <w:color w:val="auto"/>
        </w:rPr>
      </w:pPr>
    </w:p>
    <w:p>
      <w:pPr>
        <w:ind w:firstLine="332"/>
        <w:spacing w:after="0" w:line="277" w:lineRule="auto"/>
        <w:tabs>
          <w:tab w:leader="none" w:pos="512" w:val="left"/>
        </w:tabs>
        <w:numPr>
          <w:ilvl w:val="0"/>
          <w:numId w:val="13"/>
        </w:numPr>
        <w:rPr>
          <w:rFonts w:ascii="Arial" w:cs="Arial" w:eastAsia="Arial" w:hAnsi="Arial"/>
          <w:sz w:val="18"/>
          <w:szCs w:val="18"/>
          <w:color w:val="auto"/>
        </w:rPr>
      </w:pPr>
      <w:r>
        <w:rPr>
          <w:rFonts w:ascii="Arial" w:cs="Arial" w:eastAsia="Arial" w:hAnsi="Arial"/>
          <w:sz w:val="18"/>
          <w:szCs w:val="18"/>
          <w:color w:val="auto"/>
        </w:rPr>
        <w:t>Reviewing the audit reports of the Issuer and interviewing the general manager of the Issuer to understand the gross profit margins of its products, and analyzing the reasons for the changes in gross profit margins of the products;</w:t>
      </w:r>
    </w:p>
    <w:p>
      <w:pPr>
        <w:spacing w:after="0" w:line="197" w:lineRule="exact"/>
        <w:rPr>
          <w:rFonts w:ascii="Arial" w:cs="Arial" w:eastAsia="Arial" w:hAnsi="Arial"/>
          <w:sz w:val="18"/>
          <w:szCs w:val="18"/>
          <w:color w:val="auto"/>
        </w:rPr>
      </w:pPr>
    </w:p>
    <w:p>
      <w:pPr>
        <w:ind w:firstLine="332"/>
        <w:spacing w:after="0" w:line="277" w:lineRule="auto"/>
        <w:tabs>
          <w:tab w:leader="none" w:pos="536" w:val="left"/>
        </w:tabs>
        <w:numPr>
          <w:ilvl w:val="0"/>
          <w:numId w:val="13"/>
        </w:numPr>
        <w:rPr>
          <w:rFonts w:ascii="Arial" w:cs="Arial" w:eastAsia="Arial" w:hAnsi="Arial"/>
          <w:sz w:val="18"/>
          <w:szCs w:val="18"/>
          <w:color w:val="auto"/>
        </w:rPr>
      </w:pPr>
      <w:r>
        <w:rPr>
          <w:rFonts w:ascii="Arial" w:cs="Arial" w:eastAsia="Arial" w:hAnsi="Arial"/>
          <w:sz w:val="18"/>
          <w:szCs w:val="18"/>
          <w:color w:val="auto"/>
        </w:rPr>
        <w:t>Reviewing the public disclosure documents of major companies in the semiconductor special equipment industry to understand their product structures and gross profit margins;</w:t>
      </w:r>
    </w:p>
    <w:p>
      <w:pPr>
        <w:spacing w:after="0" w:line="197" w:lineRule="exact"/>
        <w:rPr>
          <w:rFonts w:ascii="Arial" w:cs="Arial" w:eastAsia="Arial" w:hAnsi="Arial"/>
          <w:sz w:val="18"/>
          <w:szCs w:val="18"/>
          <w:color w:val="auto"/>
        </w:rPr>
      </w:pPr>
    </w:p>
    <w:p>
      <w:pPr>
        <w:ind w:left="520" w:hanging="188"/>
        <w:spacing w:after="0"/>
        <w:tabs>
          <w:tab w:leader="none" w:pos="5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Reviewing research reports of the semiconductor special equipment industry to understand the competition pattern in the industry.</w:t>
      </w: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8-4-1-20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4" w:name="page25"/>
    <w:bookmarkEnd w:id="24"/>
    <w:p>
      <w:pPr>
        <w:ind w:left="660"/>
        <w:spacing w:after="0"/>
        <w:rPr>
          <w:sz w:val="20"/>
          <w:szCs w:val="20"/>
          <w:color w:val="auto"/>
        </w:rPr>
      </w:pPr>
      <w:r>
        <w:rPr>
          <w:rFonts w:ascii="Arial" w:cs="Arial" w:eastAsia="Arial" w:hAnsi="Arial"/>
          <w:sz w:val="16"/>
          <w:szCs w:val="16"/>
          <w:color w:val="auto"/>
        </w:rPr>
        <w:t>After the release of the Short-sell Report, the Sponsor performed the following additional procedures with respect to the comparison between the</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Company’s composite gross profit margins in 2019 and the gross profit margins of other listed companies in the semiconductor special equipment industry:</w:t>
      </w:r>
    </w:p>
    <w:p>
      <w:pPr>
        <w:spacing w:after="0" w:line="261" w:lineRule="exact"/>
        <w:rPr>
          <w:sz w:val="20"/>
          <w:szCs w:val="20"/>
          <w:color w:val="auto"/>
        </w:rPr>
      </w:pPr>
    </w:p>
    <w:p>
      <w:pPr>
        <w:ind w:firstLine="332"/>
        <w:spacing w:after="0" w:line="277" w:lineRule="auto"/>
        <w:tabs>
          <w:tab w:leader="none" w:pos="516" w:val="left"/>
        </w:tabs>
        <w:numPr>
          <w:ilvl w:val="0"/>
          <w:numId w:val="14"/>
        </w:numPr>
        <w:rPr>
          <w:rFonts w:ascii="Arial" w:cs="Arial" w:eastAsia="Arial" w:hAnsi="Arial"/>
          <w:sz w:val="18"/>
          <w:szCs w:val="18"/>
          <w:color w:val="auto"/>
        </w:rPr>
      </w:pPr>
      <w:r>
        <w:rPr>
          <w:rFonts w:ascii="Arial" w:cs="Arial" w:eastAsia="Arial" w:hAnsi="Arial"/>
          <w:sz w:val="18"/>
          <w:szCs w:val="18"/>
          <w:color w:val="auto"/>
        </w:rPr>
        <w:t>Having access to the official website of Screen Holdings (DNS) and further reviewing its reports of the 2019 fiscal year to understand its product composition and the gross profit margins;</w:t>
      </w:r>
    </w:p>
    <w:p>
      <w:pPr>
        <w:spacing w:after="0" w:line="197" w:lineRule="exact"/>
        <w:rPr>
          <w:rFonts w:ascii="Arial" w:cs="Arial" w:eastAsia="Arial" w:hAnsi="Arial"/>
          <w:sz w:val="18"/>
          <w:szCs w:val="18"/>
          <w:color w:val="auto"/>
        </w:rPr>
      </w:pPr>
    </w:p>
    <w:p>
      <w:pPr>
        <w:ind w:right="20" w:firstLine="332"/>
        <w:spacing w:after="0" w:line="277" w:lineRule="auto"/>
        <w:tabs>
          <w:tab w:leader="none" w:pos="505" w:val="left"/>
        </w:tabs>
        <w:numPr>
          <w:ilvl w:val="0"/>
          <w:numId w:val="14"/>
        </w:numPr>
        <w:rPr>
          <w:rFonts w:ascii="Arial" w:cs="Arial" w:eastAsia="Arial" w:hAnsi="Arial"/>
          <w:sz w:val="18"/>
          <w:szCs w:val="18"/>
          <w:color w:val="auto"/>
        </w:rPr>
      </w:pPr>
      <w:r>
        <w:rPr>
          <w:rFonts w:ascii="Arial" w:cs="Arial" w:eastAsia="Arial" w:hAnsi="Arial"/>
          <w:sz w:val="18"/>
          <w:szCs w:val="18"/>
          <w:color w:val="auto"/>
        </w:rPr>
        <w:t>Further reviewing the New Star of International Semiconductor Cleaning Equipment - the Growth Path of ACMSH published by BOC International, and the ACM Research - Perceived inaccuracies in JCAP’s report issued by Nomura Securities;</w:t>
      </w:r>
    </w:p>
    <w:p>
      <w:pPr>
        <w:spacing w:after="0" w:line="197" w:lineRule="exact"/>
        <w:rPr>
          <w:rFonts w:ascii="Arial" w:cs="Arial" w:eastAsia="Arial" w:hAnsi="Arial"/>
          <w:sz w:val="18"/>
          <w:szCs w:val="18"/>
          <w:color w:val="auto"/>
        </w:rPr>
      </w:pPr>
    </w:p>
    <w:p>
      <w:pPr>
        <w:ind w:left="520" w:hanging="188"/>
        <w:spacing w:after="0"/>
        <w:tabs>
          <w:tab w:leader="none" w:pos="5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Reexamining the calculation process concerning gross profit margins of companies in the semiconductor special equipment industry.</w:t>
      </w:r>
    </w:p>
    <w:p>
      <w:pPr>
        <w:spacing w:after="0" w:line="248"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(ii) Verification Opinions</w:t>
      </w:r>
    </w:p>
    <w:p>
      <w:pPr>
        <w:spacing w:after="0" w:line="256" w:lineRule="exact"/>
        <w:rPr>
          <w:sz w:val="20"/>
          <w:szCs w:val="20"/>
          <w:color w:val="auto"/>
        </w:rPr>
      </w:pPr>
    </w:p>
    <w:p>
      <w:pPr>
        <w:ind w:left="340"/>
        <w:spacing w:after="0"/>
        <w:rPr>
          <w:sz w:val="20"/>
          <w:szCs w:val="20"/>
          <w:color w:val="auto"/>
        </w:rPr>
      </w:pPr>
      <w:r>
        <w:rPr>
          <w:rFonts w:ascii="Arial" w:cs="Arial" w:eastAsia="Arial" w:hAnsi="Arial"/>
          <w:sz w:val="18"/>
          <w:szCs w:val="18"/>
          <w:color w:val="auto"/>
        </w:rPr>
        <w:t>Upon verification, the Sponsor opines that:</w:t>
      </w:r>
    </w:p>
    <w:p>
      <w:pPr>
        <w:spacing w:after="0" w:line="252" w:lineRule="exact"/>
        <w:rPr>
          <w:sz w:val="20"/>
          <w:szCs w:val="20"/>
          <w:color w:val="auto"/>
        </w:rPr>
      </w:pPr>
    </w:p>
    <w:p>
      <w:pPr>
        <w:ind w:firstLine="332"/>
        <w:spacing w:after="0" w:line="277" w:lineRule="auto"/>
        <w:tabs>
          <w:tab w:leader="none" w:pos="511"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gross profit margin of the Issuer is similar to that of domestic listed companies such as NAURA, AMEC, KINGSEMI, HZCCTECH and PNC System in the same industry and international semiconductor equipment enterprises such as Lam, TEL and Applied Materials;</w:t>
      </w:r>
    </w:p>
    <w:p>
      <w:pPr>
        <w:spacing w:after="0" w:line="197" w:lineRule="exact"/>
        <w:rPr>
          <w:rFonts w:ascii="Arial" w:cs="Arial" w:eastAsia="Arial" w:hAnsi="Arial"/>
          <w:sz w:val="18"/>
          <w:szCs w:val="18"/>
          <w:color w:val="auto"/>
        </w:rPr>
      </w:pPr>
    </w:p>
    <w:p>
      <w:pPr>
        <w:ind w:right="20" w:firstLine="332"/>
        <w:spacing w:after="0" w:line="277" w:lineRule="auto"/>
        <w:tabs>
          <w:tab w:leader="none" w:pos="522"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composite gross profit margin concerning all products of Screen Holdings (DNS) for a single fiscal year cannot accurately reflect the gross profit margin level of its cleaning equipment;</w:t>
      </w:r>
    </w:p>
    <w:p>
      <w:pPr>
        <w:spacing w:after="0" w:line="197" w:lineRule="exact"/>
        <w:rPr>
          <w:rFonts w:ascii="Arial" w:cs="Arial" w:eastAsia="Arial" w:hAnsi="Arial"/>
          <w:sz w:val="18"/>
          <w:szCs w:val="18"/>
          <w:color w:val="auto"/>
        </w:rPr>
      </w:pPr>
    </w:p>
    <w:p>
      <w:pPr>
        <w:jc w:val="both"/>
        <w:ind w:firstLine="332"/>
        <w:spacing w:after="0" w:line="263" w:lineRule="auto"/>
        <w:tabs>
          <w:tab w:leader="none" w:pos="505" w:val="left"/>
        </w:tabs>
        <w:numPr>
          <w:ilvl w:val="0"/>
          <w:numId w:val="15"/>
        </w:numPr>
        <w:rPr>
          <w:rFonts w:ascii="Arial" w:cs="Arial" w:eastAsia="Arial" w:hAnsi="Arial"/>
          <w:sz w:val="18"/>
          <w:szCs w:val="18"/>
          <w:color w:val="auto"/>
        </w:rPr>
      </w:pPr>
      <w:r>
        <w:rPr>
          <w:rFonts w:ascii="Arial" w:cs="Arial" w:eastAsia="Arial" w:hAnsi="Arial"/>
          <w:sz w:val="18"/>
          <w:szCs w:val="18"/>
          <w:color w:val="auto"/>
        </w:rPr>
        <w:t>Given the influence of differences on product structure, customer composition, and labor cost of various countries or regions, among other factors, it is unreasonable for the Short-sell Report to use the composite gross profit margin of Screen Holdings (DNS) for a single fiscal year alone to compare with the gross profit margin of the Issuer.</w:t>
      </w:r>
    </w:p>
    <w:p>
      <w:pPr>
        <w:spacing w:after="0" w:line="207" w:lineRule="exact"/>
        <w:rPr>
          <w:sz w:val="20"/>
          <w:szCs w:val="20"/>
          <w:color w:val="auto"/>
        </w:rPr>
      </w:pPr>
    </w:p>
    <w:p>
      <w:pPr>
        <w:ind w:left="340" w:right="3220" w:hanging="8"/>
        <w:spacing w:after="0" w:line="534" w:lineRule="auto"/>
        <w:tabs>
          <w:tab w:leader="none" w:pos="520" w:val="left"/>
        </w:tabs>
        <w:numPr>
          <w:ilvl w:val="0"/>
          <w:numId w:val="16"/>
        </w:numPr>
        <w:rPr>
          <w:rFonts w:ascii="Arial" w:cs="Arial" w:eastAsia="Arial" w:hAnsi="Arial"/>
          <w:sz w:val="18"/>
          <w:szCs w:val="18"/>
          <w:b w:val="1"/>
          <w:bCs w:val="1"/>
          <w:color w:val="auto"/>
        </w:rPr>
      </w:pPr>
      <w:r>
        <w:rPr>
          <w:rFonts w:ascii="Arial" w:cs="Arial" w:eastAsia="Arial" w:hAnsi="Arial"/>
          <w:sz w:val="18"/>
          <w:szCs w:val="18"/>
          <w:b w:val="1"/>
          <w:bCs w:val="1"/>
          <w:color w:val="auto"/>
        </w:rPr>
        <w:t>Core Challenge 3: About Agent (Index of Verification in Response to the Short-sell Report, No.12) Challenge in the Short-sell Report (Short-sell Report, pp.15-17):</w:t>
      </w:r>
    </w:p>
    <w:p>
      <w:pPr>
        <w:spacing w:after="0" w:line="1"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“Agent. We went back to procurement managers at the largest customers, and three agreed to detailed interviews. None of the three had heard of the agents that ACMR reported were responsible for their sales. The customers we spoke with are some of the largest and together represent the majority of disclosed sales.”</w:t>
      </w:r>
    </w:p>
    <w:p>
      <w:pPr>
        <w:spacing w:after="0" w:line="207"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Response:</w:t>
      </w:r>
    </w:p>
    <w:p>
      <w:pPr>
        <w:spacing w:after="0" w:line="252"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I. Clarification by the Issuer</w:t>
      </w:r>
    </w:p>
    <w:p>
      <w:pPr>
        <w:spacing w:after="0" w:line="256"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The Company’s agents play an important role in building business relations with customers. The Company has made disclosure and clarification in “Section VI.I.(II) Main Operation Model” in the Prospectus, “Q4” in the Reply to the Listing Committee’s Inquiries and “Q14.1” in the Reply to the Letter of First Round Review-related Inquiries, as detailed below:</w:t>
      </w: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8-4-1-21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5" w:name="page26"/>
    <w:bookmarkEnd w:id="25"/>
    <w:p>
      <w:pPr>
        <w:jc w:val="both"/>
        <w:ind w:firstLine="648"/>
        <w:spacing w:after="0" w:line="273" w:lineRule="auto"/>
        <w:rPr>
          <w:sz w:val="20"/>
          <w:szCs w:val="20"/>
          <w:color w:val="auto"/>
        </w:rPr>
      </w:pPr>
      <w:r>
        <w:rPr>
          <w:rFonts w:ascii="Arial" w:cs="Arial" w:eastAsia="Arial" w:hAnsi="Arial"/>
          <w:sz w:val="17"/>
          <w:szCs w:val="17"/>
          <w:color w:val="auto"/>
        </w:rPr>
        <w:t>“The sales cycle of semiconductor special equipment industry is long and there is a lot of uncertainty. In the early stage of the development, the Company’s business scale is too small to cover many potential customers. The Company mainly develops the market through agents. With the continuous expansion of the Company’s business scale, the Company also begins to expand its sales team. In case of agent promotion, the Company signs a product sales agency agreement with the agent, under which the agent shall be responsible for the marketing of related products in a specific region, while the Company will directly sign sales contracts with relevant customers, directly send the products to the customers and pay the commission charges to the agent corresponding to the types of the products sold at such a rate as agreed in advance.”</w:t>
      </w:r>
    </w:p>
    <w:p>
      <w:pPr>
        <w:spacing w:after="0" w:line="20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During the reporting period, the Company’s sales revenue realized with the assistance of agents was as follows:</w:t>
      </w:r>
    </w:p>
    <w:p>
      <w:pPr>
        <w:spacing w:after="0" w:line="2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Unit: RMB10,000</w:t>
      </w:r>
    </w:p>
    <w:p>
      <w:pPr>
        <w:spacing w:after="0" w:line="9" w:lineRule="exact"/>
        <w:rPr>
          <w:sz w:val="20"/>
          <w:szCs w:val="20"/>
          <w:color w:val="auto"/>
        </w:rPr>
      </w:pPr>
    </w:p>
    <w:tbl>
      <w:tblPr>
        <w:tblLayout w:type="fixed"/>
        <w:tblInd w:w="10" w:type="dxa"/>
        <w:tblCellMar>
          <w:top w:w="0" w:type="dxa"/>
          <w:left w:w="0" w:type="dxa"/>
          <w:bottom w:w="0" w:type="dxa"/>
          <w:right w:w="0" w:type="dxa"/>
        </w:tblCellMar>
      </w:tblPr>
      <w:tr>
        <w:trPr>
          <w:trHeight w:val="230"/>
        </w:trPr>
        <w:tc>
          <w:tcPr>
            <w:tcW w:w="3500" w:type="dxa"/>
            <w:vAlign w:val="bottom"/>
            <w:tcBorders>
              <w:top w:val="single" w:sz="8" w:color="auto"/>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b w:val="1"/>
                <w:bCs w:val="1"/>
                <w:color w:val="auto"/>
              </w:rPr>
              <w:t>Item</w:t>
            </w:r>
          </w:p>
        </w:tc>
        <w:tc>
          <w:tcPr>
            <w:tcW w:w="2560" w:type="dxa"/>
            <w:vAlign w:val="bottom"/>
            <w:tcBorders>
              <w:top w:val="single" w:sz="8" w:color="auto"/>
              <w:bottom w:val="single" w:sz="8" w:color="auto"/>
              <w:right w:val="single" w:sz="8" w:color="auto"/>
            </w:tcBorders>
          </w:tcPr>
          <w:p>
            <w:pPr>
              <w:spacing w:after="0"/>
              <w:rPr>
                <w:sz w:val="20"/>
                <w:szCs w:val="20"/>
                <w:color w:val="auto"/>
              </w:rPr>
            </w:pPr>
            <w:r>
              <w:rPr>
                <w:rFonts w:ascii="Arial" w:cs="Arial" w:eastAsia="Arial" w:hAnsi="Arial"/>
                <w:sz w:val="18"/>
                <w:szCs w:val="18"/>
                <w:b w:val="1"/>
                <w:bCs w:val="1"/>
                <w:color w:val="auto"/>
              </w:rPr>
              <w:t>January to June 2020</w:t>
            </w:r>
          </w:p>
        </w:tc>
        <w:tc>
          <w:tcPr>
            <w:tcW w:w="1340" w:type="dxa"/>
            <w:vAlign w:val="bottom"/>
            <w:tcBorders>
              <w:top w:val="single" w:sz="8" w:color="auto"/>
              <w:bottom w:val="single" w:sz="8" w:color="auto"/>
              <w:right w:val="single" w:sz="8" w:color="auto"/>
            </w:tcBorders>
          </w:tcPr>
          <w:p>
            <w:pPr>
              <w:spacing w:after="0"/>
              <w:rPr>
                <w:sz w:val="20"/>
                <w:szCs w:val="20"/>
                <w:color w:val="auto"/>
              </w:rPr>
            </w:pPr>
            <w:r>
              <w:rPr>
                <w:rFonts w:ascii="Arial" w:cs="Arial" w:eastAsia="Arial" w:hAnsi="Arial"/>
                <w:sz w:val="18"/>
                <w:szCs w:val="18"/>
                <w:b w:val="1"/>
                <w:bCs w:val="1"/>
                <w:color w:val="auto"/>
              </w:rPr>
              <w:t>2019</w:t>
            </w:r>
          </w:p>
        </w:tc>
        <w:tc>
          <w:tcPr>
            <w:tcW w:w="1320" w:type="dxa"/>
            <w:vAlign w:val="bottom"/>
            <w:tcBorders>
              <w:top w:val="single" w:sz="8" w:color="auto"/>
              <w:bottom w:val="single" w:sz="8" w:color="auto"/>
              <w:right w:val="single" w:sz="8" w:color="auto"/>
            </w:tcBorders>
          </w:tcPr>
          <w:p>
            <w:pPr>
              <w:spacing w:after="0"/>
              <w:rPr>
                <w:sz w:val="20"/>
                <w:szCs w:val="20"/>
                <w:color w:val="auto"/>
              </w:rPr>
            </w:pPr>
            <w:r>
              <w:rPr>
                <w:rFonts w:ascii="Arial" w:cs="Arial" w:eastAsia="Arial" w:hAnsi="Arial"/>
                <w:sz w:val="18"/>
                <w:szCs w:val="18"/>
                <w:b w:val="1"/>
                <w:bCs w:val="1"/>
                <w:color w:val="auto"/>
              </w:rPr>
              <w:t>2018</w:t>
            </w:r>
          </w:p>
        </w:tc>
        <w:tc>
          <w:tcPr>
            <w:tcW w:w="1380" w:type="dxa"/>
            <w:vAlign w:val="bottom"/>
            <w:tcBorders>
              <w:top w:val="single" w:sz="8" w:color="auto"/>
              <w:bottom w:val="single" w:sz="8" w:color="auto"/>
              <w:right w:val="single" w:sz="8" w:color="auto"/>
            </w:tcBorders>
          </w:tcPr>
          <w:p>
            <w:pPr>
              <w:spacing w:after="0"/>
              <w:rPr>
                <w:sz w:val="20"/>
                <w:szCs w:val="20"/>
                <w:color w:val="auto"/>
              </w:rPr>
            </w:pPr>
            <w:r>
              <w:rPr>
                <w:rFonts w:ascii="Arial" w:cs="Arial" w:eastAsia="Arial" w:hAnsi="Arial"/>
                <w:sz w:val="18"/>
                <w:szCs w:val="18"/>
                <w:b w:val="1"/>
                <w:bCs w:val="1"/>
                <w:color w:val="auto"/>
              </w:rPr>
              <w:t>2017</w:t>
            </w:r>
          </w:p>
        </w:tc>
      </w:tr>
      <w:tr>
        <w:trPr>
          <w:trHeight w:val="223"/>
        </w:trPr>
        <w:tc>
          <w:tcPr>
            <w:tcW w:w="350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Sales revenue realized through agents</w:t>
            </w:r>
          </w:p>
        </w:tc>
        <w:tc>
          <w:tcPr>
            <w:tcW w:w="256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b w:val="1"/>
                <w:bCs w:val="1"/>
                <w:color w:val="auto"/>
              </w:rPr>
              <w:t>31,995.15</w:t>
            </w:r>
          </w:p>
        </w:tc>
        <w:tc>
          <w:tcPr>
            <w:tcW w:w="134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69,002.21</w:t>
            </w:r>
          </w:p>
        </w:tc>
        <w:tc>
          <w:tcPr>
            <w:tcW w:w="132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50,364.93</w:t>
            </w:r>
          </w:p>
        </w:tc>
        <w:tc>
          <w:tcPr>
            <w:tcW w:w="138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24,088.24</w:t>
            </w:r>
          </w:p>
        </w:tc>
      </w:tr>
      <w:tr>
        <w:trPr>
          <w:trHeight w:val="223"/>
        </w:trPr>
        <w:tc>
          <w:tcPr>
            <w:tcW w:w="350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Operating income</w:t>
            </w:r>
          </w:p>
        </w:tc>
        <w:tc>
          <w:tcPr>
            <w:tcW w:w="256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b w:val="1"/>
                <w:bCs w:val="1"/>
                <w:color w:val="auto"/>
              </w:rPr>
              <w:t>35,555.41</w:t>
            </w:r>
          </w:p>
        </w:tc>
        <w:tc>
          <w:tcPr>
            <w:tcW w:w="134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75,673.30</w:t>
            </w:r>
          </w:p>
        </w:tc>
        <w:tc>
          <w:tcPr>
            <w:tcW w:w="132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55,026.91</w:t>
            </w:r>
          </w:p>
        </w:tc>
        <w:tc>
          <w:tcPr>
            <w:tcW w:w="138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25,358.73</w:t>
            </w:r>
          </w:p>
        </w:tc>
      </w:tr>
      <w:tr>
        <w:trPr>
          <w:trHeight w:val="223"/>
        </w:trPr>
        <w:tc>
          <w:tcPr>
            <w:tcW w:w="350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Proportion</w:t>
            </w:r>
          </w:p>
        </w:tc>
        <w:tc>
          <w:tcPr>
            <w:tcW w:w="256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b w:val="1"/>
                <w:bCs w:val="1"/>
                <w:color w:val="auto"/>
              </w:rPr>
              <w:t>89.99%</w:t>
            </w:r>
          </w:p>
        </w:tc>
        <w:tc>
          <w:tcPr>
            <w:tcW w:w="134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91.18%</w:t>
            </w:r>
          </w:p>
        </w:tc>
        <w:tc>
          <w:tcPr>
            <w:tcW w:w="132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91.53%</w:t>
            </w:r>
          </w:p>
        </w:tc>
        <w:tc>
          <w:tcPr>
            <w:tcW w:w="138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94.99%</w:t>
            </w:r>
          </w:p>
        </w:tc>
      </w:tr>
    </w:tbl>
    <w:p>
      <w:pPr>
        <w:spacing w:after="0" w:line="202"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During the Reporting Period, the amounts of the Company’s sales revenue realized with the assistance of agents were RMB240.8824 million, RMB503.6493 million, RMB690.0221 million and RMB319.9515 million, respectively, accounting for 94.99%, 91.53%, 91.18% and 89.99% of the current operating income respectively.</w:t>
      </w:r>
    </w:p>
    <w:p>
      <w:pPr>
        <w:spacing w:after="0" w:line="21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During the Reporting Period, the Company had five sales agents and their commission rates were as follows:</w:t>
      </w:r>
    </w:p>
    <w:p>
      <w:pPr>
        <w:spacing w:after="0" w:line="246" w:lineRule="exact"/>
        <w:rPr>
          <w:sz w:val="20"/>
          <w:szCs w:val="20"/>
          <w:color w:val="auto"/>
        </w:rPr>
      </w:pPr>
    </w:p>
    <w:tbl>
      <w:tblPr>
        <w:tblLayout w:type="fixed"/>
        <w:tblInd w:w="590" w:type="dxa"/>
        <w:tblCellMar>
          <w:top w:w="0" w:type="dxa"/>
          <w:left w:w="0" w:type="dxa"/>
          <w:bottom w:w="0" w:type="dxa"/>
          <w:right w:w="0" w:type="dxa"/>
        </w:tblCellMar>
      </w:tblPr>
      <w:tr>
        <w:trPr>
          <w:trHeight w:val="250"/>
        </w:trPr>
        <w:tc>
          <w:tcPr>
            <w:tcW w:w="6740" w:type="dxa"/>
            <w:vAlign w:val="bottom"/>
            <w:tcBorders>
              <w:top w:val="single" w:sz="8" w:color="auto"/>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3"/>
              </w:rPr>
              <w:t>Agent</w:t>
            </w:r>
          </w:p>
        </w:tc>
        <w:tc>
          <w:tcPr>
            <w:tcW w:w="3360" w:type="dxa"/>
            <w:vAlign w:val="bottom"/>
            <w:tcBorders>
              <w:top w:val="single" w:sz="8" w:color="auto"/>
              <w:bottom w:val="single" w:sz="8" w:color="auto"/>
              <w:right w:val="single" w:sz="8" w:color="auto"/>
            </w:tcBorders>
          </w:tcPr>
          <w:p>
            <w:pPr>
              <w:ind w:left="1040"/>
              <w:spacing w:after="0"/>
              <w:rPr>
                <w:sz w:val="20"/>
                <w:szCs w:val="20"/>
                <w:color w:val="auto"/>
              </w:rPr>
            </w:pPr>
            <w:r>
              <w:rPr>
                <w:rFonts w:ascii="Arial" w:cs="Arial" w:eastAsia="Arial" w:hAnsi="Arial"/>
                <w:sz w:val="18"/>
                <w:szCs w:val="18"/>
                <w:color w:val="auto"/>
              </w:rPr>
              <w:t>Commission rate</w:t>
            </w:r>
          </w:p>
        </w:tc>
      </w:tr>
      <w:tr>
        <w:trPr>
          <w:trHeight w:val="223"/>
        </w:trPr>
        <w:tc>
          <w:tcPr>
            <w:tcW w:w="674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2"/>
              </w:rPr>
              <w:t>TJM Partners Ltd.</w:t>
            </w:r>
          </w:p>
        </w:tc>
        <w:tc>
          <w:tcPr>
            <w:tcW w:w="33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0"/>
              </w:rPr>
              <w:t>3%, 5%</w:t>
            </w:r>
          </w:p>
        </w:tc>
      </w:tr>
      <w:tr>
        <w:trPr>
          <w:trHeight w:val="223"/>
        </w:trPr>
        <w:tc>
          <w:tcPr>
            <w:tcW w:w="674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3"/>
              </w:rPr>
              <w:t>Lida Technology Co., Limited</w:t>
            </w:r>
          </w:p>
        </w:tc>
        <w:tc>
          <w:tcPr>
            <w:tcW w:w="33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1"/>
              </w:rPr>
              <w:t>2.5%, 4%, 5%</w:t>
            </w:r>
          </w:p>
        </w:tc>
      </w:tr>
      <w:tr>
        <w:trPr>
          <w:trHeight w:val="223"/>
        </w:trPr>
        <w:tc>
          <w:tcPr>
            <w:tcW w:w="674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3"/>
              </w:rPr>
              <w:t>Motion Electronics Co., Ltd</w:t>
            </w:r>
          </w:p>
        </w:tc>
        <w:tc>
          <w:tcPr>
            <w:tcW w:w="33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2"/>
              </w:rPr>
              <w:t>3%</w:t>
            </w:r>
          </w:p>
        </w:tc>
      </w:tr>
      <w:tr>
        <w:trPr>
          <w:trHeight w:val="223"/>
        </w:trPr>
        <w:tc>
          <w:tcPr>
            <w:tcW w:w="674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2"/>
              </w:rPr>
              <w:t>Zain Technology Co., Ltd</w:t>
            </w:r>
          </w:p>
        </w:tc>
        <w:tc>
          <w:tcPr>
            <w:tcW w:w="33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2"/>
              </w:rPr>
              <w:t>3%</w:t>
            </w:r>
          </w:p>
        </w:tc>
      </w:tr>
      <w:tr>
        <w:trPr>
          <w:trHeight w:val="223"/>
        </w:trPr>
        <w:tc>
          <w:tcPr>
            <w:tcW w:w="674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4"/>
              </w:rPr>
              <w:t>Hanwool Scientific Co., Ltd.</w:t>
            </w:r>
          </w:p>
        </w:tc>
        <w:tc>
          <w:tcPr>
            <w:tcW w:w="33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0"/>
              </w:rPr>
              <w:t>0.5%, 3%, 3.5%</w:t>
            </w:r>
          </w:p>
        </w:tc>
      </w:tr>
    </w:tbl>
    <w:p>
      <w:pPr>
        <w:spacing w:after="0" w:line="198"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(i) Agents play a significant role in market development activities of the Issuer</w:t>
      </w:r>
    </w:p>
    <w:p>
      <w:pPr>
        <w:spacing w:after="0" w:line="256"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It is a common practice in the semiconductor industry to develop business through agents. Considering that the semiconductor equipment industry has specificity, that the downstream chip manufacturing industry has a considerable investment scale, that various types of equipment is needed in production, and that efficiency, reliability, etc. of single equipment directly affect work efficiency of a whole production line and yield of chip products, downstream customers are less willing to purchase or use new equipment except when such new equipment is equivalent to or superior than existing equipment in technical advancement and equipment reliability.</w:t>
      </w: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8-4-1-22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6" w:name="page27"/>
    <w:bookmarkEnd w:id="26"/>
    <w:p>
      <w:pPr>
        <w:jc w:val="both"/>
        <w:ind w:firstLine="648"/>
        <w:spacing w:after="0" w:line="270" w:lineRule="auto"/>
        <w:rPr>
          <w:sz w:val="20"/>
          <w:szCs w:val="20"/>
          <w:color w:val="auto"/>
        </w:rPr>
      </w:pPr>
      <w:r>
        <w:rPr>
          <w:rFonts w:ascii="Arial" w:cs="Arial" w:eastAsia="Arial" w:hAnsi="Arial"/>
          <w:sz w:val="17"/>
          <w:szCs w:val="17"/>
          <w:color w:val="auto"/>
        </w:rPr>
        <w:t>In the early development stage of semiconductor equipment enterprises, the enterprises, given their small scale and insufficient credibility in respects of technology and performance ability, etc., need to have their technology and credibility supported with the help of agents, so as to establish the trust and business relationship with semiconductor manufacturers. The Company's agents undertake the obligations and duties to introduce the Company’s products and related technical capabilities to specific customers, and assess whether the Company’s products can meet the needs of specific customers in terms of technical indicators, so as to realize the aim of introducing the Company’s products to customers. International semiconductor equipment enterprises basically adopted the agent role in their early market development. For example, TEL has been cooperating with HERMES as its agent for 30 years with respect to its business in Taiwan. With the further expansion of the share in the semiconductor equipment market in Mainland China and the expansion of the sales volume of the Issuer, the Issuer will strengthen its sales team and reduce agents gradually. However, in terms of new market development, the Issuer will still most probably use the agent role.</w:t>
      </w:r>
    </w:p>
    <w:p>
      <w:pPr>
        <w:spacing w:after="0" w:line="204"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(ii) Selection criteria and continuity management of agents</w:t>
      </w:r>
    </w:p>
    <w:p>
      <w:pPr>
        <w:spacing w:after="0" w:line="256"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Selection criteria of agents principally include industry performance, agents’ degree of familiarity with target agent customers and industries, trust relationship between agents and customers, and industry recommendation. At the initial stage of product introduction, generally as an agency relationship is started, both parties set up a sales target in a signed agency agreement. If an agent fails to realize the sales target and to introduce products to target customers within 1 to 2 years, the Company may consider whether to continue to use the agent or to replace the agent.</w:t>
      </w:r>
    </w:p>
    <w:p>
      <w:pPr>
        <w:spacing w:after="0" w:line="198" w:lineRule="exact"/>
        <w:rPr>
          <w:sz w:val="20"/>
          <w:szCs w:val="20"/>
          <w:color w:val="auto"/>
        </w:rPr>
      </w:pPr>
    </w:p>
    <w:p>
      <w:pPr>
        <w:jc w:val="both"/>
        <w:ind w:firstLine="648"/>
        <w:spacing w:after="0" w:line="268" w:lineRule="auto"/>
        <w:rPr>
          <w:sz w:val="20"/>
          <w:szCs w:val="20"/>
          <w:color w:val="auto"/>
        </w:rPr>
      </w:pPr>
      <w:r>
        <w:rPr>
          <w:rFonts w:ascii="Arial" w:cs="Arial" w:eastAsia="Arial" w:hAnsi="Arial"/>
          <w:sz w:val="17"/>
          <w:szCs w:val="17"/>
          <w:color w:val="auto"/>
        </w:rPr>
        <w:t>After its products are successfully introduced with the help of agents, the Issuer, according to trade practice, may continue to cooperate with the agents to let the agents continue to be responsible for the agency business for the customers and therefore may continue to pay the commissions for the equipment that the Issuer sells to the customers. On the one hand, due to the significant challenges and lengthy period required in the initial stage of a product introduction, a successful customer introduction by an agent can contribute substantially to the Issuer’s success. On the other hand, since there will still be a long way to go from initial introduction to mass production and repeated orders, the further efforts of agents can contribute materially to a successful product roll-out. In accordance with semiconductor equipment industry sales conventions, this process likely will continue for several years or even longer, with the actual period required determined by whether the agents play a key role in subsequent sales and by the growth and development of the internal sales team. For instance, the Issuer hired HANWOOL SCIENTIFIC CO., LTD as its first agent in South Korea, a relationship that, after twenty-four months of testing, resulted in an initial order from Hynix. With no repeat orders during the next two years, the Issuer hired a second agent, TJM PARTNERS LTD. The Company seeks to use the agent role to gain the best sales performance at the most reasonable selling expense, and the extent to which that objective is accomplished accordingly determines whether the Issuer continues to rely upon an agent or to replace or supplement that agent with a new agent. In the Reporting Period, the comparison of ratios of expenses to sales between the Company and listed companies in the same industry was as follows:</w:t>
      </w:r>
    </w:p>
    <w:p>
      <w:pPr>
        <w:spacing w:after="0" w:line="35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8-4-1-23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7" w:name="page28"/>
    <w:bookmarkEnd w:id="27"/>
    <w:tbl>
      <w:tblPr>
        <w:tblLayout w:type="fixed"/>
        <w:tblInd w:w="10" w:type="dxa"/>
        <w:tblCellMar>
          <w:top w:w="0" w:type="dxa"/>
          <w:left w:w="0" w:type="dxa"/>
          <w:bottom w:w="0" w:type="dxa"/>
          <w:right w:w="0" w:type="dxa"/>
        </w:tblCellMar>
      </w:tblPr>
      <w:tr>
        <w:trPr>
          <w:trHeight w:val="230"/>
        </w:trPr>
        <w:tc>
          <w:tcPr>
            <w:tcW w:w="162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2440" w:type="dxa"/>
            <w:vAlign w:val="bottom"/>
            <w:gridSpan w:val="3"/>
          </w:tcPr>
          <w:p>
            <w:pPr>
              <w:jc w:val="right"/>
              <w:spacing w:after="0"/>
              <w:rPr>
                <w:sz w:val="20"/>
                <w:szCs w:val="20"/>
                <w:color w:val="auto"/>
              </w:rPr>
            </w:pPr>
            <w:r>
              <w:rPr>
                <w:rFonts w:ascii="Arial" w:cs="Arial" w:eastAsia="Arial" w:hAnsi="Arial"/>
                <w:sz w:val="18"/>
                <w:szCs w:val="18"/>
                <w:color w:val="auto"/>
              </w:rPr>
              <w:t>Unit: RMB10,000</w:t>
            </w:r>
          </w:p>
        </w:tc>
        <w:tc>
          <w:tcPr>
            <w:tcW w:w="0" w:type="dxa"/>
            <w:vAlign w:val="bottom"/>
          </w:tcPr>
          <w:p>
            <w:pPr>
              <w:spacing w:after="0"/>
              <w:rPr>
                <w:sz w:val="1"/>
                <w:szCs w:val="1"/>
                <w:color w:val="auto"/>
              </w:rPr>
            </w:pPr>
          </w:p>
        </w:tc>
      </w:tr>
      <w:tr>
        <w:trPr>
          <w:trHeight w:val="250"/>
        </w:trPr>
        <w:tc>
          <w:tcPr>
            <w:tcW w:w="1620" w:type="dxa"/>
            <w:vAlign w:val="bottom"/>
            <w:tcBorders>
              <w:bottom w:val="single" w:sz="8" w:color="auto"/>
            </w:tcBorders>
          </w:tcPr>
          <w:p>
            <w:pPr>
              <w:spacing w:after="0"/>
              <w:rPr>
                <w:sz w:val="21"/>
                <w:szCs w:val="21"/>
                <w:color w:val="auto"/>
              </w:rPr>
            </w:pPr>
          </w:p>
        </w:tc>
        <w:tc>
          <w:tcPr>
            <w:tcW w:w="2320" w:type="dxa"/>
            <w:vAlign w:val="bottom"/>
            <w:tcBorders>
              <w:bottom w:val="single" w:sz="8" w:color="auto"/>
            </w:tcBorders>
            <w:gridSpan w:val="3"/>
          </w:tcPr>
          <w:p>
            <w:pPr>
              <w:spacing w:after="0"/>
              <w:rPr>
                <w:sz w:val="21"/>
                <w:szCs w:val="21"/>
                <w:color w:val="auto"/>
              </w:rPr>
            </w:pPr>
          </w:p>
        </w:tc>
        <w:tc>
          <w:tcPr>
            <w:tcW w:w="1220" w:type="dxa"/>
            <w:vAlign w:val="bottom"/>
            <w:tcBorders>
              <w:bottom w:val="single" w:sz="8" w:color="auto"/>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spacing w:after="0"/>
              <w:rPr>
                <w:sz w:val="21"/>
                <w:szCs w:val="21"/>
                <w:color w:val="auto"/>
              </w:rPr>
            </w:pPr>
          </w:p>
        </w:tc>
        <w:tc>
          <w:tcPr>
            <w:tcW w:w="1220" w:type="dxa"/>
            <w:vAlign w:val="bottom"/>
            <w:tcBorders>
              <w:bottom w:val="single" w:sz="8" w:color="auto"/>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spacing w:after="0"/>
              <w:rPr>
                <w:sz w:val="21"/>
                <w:szCs w:val="21"/>
                <w:color w:val="auto"/>
              </w:rPr>
            </w:pPr>
          </w:p>
        </w:tc>
        <w:tc>
          <w:tcPr>
            <w:tcW w:w="134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198"/>
        </w:trPr>
        <w:tc>
          <w:tcPr>
            <w:tcW w:w="1620" w:type="dxa"/>
            <w:vAlign w:val="bottom"/>
            <w:tcBorders>
              <w:left w:val="single" w:sz="8" w:color="auto"/>
              <w:right w:val="single" w:sz="8" w:color="auto"/>
            </w:tcBorders>
          </w:tcPr>
          <w:p>
            <w:pPr>
              <w:spacing w:after="0"/>
              <w:rPr>
                <w:sz w:val="17"/>
                <w:szCs w:val="17"/>
                <w:color w:val="auto"/>
              </w:rPr>
            </w:pPr>
          </w:p>
        </w:tc>
        <w:tc>
          <w:tcPr>
            <w:tcW w:w="2320" w:type="dxa"/>
            <w:vAlign w:val="bottom"/>
            <w:tcBorders>
              <w:right w:val="single" w:sz="8" w:color="auto"/>
            </w:tcBorders>
            <w:gridSpan w:val="3"/>
          </w:tcPr>
          <w:p>
            <w:pPr>
              <w:jc w:val="center"/>
              <w:spacing w:after="0" w:line="198" w:lineRule="exact"/>
              <w:rPr>
                <w:sz w:val="20"/>
                <w:szCs w:val="20"/>
                <w:color w:val="auto"/>
              </w:rPr>
            </w:pPr>
            <w:r>
              <w:rPr>
                <w:rFonts w:ascii="Arial" w:cs="Arial" w:eastAsia="Arial" w:hAnsi="Arial"/>
                <w:sz w:val="18"/>
                <w:szCs w:val="18"/>
                <w:b w:val="1"/>
                <w:bCs w:val="1"/>
                <w:color w:val="auto"/>
                <w:w w:val="91"/>
              </w:rPr>
              <w:t>January to June</w:t>
            </w:r>
          </w:p>
        </w:tc>
        <w:tc>
          <w:tcPr>
            <w:tcW w:w="1400" w:type="dxa"/>
            <w:vAlign w:val="bottom"/>
            <w:gridSpan w:val="2"/>
            <w:vMerge w:val="restart"/>
          </w:tcPr>
          <w:p>
            <w:pPr>
              <w:jc w:val="right"/>
              <w:ind w:right="20"/>
              <w:spacing w:after="0"/>
              <w:rPr>
                <w:sz w:val="20"/>
                <w:szCs w:val="20"/>
                <w:color w:val="auto"/>
              </w:rPr>
            </w:pPr>
            <w:r>
              <w:rPr>
                <w:rFonts w:ascii="Arial" w:cs="Arial" w:eastAsia="Arial" w:hAnsi="Arial"/>
                <w:sz w:val="18"/>
                <w:szCs w:val="18"/>
                <w:b w:val="1"/>
                <w:bCs w:val="1"/>
                <w:color w:val="auto"/>
              </w:rPr>
              <w:t>2019</w:t>
            </w:r>
          </w:p>
        </w:tc>
        <w:tc>
          <w:tcPr>
            <w:tcW w:w="1040" w:type="dxa"/>
            <w:vAlign w:val="bottom"/>
            <w:tcBorders>
              <w:right w:val="single" w:sz="8" w:color="auto"/>
            </w:tcBorders>
          </w:tcPr>
          <w:p>
            <w:pPr>
              <w:spacing w:after="0"/>
              <w:rPr>
                <w:sz w:val="17"/>
                <w:szCs w:val="17"/>
                <w:color w:val="auto"/>
              </w:rPr>
            </w:pPr>
          </w:p>
        </w:tc>
        <w:tc>
          <w:tcPr>
            <w:tcW w:w="1400" w:type="dxa"/>
            <w:vAlign w:val="bottom"/>
            <w:gridSpan w:val="2"/>
            <w:vMerge w:val="restart"/>
          </w:tcPr>
          <w:p>
            <w:pPr>
              <w:jc w:val="right"/>
              <w:ind w:right="20"/>
              <w:spacing w:after="0"/>
              <w:rPr>
                <w:sz w:val="20"/>
                <w:szCs w:val="20"/>
                <w:color w:val="auto"/>
              </w:rPr>
            </w:pPr>
            <w:r>
              <w:rPr>
                <w:rFonts w:ascii="Arial" w:cs="Arial" w:eastAsia="Arial" w:hAnsi="Arial"/>
                <w:sz w:val="18"/>
                <w:szCs w:val="18"/>
                <w:b w:val="1"/>
                <w:bCs w:val="1"/>
                <w:color w:val="auto"/>
              </w:rPr>
              <w:t>2018</w:t>
            </w:r>
          </w:p>
        </w:tc>
        <w:tc>
          <w:tcPr>
            <w:tcW w:w="1020" w:type="dxa"/>
            <w:vAlign w:val="bottom"/>
            <w:tcBorders>
              <w:right w:val="single" w:sz="8" w:color="auto"/>
            </w:tcBorders>
          </w:tcPr>
          <w:p>
            <w:pPr>
              <w:spacing w:after="0"/>
              <w:rPr>
                <w:sz w:val="17"/>
                <w:szCs w:val="17"/>
                <w:color w:val="auto"/>
              </w:rPr>
            </w:pPr>
          </w:p>
        </w:tc>
        <w:tc>
          <w:tcPr>
            <w:tcW w:w="1440" w:type="dxa"/>
            <w:vAlign w:val="bottom"/>
            <w:gridSpan w:val="2"/>
            <w:vMerge w:val="restart"/>
          </w:tcPr>
          <w:p>
            <w:pPr>
              <w:jc w:val="right"/>
              <w:ind w:right="40"/>
              <w:spacing w:after="0"/>
              <w:rPr>
                <w:sz w:val="20"/>
                <w:szCs w:val="20"/>
                <w:color w:val="auto"/>
              </w:rPr>
            </w:pPr>
            <w:r>
              <w:rPr>
                <w:rFonts w:ascii="Arial" w:cs="Arial" w:eastAsia="Arial" w:hAnsi="Arial"/>
                <w:sz w:val="18"/>
                <w:szCs w:val="18"/>
                <w:b w:val="1"/>
                <w:bCs w:val="1"/>
                <w:color w:val="auto"/>
              </w:rPr>
              <w:t>2017</w:t>
            </w:r>
          </w:p>
        </w:tc>
        <w:tc>
          <w:tcPr>
            <w:tcW w:w="100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26"/>
        </w:trPr>
        <w:tc>
          <w:tcPr>
            <w:tcW w:w="1620" w:type="dxa"/>
            <w:vAlign w:val="bottom"/>
            <w:tcBorders>
              <w:left w:val="single" w:sz="8" w:color="auto"/>
              <w:right w:val="single" w:sz="8" w:color="auto"/>
            </w:tcBorders>
          </w:tcPr>
          <w:p>
            <w:pPr>
              <w:spacing w:after="0"/>
              <w:rPr>
                <w:sz w:val="10"/>
                <w:szCs w:val="10"/>
                <w:color w:val="auto"/>
              </w:rPr>
            </w:pPr>
          </w:p>
        </w:tc>
        <w:tc>
          <w:tcPr>
            <w:tcW w:w="1380" w:type="dxa"/>
            <w:vAlign w:val="bottom"/>
            <w:gridSpan w:val="2"/>
            <w:vMerge w:val="restart"/>
          </w:tcPr>
          <w:p>
            <w:pPr>
              <w:jc w:val="right"/>
              <w:ind w:right="60"/>
              <w:spacing w:after="0"/>
              <w:rPr>
                <w:sz w:val="20"/>
                <w:szCs w:val="20"/>
                <w:color w:val="auto"/>
              </w:rPr>
            </w:pPr>
            <w:r>
              <w:rPr>
                <w:rFonts w:ascii="Arial" w:cs="Arial" w:eastAsia="Arial" w:hAnsi="Arial"/>
                <w:sz w:val="18"/>
                <w:szCs w:val="18"/>
                <w:b w:val="1"/>
                <w:bCs w:val="1"/>
                <w:color w:val="auto"/>
              </w:rPr>
              <w:t>2020</w:t>
            </w:r>
          </w:p>
        </w:tc>
        <w:tc>
          <w:tcPr>
            <w:tcW w:w="940" w:type="dxa"/>
            <w:vAlign w:val="bottom"/>
            <w:tcBorders>
              <w:right w:val="single" w:sz="8" w:color="auto"/>
            </w:tcBorders>
          </w:tcPr>
          <w:p>
            <w:pPr>
              <w:spacing w:after="0"/>
              <w:rPr>
                <w:sz w:val="10"/>
                <w:szCs w:val="10"/>
                <w:color w:val="auto"/>
              </w:rPr>
            </w:pPr>
          </w:p>
        </w:tc>
        <w:tc>
          <w:tcPr>
            <w:tcW w:w="1400" w:type="dxa"/>
            <w:vAlign w:val="bottom"/>
            <w:gridSpan w:val="2"/>
            <w:vMerge w:val="continue"/>
          </w:tcPr>
          <w:p>
            <w:pPr>
              <w:spacing w:after="0"/>
              <w:rPr>
                <w:sz w:val="10"/>
                <w:szCs w:val="10"/>
                <w:color w:val="auto"/>
              </w:rPr>
            </w:pPr>
          </w:p>
        </w:tc>
        <w:tc>
          <w:tcPr>
            <w:tcW w:w="1040" w:type="dxa"/>
            <w:vAlign w:val="bottom"/>
            <w:tcBorders>
              <w:right w:val="single" w:sz="8" w:color="auto"/>
            </w:tcBorders>
          </w:tcPr>
          <w:p>
            <w:pPr>
              <w:spacing w:after="0"/>
              <w:rPr>
                <w:sz w:val="10"/>
                <w:szCs w:val="10"/>
                <w:color w:val="auto"/>
              </w:rPr>
            </w:pPr>
          </w:p>
        </w:tc>
        <w:tc>
          <w:tcPr>
            <w:tcW w:w="1400" w:type="dxa"/>
            <w:vAlign w:val="bottom"/>
            <w:gridSpan w:val="2"/>
            <w:vMerge w:val="continue"/>
          </w:tcPr>
          <w:p>
            <w:pPr>
              <w:spacing w:after="0"/>
              <w:rPr>
                <w:sz w:val="10"/>
                <w:szCs w:val="10"/>
                <w:color w:val="auto"/>
              </w:rPr>
            </w:pPr>
          </w:p>
        </w:tc>
        <w:tc>
          <w:tcPr>
            <w:tcW w:w="1020" w:type="dxa"/>
            <w:vAlign w:val="bottom"/>
            <w:tcBorders>
              <w:right w:val="single" w:sz="8" w:color="auto"/>
            </w:tcBorders>
          </w:tcPr>
          <w:p>
            <w:pPr>
              <w:spacing w:after="0"/>
              <w:rPr>
                <w:sz w:val="10"/>
                <w:szCs w:val="10"/>
                <w:color w:val="auto"/>
              </w:rPr>
            </w:pPr>
          </w:p>
        </w:tc>
        <w:tc>
          <w:tcPr>
            <w:tcW w:w="1440" w:type="dxa"/>
            <w:vAlign w:val="bottom"/>
            <w:gridSpan w:val="2"/>
            <w:vMerge w:val="continue"/>
          </w:tcPr>
          <w:p>
            <w:pPr>
              <w:spacing w:after="0"/>
              <w:rPr>
                <w:sz w:val="10"/>
                <w:szCs w:val="10"/>
                <w:color w:val="auto"/>
              </w:rPr>
            </w:pPr>
          </w:p>
        </w:tc>
        <w:tc>
          <w:tcPr>
            <w:tcW w:w="1000" w:type="dxa"/>
            <w:vAlign w:val="bottom"/>
            <w:tcBorders>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15"/>
        </w:trPr>
        <w:tc>
          <w:tcPr>
            <w:tcW w:w="162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18"/>
                <w:szCs w:val="18"/>
                <w:b w:val="1"/>
                <w:bCs w:val="1"/>
                <w:color w:val="auto"/>
                <w:w w:val="92"/>
              </w:rPr>
              <w:t>Company</w:t>
            </w:r>
          </w:p>
        </w:tc>
        <w:tc>
          <w:tcPr>
            <w:tcW w:w="1380" w:type="dxa"/>
            <w:vAlign w:val="bottom"/>
            <w:tcBorders>
              <w:bottom w:val="single" w:sz="8" w:color="auto"/>
            </w:tcBorders>
            <w:gridSpan w:val="2"/>
            <w:vMerge w:val="continue"/>
          </w:tcPr>
          <w:p>
            <w:pPr>
              <w:spacing w:after="0"/>
              <w:rPr>
                <w:sz w:val="10"/>
                <w:szCs w:val="10"/>
                <w:color w:val="auto"/>
              </w:rPr>
            </w:pPr>
          </w:p>
        </w:tc>
        <w:tc>
          <w:tcPr>
            <w:tcW w:w="940" w:type="dxa"/>
            <w:vAlign w:val="bottom"/>
            <w:tcBorders>
              <w:bottom w:val="single" w:sz="8" w:color="auto"/>
              <w:right w:val="single" w:sz="8" w:color="auto"/>
            </w:tcBorders>
          </w:tcPr>
          <w:p>
            <w:pPr>
              <w:spacing w:after="0"/>
              <w:rPr>
                <w:sz w:val="10"/>
                <w:szCs w:val="10"/>
                <w:color w:val="auto"/>
              </w:rPr>
            </w:pPr>
          </w:p>
        </w:tc>
        <w:tc>
          <w:tcPr>
            <w:tcW w:w="1220" w:type="dxa"/>
            <w:vAlign w:val="bottom"/>
            <w:tcBorders>
              <w:bottom w:val="single" w:sz="8" w:color="auto"/>
            </w:tcBorders>
          </w:tcPr>
          <w:p>
            <w:pPr>
              <w:spacing w:after="0"/>
              <w:rPr>
                <w:sz w:val="10"/>
                <w:szCs w:val="10"/>
                <w:color w:val="auto"/>
              </w:rPr>
            </w:pPr>
          </w:p>
        </w:tc>
        <w:tc>
          <w:tcPr>
            <w:tcW w:w="180" w:type="dxa"/>
            <w:vAlign w:val="bottom"/>
            <w:tcBorders>
              <w:bottom w:val="single" w:sz="8" w:color="auto"/>
            </w:tcBorders>
          </w:tcPr>
          <w:p>
            <w:pPr>
              <w:spacing w:after="0"/>
              <w:rPr>
                <w:sz w:val="10"/>
                <w:szCs w:val="10"/>
                <w:color w:val="auto"/>
              </w:rPr>
            </w:pPr>
          </w:p>
        </w:tc>
        <w:tc>
          <w:tcPr>
            <w:tcW w:w="1040" w:type="dxa"/>
            <w:vAlign w:val="bottom"/>
            <w:tcBorders>
              <w:bottom w:val="single" w:sz="8" w:color="auto"/>
              <w:right w:val="single" w:sz="8" w:color="auto"/>
            </w:tcBorders>
          </w:tcPr>
          <w:p>
            <w:pPr>
              <w:spacing w:after="0"/>
              <w:rPr>
                <w:sz w:val="10"/>
                <w:szCs w:val="10"/>
                <w:color w:val="auto"/>
              </w:rPr>
            </w:pPr>
          </w:p>
        </w:tc>
        <w:tc>
          <w:tcPr>
            <w:tcW w:w="1220" w:type="dxa"/>
            <w:vAlign w:val="bottom"/>
            <w:tcBorders>
              <w:bottom w:val="single" w:sz="8" w:color="auto"/>
            </w:tcBorders>
          </w:tcPr>
          <w:p>
            <w:pPr>
              <w:spacing w:after="0"/>
              <w:rPr>
                <w:sz w:val="10"/>
                <w:szCs w:val="10"/>
                <w:color w:val="auto"/>
              </w:rPr>
            </w:pPr>
          </w:p>
        </w:tc>
        <w:tc>
          <w:tcPr>
            <w:tcW w:w="180" w:type="dxa"/>
            <w:vAlign w:val="bottom"/>
            <w:tcBorders>
              <w:bottom w:val="single" w:sz="8" w:color="auto"/>
            </w:tcBorders>
          </w:tcPr>
          <w:p>
            <w:pPr>
              <w:spacing w:after="0"/>
              <w:rPr>
                <w:sz w:val="10"/>
                <w:szCs w:val="10"/>
                <w:color w:val="auto"/>
              </w:rPr>
            </w:pPr>
          </w:p>
        </w:tc>
        <w:tc>
          <w:tcPr>
            <w:tcW w:w="1020" w:type="dxa"/>
            <w:vAlign w:val="bottom"/>
            <w:tcBorders>
              <w:bottom w:val="single" w:sz="8" w:color="auto"/>
              <w:right w:val="single" w:sz="8" w:color="auto"/>
            </w:tcBorders>
          </w:tcPr>
          <w:p>
            <w:pPr>
              <w:spacing w:after="0"/>
              <w:rPr>
                <w:sz w:val="10"/>
                <w:szCs w:val="10"/>
                <w:color w:val="auto"/>
              </w:rPr>
            </w:pPr>
          </w:p>
        </w:tc>
        <w:tc>
          <w:tcPr>
            <w:tcW w:w="134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1000" w:type="dxa"/>
            <w:vAlign w:val="bottom"/>
            <w:tcBorders>
              <w:bottom w:val="single" w:sz="8" w:color="auto"/>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98"/>
        </w:trPr>
        <w:tc>
          <w:tcPr>
            <w:tcW w:w="1620" w:type="dxa"/>
            <w:vAlign w:val="bottom"/>
            <w:tcBorders>
              <w:left w:val="single" w:sz="8" w:color="auto"/>
              <w:right w:val="single" w:sz="8" w:color="auto"/>
            </w:tcBorders>
            <w:vMerge w:val="continue"/>
          </w:tcPr>
          <w:p>
            <w:pPr>
              <w:spacing w:after="0"/>
              <w:rPr>
                <w:sz w:val="17"/>
                <w:szCs w:val="17"/>
                <w:color w:val="auto"/>
              </w:rPr>
            </w:pPr>
          </w:p>
        </w:tc>
        <w:tc>
          <w:tcPr>
            <w:tcW w:w="124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b w:val="1"/>
                <w:bCs w:val="1"/>
                <w:color w:val="auto"/>
                <w:w w:val="94"/>
              </w:rPr>
              <w:t>Operating</w:t>
            </w:r>
          </w:p>
        </w:tc>
        <w:tc>
          <w:tcPr>
            <w:tcW w:w="140" w:type="dxa"/>
            <w:vAlign w:val="bottom"/>
          </w:tcPr>
          <w:p>
            <w:pPr>
              <w:spacing w:after="0"/>
              <w:rPr>
                <w:sz w:val="17"/>
                <w:szCs w:val="17"/>
                <w:color w:val="auto"/>
              </w:rPr>
            </w:pPr>
          </w:p>
        </w:tc>
        <w:tc>
          <w:tcPr>
            <w:tcW w:w="940" w:type="dxa"/>
            <w:vAlign w:val="bottom"/>
            <w:tcBorders>
              <w:right w:val="single" w:sz="8" w:color="auto"/>
            </w:tcBorders>
          </w:tcPr>
          <w:p>
            <w:pPr>
              <w:jc w:val="center"/>
              <w:ind w:right="70"/>
              <w:spacing w:after="0" w:line="198" w:lineRule="exact"/>
              <w:rPr>
                <w:sz w:val="20"/>
                <w:szCs w:val="20"/>
                <w:color w:val="auto"/>
              </w:rPr>
            </w:pPr>
            <w:r>
              <w:rPr>
                <w:rFonts w:ascii="Arial" w:cs="Arial" w:eastAsia="Arial" w:hAnsi="Arial"/>
                <w:sz w:val="18"/>
                <w:szCs w:val="18"/>
                <w:b w:val="1"/>
                <w:bCs w:val="1"/>
                <w:color w:val="auto"/>
                <w:w w:val="90"/>
              </w:rPr>
              <w:t>Ratios of</w:t>
            </w:r>
          </w:p>
        </w:tc>
        <w:tc>
          <w:tcPr>
            <w:tcW w:w="1220" w:type="dxa"/>
            <w:vAlign w:val="bottom"/>
            <w:tcBorders>
              <w:right w:val="single" w:sz="8" w:color="auto"/>
            </w:tcBorders>
            <w:vMerge w:val="restart"/>
          </w:tcPr>
          <w:p>
            <w:pPr>
              <w:jc w:val="right"/>
              <w:ind w:right="130"/>
              <w:spacing w:after="0"/>
              <w:rPr>
                <w:sz w:val="20"/>
                <w:szCs w:val="20"/>
                <w:color w:val="auto"/>
              </w:rPr>
            </w:pPr>
            <w:r>
              <w:rPr>
                <w:rFonts w:ascii="Arial" w:cs="Arial" w:eastAsia="Arial" w:hAnsi="Arial"/>
                <w:sz w:val="18"/>
                <w:szCs w:val="18"/>
                <w:b w:val="1"/>
                <w:bCs w:val="1"/>
                <w:color w:val="auto"/>
              </w:rPr>
              <w:t>Operating</w:t>
            </w:r>
          </w:p>
        </w:tc>
        <w:tc>
          <w:tcPr>
            <w:tcW w:w="180" w:type="dxa"/>
            <w:vAlign w:val="bottom"/>
          </w:tcPr>
          <w:p>
            <w:pPr>
              <w:spacing w:after="0"/>
              <w:rPr>
                <w:sz w:val="17"/>
                <w:szCs w:val="17"/>
                <w:color w:val="auto"/>
              </w:rPr>
            </w:pPr>
          </w:p>
        </w:tc>
        <w:tc>
          <w:tcPr>
            <w:tcW w:w="1040" w:type="dxa"/>
            <w:vAlign w:val="bottom"/>
            <w:tcBorders>
              <w:right w:val="single" w:sz="8" w:color="auto"/>
            </w:tcBorders>
            <w:vMerge w:val="restart"/>
          </w:tcPr>
          <w:p>
            <w:pPr>
              <w:jc w:val="right"/>
              <w:ind w:right="130"/>
              <w:spacing w:after="0"/>
              <w:rPr>
                <w:sz w:val="20"/>
                <w:szCs w:val="20"/>
                <w:color w:val="auto"/>
              </w:rPr>
            </w:pPr>
            <w:r>
              <w:rPr>
                <w:rFonts w:ascii="Arial" w:cs="Arial" w:eastAsia="Arial" w:hAnsi="Arial"/>
                <w:sz w:val="18"/>
                <w:szCs w:val="18"/>
                <w:b w:val="1"/>
                <w:bCs w:val="1"/>
                <w:color w:val="auto"/>
                <w:w w:val="94"/>
              </w:rPr>
              <w:t>Operating</w:t>
            </w:r>
          </w:p>
        </w:tc>
        <w:tc>
          <w:tcPr>
            <w:tcW w:w="1220" w:type="dxa"/>
            <w:vAlign w:val="bottom"/>
            <w:tcBorders>
              <w:right w:val="single" w:sz="8" w:color="auto"/>
            </w:tcBorders>
            <w:vMerge w:val="restart"/>
          </w:tcPr>
          <w:p>
            <w:pPr>
              <w:jc w:val="right"/>
              <w:ind w:right="150"/>
              <w:spacing w:after="0"/>
              <w:rPr>
                <w:sz w:val="20"/>
                <w:szCs w:val="20"/>
                <w:color w:val="auto"/>
              </w:rPr>
            </w:pPr>
            <w:r>
              <w:rPr>
                <w:rFonts w:ascii="Arial" w:cs="Arial" w:eastAsia="Arial" w:hAnsi="Arial"/>
                <w:sz w:val="18"/>
                <w:szCs w:val="18"/>
                <w:b w:val="1"/>
                <w:bCs w:val="1"/>
                <w:color w:val="auto"/>
              </w:rPr>
              <w:t>Operating</w:t>
            </w:r>
          </w:p>
        </w:tc>
        <w:tc>
          <w:tcPr>
            <w:tcW w:w="180" w:type="dxa"/>
            <w:vAlign w:val="bottom"/>
          </w:tcPr>
          <w:p>
            <w:pPr>
              <w:spacing w:after="0"/>
              <w:rPr>
                <w:sz w:val="17"/>
                <w:szCs w:val="17"/>
                <w:color w:val="auto"/>
              </w:rPr>
            </w:pPr>
          </w:p>
        </w:tc>
        <w:tc>
          <w:tcPr>
            <w:tcW w:w="1020" w:type="dxa"/>
            <w:vAlign w:val="bottom"/>
            <w:tcBorders>
              <w:right w:val="single" w:sz="8" w:color="auto"/>
            </w:tcBorders>
            <w:vMerge w:val="restart"/>
          </w:tcPr>
          <w:p>
            <w:pPr>
              <w:jc w:val="right"/>
              <w:ind w:right="130"/>
              <w:spacing w:after="0"/>
              <w:rPr>
                <w:sz w:val="20"/>
                <w:szCs w:val="20"/>
                <w:color w:val="auto"/>
              </w:rPr>
            </w:pPr>
            <w:r>
              <w:rPr>
                <w:rFonts w:ascii="Arial" w:cs="Arial" w:eastAsia="Arial" w:hAnsi="Arial"/>
                <w:sz w:val="18"/>
                <w:szCs w:val="18"/>
                <w:b w:val="1"/>
                <w:bCs w:val="1"/>
                <w:color w:val="auto"/>
                <w:w w:val="91"/>
              </w:rPr>
              <w:t>Operating</w:t>
            </w:r>
          </w:p>
        </w:tc>
        <w:tc>
          <w:tcPr>
            <w:tcW w:w="1340" w:type="dxa"/>
            <w:vAlign w:val="bottom"/>
            <w:tcBorders>
              <w:right w:val="single" w:sz="8" w:color="auto"/>
            </w:tcBorders>
            <w:vMerge w:val="restart"/>
          </w:tcPr>
          <w:p>
            <w:pPr>
              <w:jc w:val="right"/>
              <w:ind w:right="190"/>
              <w:spacing w:after="0"/>
              <w:rPr>
                <w:sz w:val="20"/>
                <w:szCs w:val="20"/>
                <w:color w:val="auto"/>
              </w:rPr>
            </w:pPr>
            <w:r>
              <w:rPr>
                <w:rFonts w:ascii="Arial" w:cs="Arial" w:eastAsia="Arial" w:hAnsi="Arial"/>
                <w:sz w:val="18"/>
                <w:szCs w:val="18"/>
                <w:b w:val="1"/>
                <w:bCs w:val="1"/>
                <w:color w:val="auto"/>
              </w:rPr>
              <w:t>Operating</w:t>
            </w:r>
          </w:p>
        </w:tc>
        <w:tc>
          <w:tcPr>
            <w:tcW w:w="100" w:type="dxa"/>
            <w:vAlign w:val="bottom"/>
          </w:tcPr>
          <w:p>
            <w:pPr>
              <w:spacing w:after="0"/>
              <w:rPr>
                <w:sz w:val="17"/>
                <w:szCs w:val="17"/>
                <w:color w:val="auto"/>
              </w:rPr>
            </w:pPr>
          </w:p>
        </w:tc>
        <w:tc>
          <w:tcPr>
            <w:tcW w:w="1000" w:type="dxa"/>
            <w:vAlign w:val="bottom"/>
            <w:tcBorders>
              <w:right w:val="single" w:sz="8" w:color="auto"/>
            </w:tcBorders>
            <w:vMerge w:val="restart"/>
          </w:tcPr>
          <w:p>
            <w:pPr>
              <w:jc w:val="right"/>
              <w:ind w:right="70"/>
              <w:spacing w:after="0"/>
              <w:rPr>
                <w:sz w:val="20"/>
                <w:szCs w:val="20"/>
                <w:color w:val="auto"/>
              </w:rPr>
            </w:pPr>
            <w:r>
              <w:rPr>
                <w:rFonts w:ascii="Arial" w:cs="Arial" w:eastAsia="Arial" w:hAnsi="Arial"/>
                <w:sz w:val="18"/>
                <w:szCs w:val="18"/>
                <w:b w:val="1"/>
                <w:bCs w:val="1"/>
                <w:color w:val="auto"/>
                <w:w w:val="96"/>
              </w:rPr>
              <w:t>Operating</w:t>
            </w:r>
          </w:p>
        </w:tc>
        <w:tc>
          <w:tcPr>
            <w:tcW w:w="0" w:type="dxa"/>
            <w:vAlign w:val="bottom"/>
          </w:tcPr>
          <w:p>
            <w:pPr>
              <w:spacing w:after="0"/>
              <w:rPr>
                <w:sz w:val="1"/>
                <w:szCs w:val="1"/>
                <w:color w:val="auto"/>
              </w:rPr>
            </w:pPr>
          </w:p>
        </w:tc>
      </w:tr>
      <w:tr>
        <w:trPr>
          <w:trHeight w:val="108"/>
        </w:trPr>
        <w:tc>
          <w:tcPr>
            <w:tcW w:w="1620" w:type="dxa"/>
            <w:vAlign w:val="bottom"/>
            <w:tcBorders>
              <w:left w:val="single" w:sz="8" w:color="auto"/>
              <w:right w:val="single" w:sz="8" w:color="auto"/>
            </w:tcBorders>
          </w:tcPr>
          <w:p>
            <w:pPr>
              <w:spacing w:after="0"/>
              <w:rPr>
                <w:sz w:val="9"/>
                <w:szCs w:val="9"/>
                <w:color w:val="auto"/>
              </w:rPr>
            </w:pPr>
          </w:p>
        </w:tc>
        <w:tc>
          <w:tcPr>
            <w:tcW w:w="1240" w:type="dxa"/>
            <w:vAlign w:val="bottom"/>
            <w:tcBorders>
              <w:right w:val="single" w:sz="8" w:color="auto"/>
            </w:tcBorders>
            <w:vMerge w:val="continue"/>
          </w:tcPr>
          <w:p>
            <w:pPr>
              <w:spacing w:after="0"/>
              <w:rPr>
                <w:sz w:val="9"/>
                <w:szCs w:val="9"/>
                <w:color w:val="auto"/>
              </w:rPr>
            </w:pPr>
          </w:p>
        </w:tc>
        <w:tc>
          <w:tcPr>
            <w:tcW w:w="140" w:type="dxa"/>
            <w:vAlign w:val="bottom"/>
          </w:tcPr>
          <w:p>
            <w:pPr>
              <w:spacing w:after="0"/>
              <w:rPr>
                <w:sz w:val="9"/>
                <w:szCs w:val="9"/>
                <w:color w:val="auto"/>
              </w:rPr>
            </w:pPr>
          </w:p>
        </w:tc>
        <w:tc>
          <w:tcPr>
            <w:tcW w:w="940" w:type="dxa"/>
            <w:vAlign w:val="bottom"/>
            <w:tcBorders>
              <w:right w:val="single" w:sz="8" w:color="auto"/>
            </w:tcBorders>
            <w:vMerge w:val="restart"/>
          </w:tcPr>
          <w:p>
            <w:pPr>
              <w:jc w:val="center"/>
              <w:ind w:right="70"/>
              <w:spacing w:after="0"/>
              <w:rPr>
                <w:sz w:val="20"/>
                <w:szCs w:val="20"/>
                <w:color w:val="auto"/>
              </w:rPr>
            </w:pPr>
            <w:r>
              <w:rPr>
                <w:rFonts w:ascii="Arial" w:cs="Arial" w:eastAsia="Arial" w:hAnsi="Arial"/>
                <w:sz w:val="18"/>
                <w:szCs w:val="18"/>
                <w:b w:val="1"/>
                <w:bCs w:val="1"/>
                <w:color w:val="auto"/>
                <w:w w:val="80"/>
              </w:rPr>
              <w:t>expenses</w:t>
            </w:r>
          </w:p>
        </w:tc>
        <w:tc>
          <w:tcPr>
            <w:tcW w:w="1220" w:type="dxa"/>
            <w:vAlign w:val="bottom"/>
            <w:tcBorders>
              <w:right w:val="single" w:sz="8" w:color="auto"/>
            </w:tcBorders>
            <w:vMerge w:val="continue"/>
          </w:tcPr>
          <w:p>
            <w:pPr>
              <w:spacing w:after="0"/>
              <w:rPr>
                <w:sz w:val="9"/>
                <w:szCs w:val="9"/>
                <w:color w:val="auto"/>
              </w:rPr>
            </w:pPr>
          </w:p>
        </w:tc>
        <w:tc>
          <w:tcPr>
            <w:tcW w:w="180" w:type="dxa"/>
            <w:vAlign w:val="bottom"/>
          </w:tcPr>
          <w:p>
            <w:pPr>
              <w:spacing w:after="0"/>
              <w:rPr>
                <w:sz w:val="9"/>
                <w:szCs w:val="9"/>
                <w:color w:val="auto"/>
              </w:rPr>
            </w:pPr>
          </w:p>
        </w:tc>
        <w:tc>
          <w:tcPr>
            <w:tcW w:w="1040" w:type="dxa"/>
            <w:vAlign w:val="bottom"/>
            <w:tcBorders>
              <w:right w:val="single" w:sz="8" w:color="auto"/>
            </w:tcBorders>
            <w:vMerge w:val="continue"/>
          </w:tcPr>
          <w:p>
            <w:pPr>
              <w:spacing w:after="0"/>
              <w:rPr>
                <w:sz w:val="9"/>
                <w:szCs w:val="9"/>
                <w:color w:val="auto"/>
              </w:rPr>
            </w:pPr>
          </w:p>
        </w:tc>
        <w:tc>
          <w:tcPr>
            <w:tcW w:w="1220" w:type="dxa"/>
            <w:vAlign w:val="bottom"/>
            <w:tcBorders>
              <w:right w:val="single" w:sz="8" w:color="auto"/>
            </w:tcBorders>
            <w:vMerge w:val="continue"/>
          </w:tcPr>
          <w:p>
            <w:pPr>
              <w:spacing w:after="0"/>
              <w:rPr>
                <w:sz w:val="9"/>
                <w:szCs w:val="9"/>
                <w:color w:val="auto"/>
              </w:rPr>
            </w:pPr>
          </w:p>
        </w:tc>
        <w:tc>
          <w:tcPr>
            <w:tcW w:w="180" w:type="dxa"/>
            <w:vAlign w:val="bottom"/>
          </w:tcPr>
          <w:p>
            <w:pPr>
              <w:spacing w:after="0"/>
              <w:rPr>
                <w:sz w:val="9"/>
                <w:szCs w:val="9"/>
                <w:color w:val="auto"/>
              </w:rPr>
            </w:pPr>
          </w:p>
        </w:tc>
        <w:tc>
          <w:tcPr>
            <w:tcW w:w="1020" w:type="dxa"/>
            <w:vAlign w:val="bottom"/>
            <w:tcBorders>
              <w:right w:val="single" w:sz="8" w:color="auto"/>
            </w:tcBorders>
            <w:vMerge w:val="continue"/>
          </w:tcPr>
          <w:p>
            <w:pPr>
              <w:spacing w:after="0"/>
              <w:rPr>
                <w:sz w:val="9"/>
                <w:szCs w:val="9"/>
                <w:color w:val="auto"/>
              </w:rPr>
            </w:pPr>
          </w:p>
        </w:tc>
        <w:tc>
          <w:tcPr>
            <w:tcW w:w="1340" w:type="dxa"/>
            <w:vAlign w:val="bottom"/>
            <w:tcBorders>
              <w:right w:val="single" w:sz="8" w:color="auto"/>
            </w:tcBorders>
            <w:vMerge w:val="continue"/>
          </w:tcPr>
          <w:p>
            <w:pPr>
              <w:spacing w:after="0"/>
              <w:rPr>
                <w:sz w:val="9"/>
                <w:szCs w:val="9"/>
                <w:color w:val="auto"/>
              </w:rPr>
            </w:pPr>
          </w:p>
        </w:tc>
        <w:tc>
          <w:tcPr>
            <w:tcW w:w="100" w:type="dxa"/>
            <w:vAlign w:val="bottom"/>
          </w:tcPr>
          <w:p>
            <w:pPr>
              <w:spacing w:after="0"/>
              <w:rPr>
                <w:sz w:val="9"/>
                <w:szCs w:val="9"/>
                <w:color w:val="auto"/>
              </w:rPr>
            </w:pPr>
          </w:p>
        </w:tc>
        <w:tc>
          <w:tcPr>
            <w:tcW w:w="1000" w:type="dxa"/>
            <w:vAlign w:val="bottom"/>
            <w:tcBorders>
              <w:right w:val="single" w:sz="8" w:color="auto"/>
            </w:tcBorders>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1620" w:type="dxa"/>
            <w:vAlign w:val="bottom"/>
            <w:tcBorders>
              <w:left w:val="single" w:sz="8" w:color="auto"/>
              <w:right w:val="single" w:sz="8" w:color="auto"/>
            </w:tcBorders>
          </w:tcPr>
          <w:p>
            <w:pPr>
              <w:spacing w:after="0"/>
              <w:rPr>
                <w:sz w:val="9"/>
                <w:szCs w:val="9"/>
                <w:color w:val="auto"/>
              </w:rPr>
            </w:pPr>
          </w:p>
        </w:tc>
        <w:tc>
          <w:tcPr>
            <w:tcW w:w="124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b w:val="1"/>
                <w:bCs w:val="1"/>
                <w:color w:val="auto"/>
                <w:w w:val="86"/>
              </w:rPr>
              <w:t>revenue</w:t>
            </w:r>
          </w:p>
        </w:tc>
        <w:tc>
          <w:tcPr>
            <w:tcW w:w="140" w:type="dxa"/>
            <w:vAlign w:val="bottom"/>
          </w:tcPr>
          <w:p>
            <w:pPr>
              <w:spacing w:after="0"/>
              <w:rPr>
                <w:sz w:val="9"/>
                <w:szCs w:val="9"/>
                <w:color w:val="auto"/>
              </w:rPr>
            </w:pPr>
          </w:p>
        </w:tc>
        <w:tc>
          <w:tcPr>
            <w:tcW w:w="940" w:type="dxa"/>
            <w:vAlign w:val="bottom"/>
            <w:tcBorders>
              <w:right w:val="single" w:sz="8" w:color="auto"/>
            </w:tcBorders>
            <w:vMerge w:val="continue"/>
          </w:tcPr>
          <w:p>
            <w:pPr>
              <w:spacing w:after="0"/>
              <w:rPr>
                <w:sz w:val="9"/>
                <w:szCs w:val="9"/>
                <w:color w:val="auto"/>
              </w:rPr>
            </w:pPr>
          </w:p>
        </w:tc>
        <w:tc>
          <w:tcPr>
            <w:tcW w:w="1220" w:type="dxa"/>
            <w:vAlign w:val="bottom"/>
            <w:tcBorders>
              <w:right w:val="single" w:sz="8" w:color="auto"/>
            </w:tcBorders>
            <w:vMerge w:val="restart"/>
          </w:tcPr>
          <w:p>
            <w:pPr>
              <w:jc w:val="right"/>
              <w:ind w:right="230"/>
              <w:spacing w:after="0"/>
              <w:rPr>
                <w:sz w:val="20"/>
                <w:szCs w:val="20"/>
                <w:color w:val="auto"/>
              </w:rPr>
            </w:pPr>
            <w:r>
              <w:rPr>
                <w:rFonts w:ascii="Arial" w:cs="Arial" w:eastAsia="Arial" w:hAnsi="Arial"/>
                <w:sz w:val="18"/>
                <w:szCs w:val="18"/>
                <w:b w:val="1"/>
                <w:bCs w:val="1"/>
                <w:color w:val="auto"/>
              </w:rPr>
              <w:t>revenue</w:t>
            </w:r>
          </w:p>
        </w:tc>
        <w:tc>
          <w:tcPr>
            <w:tcW w:w="180" w:type="dxa"/>
            <w:vAlign w:val="bottom"/>
          </w:tcPr>
          <w:p>
            <w:pPr>
              <w:spacing w:after="0"/>
              <w:rPr>
                <w:sz w:val="9"/>
                <w:szCs w:val="9"/>
                <w:color w:val="auto"/>
              </w:rPr>
            </w:pPr>
          </w:p>
        </w:tc>
        <w:tc>
          <w:tcPr>
            <w:tcW w:w="1040" w:type="dxa"/>
            <w:vAlign w:val="bottom"/>
            <w:tcBorders>
              <w:right w:val="single" w:sz="8" w:color="auto"/>
            </w:tcBorders>
            <w:vMerge w:val="restart"/>
          </w:tcPr>
          <w:p>
            <w:pPr>
              <w:jc w:val="right"/>
              <w:ind w:right="230"/>
              <w:spacing w:after="0"/>
              <w:rPr>
                <w:sz w:val="20"/>
                <w:szCs w:val="20"/>
                <w:color w:val="auto"/>
              </w:rPr>
            </w:pPr>
            <w:r>
              <w:rPr>
                <w:rFonts w:ascii="Arial" w:cs="Arial" w:eastAsia="Arial" w:hAnsi="Arial"/>
                <w:sz w:val="18"/>
                <w:szCs w:val="18"/>
                <w:b w:val="1"/>
                <w:bCs w:val="1"/>
                <w:color w:val="auto"/>
              </w:rPr>
              <w:t>revenue</w:t>
            </w:r>
          </w:p>
        </w:tc>
        <w:tc>
          <w:tcPr>
            <w:tcW w:w="1220" w:type="dxa"/>
            <w:vAlign w:val="bottom"/>
            <w:tcBorders>
              <w:right w:val="single" w:sz="8" w:color="auto"/>
            </w:tcBorders>
            <w:vMerge w:val="restart"/>
          </w:tcPr>
          <w:p>
            <w:pPr>
              <w:jc w:val="right"/>
              <w:ind w:right="230"/>
              <w:spacing w:after="0"/>
              <w:rPr>
                <w:sz w:val="20"/>
                <w:szCs w:val="20"/>
                <w:color w:val="auto"/>
              </w:rPr>
            </w:pPr>
            <w:r>
              <w:rPr>
                <w:rFonts w:ascii="Arial" w:cs="Arial" w:eastAsia="Arial" w:hAnsi="Arial"/>
                <w:sz w:val="18"/>
                <w:szCs w:val="18"/>
                <w:b w:val="1"/>
                <w:bCs w:val="1"/>
                <w:color w:val="auto"/>
              </w:rPr>
              <w:t>revenue</w:t>
            </w:r>
          </w:p>
        </w:tc>
        <w:tc>
          <w:tcPr>
            <w:tcW w:w="180" w:type="dxa"/>
            <w:vAlign w:val="bottom"/>
          </w:tcPr>
          <w:p>
            <w:pPr>
              <w:spacing w:after="0"/>
              <w:rPr>
                <w:sz w:val="9"/>
                <w:szCs w:val="9"/>
                <w:color w:val="auto"/>
              </w:rPr>
            </w:pPr>
          </w:p>
        </w:tc>
        <w:tc>
          <w:tcPr>
            <w:tcW w:w="1020" w:type="dxa"/>
            <w:vAlign w:val="bottom"/>
            <w:tcBorders>
              <w:right w:val="single" w:sz="8" w:color="auto"/>
            </w:tcBorders>
            <w:vMerge w:val="restart"/>
          </w:tcPr>
          <w:p>
            <w:pPr>
              <w:jc w:val="right"/>
              <w:ind w:right="210"/>
              <w:spacing w:after="0"/>
              <w:rPr>
                <w:sz w:val="20"/>
                <w:szCs w:val="20"/>
                <w:color w:val="auto"/>
              </w:rPr>
            </w:pPr>
            <w:r>
              <w:rPr>
                <w:rFonts w:ascii="Arial" w:cs="Arial" w:eastAsia="Arial" w:hAnsi="Arial"/>
                <w:sz w:val="18"/>
                <w:szCs w:val="18"/>
                <w:b w:val="1"/>
                <w:bCs w:val="1"/>
                <w:color w:val="auto"/>
              </w:rPr>
              <w:t>revenue</w:t>
            </w:r>
          </w:p>
        </w:tc>
        <w:tc>
          <w:tcPr>
            <w:tcW w:w="1340" w:type="dxa"/>
            <w:vAlign w:val="bottom"/>
            <w:tcBorders>
              <w:right w:val="single" w:sz="8" w:color="auto"/>
            </w:tcBorders>
            <w:vMerge w:val="restart"/>
          </w:tcPr>
          <w:p>
            <w:pPr>
              <w:jc w:val="right"/>
              <w:ind w:right="290"/>
              <w:spacing w:after="0"/>
              <w:rPr>
                <w:sz w:val="20"/>
                <w:szCs w:val="20"/>
                <w:color w:val="auto"/>
              </w:rPr>
            </w:pPr>
            <w:r>
              <w:rPr>
                <w:rFonts w:ascii="Arial" w:cs="Arial" w:eastAsia="Arial" w:hAnsi="Arial"/>
                <w:sz w:val="18"/>
                <w:szCs w:val="18"/>
                <w:b w:val="1"/>
                <w:bCs w:val="1"/>
                <w:color w:val="auto"/>
              </w:rPr>
              <w:t>revenue</w:t>
            </w:r>
          </w:p>
        </w:tc>
        <w:tc>
          <w:tcPr>
            <w:tcW w:w="100" w:type="dxa"/>
            <w:vAlign w:val="bottom"/>
          </w:tcPr>
          <w:p>
            <w:pPr>
              <w:spacing w:after="0"/>
              <w:rPr>
                <w:sz w:val="9"/>
                <w:szCs w:val="9"/>
                <w:color w:val="auto"/>
              </w:rPr>
            </w:pPr>
          </w:p>
        </w:tc>
        <w:tc>
          <w:tcPr>
            <w:tcW w:w="1000" w:type="dxa"/>
            <w:vAlign w:val="bottom"/>
            <w:tcBorders>
              <w:right w:val="single" w:sz="8" w:color="auto"/>
            </w:tcBorders>
            <w:vMerge w:val="restart"/>
          </w:tcPr>
          <w:p>
            <w:pPr>
              <w:jc w:val="right"/>
              <w:ind w:right="170"/>
              <w:spacing w:after="0"/>
              <w:rPr>
                <w:sz w:val="20"/>
                <w:szCs w:val="20"/>
                <w:color w:val="auto"/>
              </w:rPr>
            </w:pPr>
            <w:r>
              <w:rPr>
                <w:rFonts w:ascii="Arial" w:cs="Arial" w:eastAsia="Arial" w:hAnsi="Arial"/>
                <w:sz w:val="18"/>
                <w:szCs w:val="18"/>
                <w:b w:val="1"/>
                <w:bCs w:val="1"/>
                <w:color w:val="auto"/>
              </w:rPr>
              <w:t>revenue</w:t>
            </w:r>
          </w:p>
        </w:tc>
        <w:tc>
          <w:tcPr>
            <w:tcW w:w="0" w:type="dxa"/>
            <w:vAlign w:val="bottom"/>
          </w:tcPr>
          <w:p>
            <w:pPr>
              <w:spacing w:after="0"/>
              <w:rPr>
                <w:sz w:val="1"/>
                <w:szCs w:val="1"/>
                <w:color w:val="auto"/>
              </w:rPr>
            </w:pPr>
          </w:p>
        </w:tc>
      </w:tr>
      <w:tr>
        <w:trPr>
          <w:trHeight w:val="126"/>
        </w:trPr>
        <w:tc>
          <w:tcPr>
            <w:tcW w:w="1620" w:type="dxa"/>
            <w:vAlign w:val="bottom"/>
            <w:tcBorders>
              <w:left w:val="single" w:sz="8" w:color="auto"/>
              <w:right w:val="single" w:sz="8" w:color="auto"/>
            </w:tcBorders>
          </w:tcPr>
          <w:p>
            <w:pPr>
              <w:spacing w:after="0"/>
              <w:rPr>
                <w:sz w:val="10"/>
                <w:szCs w:val="10"/>
                <w:color w:val="auto"/>
              </w:rPr>
            </w:pPr>
          </w:p>
        </w:tc>
        <w:tc>
          <w:tcPr>
            <w:tcW w:w="1240" w:type="dxa"/>
            <w:vAlign w:val="bottom"/>
            <w:tcBorders>
              <w:right w:val="single" w:sz="8" w:color="auto"/>
            </w:tcBorders>
            <w:vMerge w:val="continue"/>
          </w:tcPr>
          <w:p>
            <w:pPr>
              <w:spacing w:after="0"/>
              <w:rPr>
                <w:sz w:val="10"/>
                <w:szCs w:val="10"/>
                <w:color w:val="auto"/>
              </w:rPr>
            </w:pPr>
          </w:p>
        </w:tc>
        <w:tc>
          <w:tcPr>
            <w:tcW w:w="140" w:type="dxa"/>
            <w:vAlign w:val="bottom"/>
          </w:tcPr>
          <w:p>
            <w:pPr>
              <w:spacing w:after="0"/>
              <w:rPr>
                <w:sz w:val="10"/>
                <w:szCs w:val="10"/>
                <w:color w:val="auto"/>
              </w:rPr>
            </w:pPr>
          </w:p>
        </w:tc>
        <w:tc>
          <w:tcPr>
            <w:tcW w:w="940" w:type="dxa"/>
            <w:vAlign w:val="bottom"/>
            <w:tcBorders>
              <w:right w:val="single" w:sz="8" w:color="auto"/>
            </w:tcBorders>
            <w:vMerge w:val="restart"/>
          </w:tcPr>
          <w:p>
            <w:pPr>
              <w:jc w:val="center"/>
              <w:ind w:right="70"/>
              <w:spacing w:after="0"/>
              <w:rPr>
                <w:sz w:val="20"/>
                <w:szCs w:val="20"/>
                <w:color w:val="auto"/>
              </w:rPr>
            </w:pPr>
            <w:r>
              <w:rPr>
                <w:rFonts w:ascii="Arial" w:cs="Arial" w:eastAsia="Arial" w:hAnsi="Arial"/>
                <w:sz w:val="18"/>
                <w:szCs w:val="18"/>
                <w:b w:val="1"/>
                <w:bCs w:val="1"/>
                <w:color w:val="auto"/>
                <w:w w:val="80"/>
              </w:rPr>
              <w:t>to sales</w:t>
            </w:r>
          </w:p>
        </w:tc>
        <w:tc>
          <w:tcPr>
            <w:tcW w:w="1220" w:type="dxa"/>
            <w:vAlign w:val="bottom"/>
            <w:tcBorders>
              <w:right w:val="single" w:sz="8" w:color="auto"/>
            </w:tcBorders>
            <w:vMerge w:val="continue"/>
          </w:tcPr>
          <w:p>
            <w:pPr>
              <w:spacing w:after="0"/>
              <w:rPr>
                <w:sz w:val="10"/>
                <w:szCs w:val="10"/>
                <w:color w:val="auto"/>
              </w:rPr>
            </w:pPr>
          </w:p>
        </w:tc>
        <w:tc>
          <w:tcPr>
            <w:tcW w:w="180" w:type="dxa"/>
            <w:vAlign w:val="bottom"/>
          </w:tcPr>
          <w:p>
            <w:pPr>
              <w:spacing w:after="0"/>
              <w:rPr>
                <w:sz w:val="10"/>
                <w:szCs w:val="10"/>
                <w:color w:val="auto"/>
              </w:rPr>
            </w:pPr>
          </w:p>
        </w:tc>
        <w:tc>
          <w:tcPr>
            <w:tcW w:w="1040" w:type="dxa"/>
            <w:vAlign w:val="bottom"/>
            <w:tcBorders>
              <w:right w:val="single" w:sz="8" w:color="auto"/>
            </w:tcBorders>
            <w:vMerge w:val="continue"/>
          </w:tcPr>
          <w:p>
            <w:pPr>
              <w:spacing w:after="0"/>
              <w:rPr>
                <w:sz w:val="10"/>
                <w:szCs w:val="10"/>
                <w:color w:val="auto"/>
              </w:rPr>
            </w:pPr>
          </w:p>
        </w:tc>
        <w:tc>
          <w:tcPr>
            <w:tcW w:w="1220" w:type="dxa"/>
            <w:vAlign w:val="bottom"/>
            <w:tcBorders>
              <w:right w:val="single" w:sz="8" w:color="auto"/>
            </w:tcBorders>
            <w:vMerge w:val="continue"/>
          </w:tcPr>
          <w:p>
            <w:pPr>
              <w:spacing w:after="0"/>
              <w:rPr>
                <w:sz w:val="10"/>
                <w:szCs w:val="10"/>
                <w:color w:val="auto"/>
              </w:rPr>
            </w:pPr>
          </w:p>
        </w:tc>
        <w:tc>
          <w:tcPr>
            <w:tcW w:w="180" w:type="dxa"/>
            <w:vAlign w:val="bottom"/>
          </w:tcPr>
          <w:p>
            <w:pPr>
              <w:spacing w:after="0"/>
              <w:rPr>
                <w:sz w:val="10"/>
                <w:szCs w:val="10"/>
                <w:color w:val="auto"/>
              </w:rPr>
            </w:pPr>
          </w:p>
        </w:tc>
        <w:tc>
          <w:tcPr>
            <w:tcW w:w="1020" w:type="dxa"/>
            <w:vAlign w:val="bottom"/>
            <w:tcBorders>
              <w:right w:val="single" w:sz="8" w:color="auto"/>
            </w:tcBorders>
            <w:vMerge w:val="continue"/>
          </w:tcPr>
          <w:p>
            <w:pPr>
              <w:spacing w:after="0"/>
              <w:rPr>
                <w:sz w:val="10"/>
                <w:szCs w:val="10"/>
                <w:color w:val="auto"/>
              </w:rPr>
            </w:pPr>
          </w:p>
        </w:tc>
        <w:tc>
          <w:tcPr>
            <w:tcW w:w="1340" w:type="dxa"/>
            <w:vAlign w:val="bottom"/>
            <w:tcBorders>
              <w:right w:val="single" w:sz="8" w:color="auto"/>
            </w:tcBorders>
            <w:vMerge w:val="continue"/>
          </w:tcPr>
          <w:p>
            <w:pPr>
              <w:spacing w:after="0"/>
              <w:rPr>
                <w:sz w:val="10"/>
                <w:szCs w:val="10"/>
                <w:color w:val="auto"/>
              </w:rPr>
            </w:pPr>
          </w:p>
        </w:tc>
        <w:tc>
          <w:tcPr>
            <w:tcW w:w="100" w:type="dxa"/>
            <w:vAlign w:val="bottom"/>
          </w:tcPr>
          <w:p>
            <w:pPr>
              <w:spacing w:after="0"/>
              <w:rPr>
                <w:sz w:val="10"/>
                <w:szCs w:val="10"/>
                <w:color w:val="auto"/>
              </w:rPr>
            </w:pPr>
          </w:p>
        </w:tc>
        <w:tc>
          <w:tcPr>
            <w:tcW w:w="1000" w:type="dxa"/>
            <w:vAlign w:val="bottom"/>
            <w:tcBorders>
              <w:right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15"/>
        </w:trPr>
        <w:tc>
          <w:tcPr>
            <w:tcW w:w="1620" w:type="dxa"/>
            <w:vAlign w:val="bottom"/>
            <w:tcBorders>
              <w:left w:val="single" w:sz="8" w:color="auto"/>
              <w:bottom w:val="single" w:sz="8" w:color="auto"/>
              <w:right w:val="single" w:sz="8" w:color="auto"/>
            </w:tcBorders>
          </w:tcPr>
          <w:p>
            <w:pPr>
              <w:spacing w:after="0"/>
              <w:rPr>
                <w:sz w:val="10"/>
                <w:szCs w:val="10"/>
                <w:color w:val="auto"/>
              </w:rPr>
            </w:pPr>
          </w:p>
        </w:tc>
        <w:tc>
          <w:tcPr>
            <w:tcW w:w="1240" w:type="dxa"/>
            <w:vAlign w:val="bottom"/>
            <w:tcBorders>
              <w:bottom w:val="single" w:sz="8" w:color="auto"/>
              <w:right w:val="single" w:sz="8" w:color="auto"/>
            </w:tcBorders>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940" w:type="dxa"/>
            <w:vAlign w:val="bottom"/>
            <w:tcBorders>
              <w:bottom w:val="single" w:sz="8" w:color="auto"/>
              <w:right w:val="single" w:sz="8" w:color="auto"/>
            </w:tcBorders>
            <w:vMerge w:val="continue"/>
          </w:tcPr>
          <w:p>
            <w:pPr>
              <w:spacing w:after="0"/>
              <w:rPr>
                <w:sz w:val="10"/>
                <w:szCs w:val="10"/>
                <w:color w:val="auto"/>
              </w:rPr>
            </w:pPr>
          </w:p>
        </w:tc>
        <w:tc>
          <w:tcPr>
            <w:tcW w:w="1220" w:type="dxa"/>
            <w:vAlign w:val="bottom"/>
            <w:tcBorders>
              <w:bottom w:val="single" w:sz="8" w:color="auto"/>
              <w:right w:val="single" w:sz="8" w:color="auto"/>
            </w:tcBorders>
          </w:tcPr>
          <w:p>
            <w:pPr>
              <w:spacing w:after="0"/>
              <w:rPr>
                <w:sz w:val="10"/>
                <w:szCs w:val="10"/>
                <w:color w:val="auto"/>
              </w:rPr>
            </w:pPr>
          </w:p>
        </w:tc>
        <w:tc>
          <w:tcPr>
            <w:tcW w:w="180" w:type="dxa"/>
            <w:vAlign w:val="bottom"/>
            <w:tcBorders>
              <w:bottom w:val="single" w:sz="8" w:color="auto"/>
            </w:tcBorders>
          </w:tcPr>
          <w:p>
            <w:pPr>
              <w:spacing w:after="0"/>
              <w:rPr>
                <w:sz w:val="10"/>
                <w:szCs w:val="10"/>
                <w:color w:val="auto"/>
              </w:rPr>
            </w:pPr>
          </w:p>
        </w:tc>
        <w:tc>
          <w:tcPr>
            <w:tcW w:w="1040" w:type="dxa"/>
            <w:vAlign w:val="bottom"/>
            <w:tcBorders>
              <w:bottom w:val="single" w:sz="8" w:color="auto"/>
              <w:right w:val="single" w:sz="8" w:color="auto"/>
            </w:tcBorders>
          </w:tcPr>
          <w:p>
            <w:pPr>
              <w:spacing w:after="0"/>
              <w:rPr>
                <w:sz w:val="10"/>
                <w:szCs w:val="10"/>
                <w:color w:val="auto"/>
              </w:rPr>
            </w:pPr>
          </w:p>
        </w:tc>
        <w:tc>
          <w:tcPr>
            <w:tcW w:w="1220" w:type="dxa"/>
            <w:vAlign w:val="bottom"/>
            <w:tcBorders>
              <w:bottom w:val="single" w:sz="8" w:color="auto"/>
              <w:right w:val="single" w:sz="8" w:color="auto"/>
            </w:tcBorders>
          </w:tcPr>
          <w:p>
            <w:pPr>
              <w:spacing w:after="0"/>
              <w:rPr>
                <w:sz w:val="10"/>
                <w:szCs w:val="10"/>
                <w:color w:val="auto"/>
              </w:rPr>
            </w:pPr>
          </w:p>
        </w:tc>
        <w:tc>
          <w:tcPr>
            <w:tcW w:w="180" w:type="dxa"/>
            <w:vAlign w:val="bottom"/>
            <w:tcBorders>
              <w:bottom w:val="single" w:sz="8" w:color="auto"/>
            </w:tcBorders>
          </w:tcPr>
          <w:p>
            <w:pPr>
              <w:spacing w:after="0"/>
              <w:rPr>
                <w:sz w:val="10"/>
                <w:szCs w:val="10"/>
                <w:color w:val="auto"/>
              </w:rPr>
            </w:pPr>
          </w:p>
        </w:tc>
        <w:tc>
          <w:tcPr>
            <w:tcW w:w="1020" w:type="dxa"/>
            <w:vAlign w:val="bottom"/>
            <w:tcBorders>
              <w:bottom w:val="single" w:sz="8" w:color="auto"/>
              <w:right w:val="single" w:sz="8" w:color="auto"/>
            </w:tcBorders>
          </w:tcPr>
          <w:p>
            <w:pPr>
              <w:spacing w:after="0"/>
              <w:rPr>
                <w:sz w:val="10"/>
                <w:szCs w:val="10"/>
                <w:color w:val="auto"/>
              </w:rPr>
            </w:pPr>
          </w:p>
        </w:tc>
        <w:tc>
          <w:tcPr>
            <w:tcW w:w="1340" w:type="dxa"/>
            <w:vAlign w:val="bottom"/>
            <w:tcBorders>
              <w:bottom w:val="single" w:sz="8" w:color="auto"/>
              <w:right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1000" w:type="dxa"/>
            <w:vAlign w:val="bottom"/>
            <w:tcBorders>
              <w:bottom w:val="single" w:sz="8" w:color="auto"/>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223"/>
        </w:trPr>
        <w:tc>
          <w:tcPr>
            <w:tcW w:w="162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NAURA</w:t>
            </w:r>
          </w:p>
        </w:tc>
        <w:tc>
          <w:tcPr>
            <w:tcW w:w="12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8"/>
              </w:rPr>
              <w:t>217,699.68</w:t>
            </w:r>
          </w:p>
        </w:tc>
        <w:tc>
          <w:tcPr>
            <w:tcW w:w="140" w:type="dxa"/>
            <w:vAlign w:val="bottom"/>
            <w:tcBorders>
              <w:bottom w:val="single" w:sz="8" w:color="auto"/>
            </w:tcBorders>
          </w:tcPr>
          <w:p>
            <w:pPr>
              <w:spacing w:after="0"/>
              <w:rPr>
                <w:sz w:val="19"/>
                <w:szCs w:val="19"/>
                <w:color w:val="auto"/>
              </w:rPr>
            </w:pPr>
          </w:p>
        </w:tc>
        <w:tc>
          <w:tcPr>
            <w:tcW w:w="940" w:type="dxa"/>
            <w:vAlign w:val="bottom"/>
            <w:tcBorders>
              <w:bottom w:val="single" w:sz="8" w:color="auto"/>
              <w:right w:val="single" w:sz="8" w:color="auto"/>
            </w:tcBorders>
          </w:tcPr>
          <w:p>
            <w:pPr>
              <w:jc w:val="center"/>
              <w:ind w:right="70"/>
              <w:spacing w:after="0"/>
              <w:rPr>
                <w:sz w:val="20"/>
                <w:szCs w:val="20"/>
                <w:color w:val="auto"/>
              </w:rPr>
            </w:pPr>
            <w:r>
              <w:rPr>
                <w:rFonts w:ascii="Arial" w:cs="Arial" w:eastAsia="Arial" w:hAnsi="Arial"/>
                <w:sz w:val="18"/>
                <w:szCs w:val="18"/>
                <w:color w:val="auto"/>
                <w:w w:val="90"/>
              </w:rPr>
              <w:t>5.61%</w:t>
            </w:r>
          </w:p>
        </w:tc>
        <w:tc>
          <w:tcPr>
            <w:tcW w:w="122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405,831.29</w:t>
            </w:r>
          </w:p>
        </w:tc>
        <w:tc>
          <w:tcPr>
            <w:tcW w:w="180" w:type="dxa"/>
            <w:vAlign w:val="bottom"/>
            <w:tcBorders>
              <w:bottom w:val="single" w:sz="8" w:color="auto"/>
            </w:tcBorders>
          </w:tcPr>
          <w:p>
            <w:pPr>
              <w:spacing w:after="0"/>
              <w:rPr>
                <w:sz w:val="19"/>
                <w:szCs w:val="19"/>
                <w:color w:val="auto"/>
              </w:rPr>
            </w:pPr>
          </w:p>
        </w:tc>
        <w:tc>
          <w:tcPr>
            <w:tcW w:w="104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5.87%</w:t>
            </w:r>
          </w:p>
        </w:tc>
        <w:tc>
          <w:tcPr>
            <w:tcW w:w="122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332,385.1</w:t>
            </w:r>
          </w:p>
        </w:tc>
        <w:tc>
          <w:tcPr>
            <w:tcW w:w="180" w:type="dxa"/>
            <w:vAlign w:val="bottom"/>
            <w:tcBorders>
              <w:bottom w:val="single" w:sz="8" w:color="auto"/>
            </w:tcBorders>
          </w:tcPr>
          <w:p>
            <w:pPr>
              <w:spacing w:after="0"/>
              <w:rPr>
                <w:sz w:val="19"/>
                <w:szCs w:val="19"/>
                <w:color w:val="auto"/>
              </w:rPr>
            </w:pPr>
          </w:p>
        </w:tc>
        <w:tc>
          <w:tcPr>
            <w:tcW w:w="102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5.08%</w:t>
            </w:r>
          </w:p>
        </w:tc>
        <w:tc>
          <w:tcPr>
            <w:tcW w:w="134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222,281.9</w:t>
            </w:r>
          </w:p>
        </w:tc>
        <w:tc>
          <w:tcPr>
            <w:tcW w:w="100" w:type="dxa"/>
            <w:vAlign w:val="bottom"/>
            <w:tcBorders>
              <w:bottom w:val="single" w:sz="8" w:color="auto"/>
            </w:tcBorders>
          </w:tcPr>
          <w:p>
            <w:pPr>
              <w:spacing w:after="0"/>
              <w:rPr>
                <w:sz w:val="19"/>
                <w:szCs w:val="19"/>
                <w:color w:val="auto"/>
              </w:rPr>
            </w:pPr>
          </w:p>
        </w:tc>
        <w:tc>
          <w:tcPr>
            <w:tcW w:w="100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5.63%</w:t>
            </w:r>
          </w:p>
        </w:tc>
        <w:tc>
          <w:tcPr>
            <w:tcW w:w="0" w:type="dxa"/>
            <w:vAlign w:val="bottom"/>
          </w:tcPr>
          <w:p>
            <w:pPr>
              <w:spacing w:after="0"/>
              <w:rPr>
                <w:sz w:val="1"/>
                <w:szCs w:val="1"/>
                <w:color w:val="auto"/>
              </w:rPr>
            </w:pPr>
          </w:p>
        </w:tc>
      </w:tr>
      <w:tr>
        <w:trPr>
          <w:trHeight w:val="223"/>
        </w:trPr>
        <w:tc>
          <w:tcPr>
            <w:tcW w:w="162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AMEC</w:t>
            </w:r>
          </w:p>
        </w:tc>
        <w:tc>
          <w:tcPr>
            <w:tcW w:w="12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9"/>
              </w:rPr>
              <w:t>97,840.43</w:t>
            </w:r>
          </w:p>
        </w:tc>
        <w:tc>
          <w:tcPr>
            <w:tcW w:w="140" w:type="dxa"/>
            <w:vAlign w:val="bottom"/>
            <w:tcBorders>
              <w:bottom w:val="single" w:sz="8" w:color="auto"/>
            </w:tcBorders>
          </w:tcPr>
          <w:p>
            <w:pPr>
              <w:spacing w:after="0"/>
              <w:rPr>
                <w:sz w:val="19"/>
                <w:szCs w:val="19"/>
                <w:color w:val="auto"/>
              </w:rPr>
            </w:pPr>
          </w:p>
        </w:tc>
        <w:tc>
          <w:tcPr>
            <w:tcW w:w="940" w:type="dxa"/>
            <w:vAlign w:val="bottom"/>
            <w:tcBorders>
              <w:bottom w:val="single" w:sz="8" w:color="auto"/>
              <w:right w:val="single" w:sz="8" w:color="auto"/>
            </w:tcBorders>
          </w:tcPr>
          <w:p>
            <w:pPr>
              <w:jc w:val="center"/>
              <w:ind w:right="70"/>
              <w:spacing w:after="0"/>
              <w:rPr>
                <w:sz w:val="20"/>
                <w:szCs w:val="20"/>
                <w:color w:val="auto"/>
              </w:rPr>
            </w:pPr>
            <w:r>
              <w:rPr>
                <w:rFonts w:ascii="Arial" w:cs="Arial" w:eastAsia="Arial" w:hAnsi="Arial"/>
                <w:sz w:val="18"/>
                <w:szCs w:val="18"/>
                <w:color w:val="auto"/>
                <w:w w:val="88"/>
              </w:rPr>
              <w:t>10.18%</w:t>
            </w:r>
          </w:p>
        </w:tc>
        <w:tc>
          <w:tcPr>
            <w:tcW w:w="122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194,694.93</w:t>
            </w:r>
          </w:p>
        </w:tc>
        <w:tc>
          <w:tcPr>
            <w:tcW w:w="180" w:type="dxa"/>
            <w:vAlign w:val="bottom"/>
            <w:tcBorders>
              <w:bottom w:val="single" w:sz="8" w:color="auto"/>
            </w:tcBorders>
          </w:tcPr>
          <w:p>
            <w:pPr>
              <w:spacing w:after="0"/>
              <w:rPr>
                <w:sz w:val="19"/>
                <w:szCs w:val="19"/>
                <w:color w:val="auto"/>
              </w:rPr>
            </w:pPr>
          </w:p>
        </w:tc>
        <w:tc>
          <w:tcPr>
            <w:tcW w:w="104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10.12%</w:t>
            </w:r>
          </w:p>
        </w:tc>
        <w:tc>
          <w:tcPr>
            <w:tcW w:w="122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163,928.8</w:t>
            </w:r>
          </w:p>
        </w:tc>
        <w:tc>
          <w:tcPr>
            <w:tcW w:w="180" w:type="dxa"/>
            <w:vAlign w:val="bottom"/>
            <w:tcBorders>
              <w:bottom w:val="single" w:sz="8" w:color="auto"/>
            </w:tcBorders>
          </w:tcPr>
          <w:p>
            <w:pPr>
              <w:spacing w:after="0"/>
              <w:rPr>
                <w:sz w:val="19"/>
                <w:szCs w:val="19"/>
                <w:color w:val="auto"/>
              </w:rPr>
            </w:pPr>
          </w:p>
        </w:tc>
        <w:tc>
          <w:tcPr>
            <w:tcW w:w="102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13.21%</w:t>
            </w:r>
          </w:p>
        </w:tc>
        <w:tc>
          <w:tcPr>
            <w:tcW w:w="134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97,192.1</w:t>
            </w:r>
          </w:p>
        </w:tc>
        <w:tc>
          <w:tcPr>
            <w:tcW w:w="100" w:type="dxa"/>
            <w:vAlign w:val="bottom"/>
            <w:tcBorders>
              <w:bottom w:val="single" w:sz="8" w:color="auto"/>
            </w:tcBorders>
          </w:tcPr>
          <w:p>
            <w:pPr>
              <w:spacing w:after="0"/>
              <w:rPr>
                <w:sz w:val="19"/>
                <w:szCs w:val="19"/>
                <w:color w:val="auto"/>
              </w:rPr>
            </w:pPr>
          </w:p>
        </w:tc>
        <w:tc>
          <w:tcPr>
            <w:tcW w:w="100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16.66%</w:t>
            </w:r>
          </w:p>
        </w:tc>
        <w:tc>
          <w:tcPr>
            <w:tcW w:w="0" w:type="dxa"/>
            <w:vAlign w:val="bottom"/>
          </w:tcPr>
          <w:p>
            <w:pPr>
              <w:spacing w:after="0"/>
              <w:rPr>
                <w:sz w:val="1"/>
                <w:szCs w:val="1"/>
                <w:color w:val="auto"/>
              </w:rPr>
            </w:pPr>
          </w:p>
        </w:tc>
      </w:tr>
      <w:tr>
        <w:trPr>
          <w:trHeight w:val="223"/>
        </w:trPr>
        <w:tc>
          <w:tcPr>
            <w:tcW w:w="162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KINGSEMI</w:t>
            </w:r>
          </w:p>
        </w:tc>
        <w:tc>
          <w:tcPr>
            <w:tcW w:w="12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1"/>
              </w:rPr>
              <w:t>6,245.58</w:t>
            </w:r>
          </w:p>
        </w:tc>
        <w:tc>
          <w:tcPr>
            <w:tcW w:w="140" w:type="dxa"/>
            <w:vAlign w:val="bottom"/>
            <w:tcBorders>
              <w:bottom w:val="single" w:sz="8" w:color="auto"/>
            </w:tcBorders>
          </w:tcPr>
          <w:p>
            <w:pPr>
              <w:spacing w:after="0"/>
              <w:rPr>
                <w:sz w:val="19"/>
                <w:szCs w:val="19"/>
                <w:color w:val="auto"/>
              </w:rPr>
            </w:pPr>
          </w:p>
        </w:tc>
        <w:tc>
          <w:tcPr>
            <w:tcW w:w="940" w:type="dxa"/>
            <w:vAlign w:val="bottom"/>
            <w:tcBorders>
              <w:bottom w:val="single" w:sz="8" w:color="auto"/>
              <w:right w:val="single" w:sz="8" w:color="auto"/>
            </w:tcBorders>
          </w:tcPr>
          <w:p>
            <w:pPr>
              <w:jc w:val="center"/>
              <w:ind w:right="70"/>
              <w:spacing w:after="0"/>
              <w:rPr>
                <w:sz w:val="20"/>
                <w:szCs w:val="20"/>
                <w:color w:val="auto"/>
              </w:rPr>
            </w:pPr>
            <w:r>
              <w:rPr>
                <w:rFonts w:ascii="Arial" w:cs="Arial" w:eastAsia="Arial" w:hAnsi="Arial"/>
                <w:sz w:val="18"/>
                <w:szCs w:val="18"/>
                <w:color w:val="auto"/>
                <w:w w:val="88"/>
              </w:rPr>
              <w:t>21.91%</w:t>
            </w:r>
          </w:p>
        </w:tc>
        <w:tc>
          <w:tcPr>
            <w:tcW w:w="122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21,315.67</w:t>
            </w:r>
          </w:p>
        </w:tc>
        <w:tc>
          <w:tcPr>
            <w:tcW w:w="180" w:type="dxa"/>
            <w:vAlign w:val="bottom"/>
            <w:tcBorders>
              <w:bottom w:val="single" w:sz="8" w:color="auto"/>
            </w:tcBorders>
          </w:tcPr>
          <w:p>
            <w:pPr>
              <w:spacing w:after="0"/>
              <w:rPr>
                <w:sz w:val="19"/>
                <w:szCs w:val="19"/>
                <w:color w:val="auto"/>
              </w:rPr>
            </w:pPr>
          </w:p>
        </w:tc>
        <w:tc>
          <w:tcPr>
            <w:tcW w:w="104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9.67%</w:t>
            </w:r>
          </w:p>
        </w:tc>
        <w:tc>
          <w:tcPr>
            <w:tcW w:w="122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20,999.05</w:t>
            </w:r>
          </w:p>
        </w:tc>
        <w:tc>
          <w:tcPr>
            <w:tcW w:w="180" w:type="dxa"/>
            <w:vAlign w:val="bottom"/>
            <w:tcBorders>
              <w:bottom w:val="single" w:sz="8" w:color="auto"/>
            </w:tcBorders>
          </w:tcPr>
          <w:p>
            <w:pPr>
              <w:spacing w:after="0"/>
              <w:rPr>
                <w:sz w:val="19"/>
                <w:szCs w:val="19"/>
                <w:color w:val="auto"/>
              </w:rPr>
            </w:pPr>
          </w:p>
        </w:tc>
        <w:tc>
          <w:tcPr>
            <w:tcW w:w="102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8.24%</w:t>
            </w:r>
          </w:p>
        </w:tc>
        <w:tc>
          <w:tcPr>
            <w:tcW w:w="134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18,988.5</w:t>
            </w:r>
          </w:p>
        </w:tc>
        <w:tc>
          <w:tcPr>
            <w:tcW w:w="100" w:type="dxa"/>
            <w:vAlign w:val="bottom"/>
            <w:tcBorders>
              <w:bottom w:val="single" w:sz="8" w:color="auto"/>
            </w:tcBorders>
          </w:tcPr>
          <w:p>
            <w:pPr>
              <w:spacing w:after="0"/>
              <w:rPr>
                <w:sz w:val="19"/>
                <w:szCs w:val="19"/>
                <w:color w:val="auto"/>
              </w:rPr>
            </w:pPr>
          </w:p>
        </w:tc>
        <w:tc>
          <w:tcPr>
            <w:tcW w:w="100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10.56%</w:t>
            </w:r>
          </w:p>
        </w:tc>
        <w:tc>
          <w:tcPr>
            <w:tcW w:w="0" w:type="dxa"/>
            <w:vAlign w:val="bottom"/>
          </w:tcPr>
          <w:p>
            <w:pPr>
              <w:spacing w:after="0"/>
              <w:rPr>
                <w:sz w:val="1"/>
                <w:szCs w:val="1"/>
                <w:color w:val="auto"/>
              </w:rPr>
            </w:pPr>
          </w:p>
        </w:tc>
      </w:tr>
      <w:tr>
        <w:trPr>
          <w:trHeight w:val="223"/>
        </w:trPr>
        <w:tc>
          <w:tcPr>
            <w:tcW w:w="162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HZCCTECH</w:t>
            </w:r>
          </w:p>
        </w:tc>
        <w:tc>
          <w:tcPr>
            <w:tcW w:w="12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9"/>
              </w:rPr>
              <w:t>31,828.90</w:t>
            </w:r>
          </w:p>
        </w:tc>
        <w:tc>
          <w:tcPr>
            <w:tcW w:w="140" w:type="dxa"/>
            <w:vAlign w:val="bottom"/>
            <w:tcBorders>
              <w:bottom w:val="single" w:sz="8" w:color="auto"/>
            </w:tcBorders>
          </w:tcPr>
          <w:p>
            <w:pPr>
              <w:spacing w:after="0"/>
              <w:rPr>
                <w:sz w:val="19"/>
                <w:szCs w:val="19"/>
                <w:color w:val="auto"/>
              </w:rPr>
            </w:pPr>
          </w:p>
        </w:tc>
        <w:tc>
          <w:tcPr>
            <w:tcW w:w="940" w:type="dxa"/>
            <w:vAlign w:val="bottom"/>
            <w:tcBorders>
              <w:bottom w:val="single" w:sz="8" w:color="auto"/>
              <w:right w:val="single" w:sz="8" w:color="auto"/>
            </w:tcBorders>
          </w:tcPr>
          <w:p>
            <w:pPr>
              <w:jc w:val="center"/>
              <w:ind w:right="70"/>
              <w:spacing w:after="0"/>
              <w:rPr>
                <w:sz w:val="20"/>
                <w:szCs w:val="20"/>
                <w:color w:val="auto"/>
              </w:rPr>
            </w:pPr>
            <w:r>
              <w:rPr>
                <w:rFonts w:ascii="Arial" w:cs="Arial" w:eastAsia="Arial" w:hAnsi="Arial"/>
                <w:sz w:val="18"/>
                <w:szCs w:val="18"/>
                <w:color w:val="auto"/>
                <w:w w:val="88"/>
              </w:rPr>
              <w:t>13.18%</w:t>
            </w:r>
          </w:p>
        </w:tc>
        <w:tc>
          <w:tcPr>
            <w:tcW w:w="122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39,883.41</w:t>
            </w:r>
          </w:p>
        </w:tc>
        <w:tc>
          <w:tcPr>
            <w:tcW w:w="180" w:type="dxa"/>
            <w:vAlign w:val="bottom"/>
            <w:tcBorders>
              <w:bottom w:val="single" w:sz="8" w:color="auto"/>
            </w:tcBorders>
          </w:tcPr>
          <w:p>
            <w:pPr>
              <w:spacing w:after="0"/>
              <w:rPr>
                <w:sz w:val="19"/>
                <w:szCs w:val="19"/>
                <w:color w:val="auto"/>
              </w:rPr>
            </w:pPr>
          </w:p>
        </w:tc>
        <w:tc>
          <w:tcPr>
            <w:tcW w:w="104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13.59%</w:t>
            </w:r>
          </w:p>
        </w:tc>
        <w:tc>
          <w:tcPr>
            <w:tcW w:w="122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21,612.15</w:t>
            </w:r>
          </w:p>
        </w:tc>
        <w:tc>
          <w:tcPr>
            <w:tcW w:w="180" w:type="dxa"/>
            <w:vAlign w:val="bottom"/>
            <w:tcBorders>
              <w:bottom w:val="single" w:sz="8" w:color="auto"/>
            </w:tcBorders>
          </w:tcPr>
          <w:p>
            <w:pPr>
              <w:spacing w:after="0"/>
              <w:rPr>
                <w:sz w:val="19"/>
                <w:szCs w:val="19"/>
                <w:color w:val="auto"/>
              </w:rPr>
            </w:pPr>
          </w:p>
        </w:tc>
        <w:tc>
          <w:tcPr>
            <w:tcW w:w="102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14.40%</w:t>
            </w:r>
          </w:p>
        </w:tc>
        <w:tc>
          <w:tcPr>
            <w:tcW w:w="134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17,979.5</w:t>
            </w:r>
          </w:p>
        </w:tc>
        <w:tc>
          <w:tcPr>
            <w:tcW w:w="100" w:type="dxa"/>
            <w:vAlign w:val="bottom"/>
            <w:tcBorders>
              <w:bottom w:val="single" w:sz="8" w:color="auto"/>
            </w:tcBorders>
          </w:tcPr>
          <w:p>
            <w:pPr>
              <w:spacing w:after="0"/>
              <w:rPr>
                <w:sz w:val="19"/>
                <w:szCs w:val="19"/>
                <w:color w:val="auto"/>
              </w:rPr>
            </w:pPr>
          </w:p>
        </w:tc>
        <w:tc>
          <w:tcPr>
            <w:tcW w:w="100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10.25%</w:t>
            </w:r>
          </w:p>
        </w:tc>
        <w:tc>
          <w:tcPr>
            <w:tcW w:w="0" w:type="dxa"/>
            <w:vAlign w:val="bottom"/>
          </w:tcPr>
          <w:p>
            <w:pPr>
              <w:spacing w:after="0"/>
              <w:rPr>
                <w:sz w:val="1"/>
                <w:szCs w:val="1"/>
                <w:color w:val="auto"/>
              </w:rPr>
            </w:pPr>
          </w:p>
        </w:tc>
      </w:tr>
      <w:tr>
        <w:trPr>
          <w:trHeight w:val="223"/>
        </w:trPr>
        <w:tc>
          <w:tcPr>
            <w:tcW w:w="162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90"/>
              </w:rPr>
              <w:t>Mean value</w:t>
            </w:r>
          </w:p>
        </w:tc>
        <w:tc>
          <w:tcPr>
            <w:tcW w:w="12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88,403.65</w:t>
            </w:r>
          </w:p>
        </w:tc>
        <w:tc>
          <w:tcPr>
            <w:tcW w:w="140" w:type="dxa"/>
            <w:vAlign w:val="bottom"/>
            <w:tcBorders>
              <w:bottom w:val="single" w:sz="8" w:color="auto"/>
            </w:tcBorders>
          </w:tcPr>
          <w:p>
            <w:pPr>
              <w:spacing w:after="0"/>
              <w:rPr>
                <w:sz w:val="19"/>
                <w:szCs w:val="19"/>
                <w:color w:val="auto"/>
              </w:rPr>
            </w:pPr>
          </w:p>
        </w:tc>
        <w:tc>
          <w:tcPr>
            <w:tcW w:w="940" w:type="dxa"/>
            <w:vAlign w:val="bottom"/>
            <w:tcBorders>
              <w:bottom w:val="single" w:sz="8" w:color="auto"/>
              <w:right w:val="single" w:sz="8" w:color="auto"/>
            </w:tcBorders>
          </w:tcPr>
          <w:p>
            <w:pPr>
              <w:jc w:val="center"/>
              <w:ind w:right="70"/>
              <w:spacing w:after="0"/>
              <w:rPr>
                <w:sz w:val="20"/>
                <w:szCs w:val="20"/>
                <w:color w:val="auto"/>
              </w:rPr>
            </w:pPr>
            <w:r>
              <w:rPr>
                <w:rFonts w:ascii="Arial" w:cs="Arial" w:eastAsia="Arial" w:hAnsi="Arial"/>
                <w:sz w:val="18"/>
                <w:szCs w:val="18"/>
                <w:b w:val="1"/>
                <w:bCs w:val="1"/>
                <w:color w:val="auto"/>
                <w:w w:val="97"/>
              </w:rPr>
              <w:t>12.7%</w:t>
            </w:r>
          </w:p>
        </w:tc>
        <w:tc>
          <w:tcPr>
            <w:tcW w:w="122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b w:val="1"/>
                <w:bCs w:val="1"/>
                <w:color w:val="auto"/>
              </w:rPr>
              <w:t>165,431.32</w:t>
            </w:r>
          </w:p>
        </w:tc>
        <w:tc>
          <w:tcPr>
            <w:tcW w:w="180" w:type="dxa"/>
            <w:vAlign w:val="bottom"/>
            <w:tcBorders>
              <w:bottom w:val="single" w:sz="8" w:color="auto"/>
            </w:tcBorders>
          </w:tcPr>
          <w:p>
            <w:pPr>
              <w:spacing w:after="0"/>
              <w:rPr>
                <w:sz w:val="19"/>
                <w:szCs w:val="19"/>
                <w:color w:val="auto"/>
              </w:rPr>
            </w:pPr>
          </w:p>
        </w:tc>
        <w:tc>
          <w:tcPr>
            <w:tcW w:w="104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b w:val="1"/>
                <w:bCs w:val="1"/>
                <w:color w:val="auto"/>
              </w:rPr>
              <w:t>9.81%</w:t>
            </w:r>
          </w:p>
        </w:tc>
        <w:tc>
          <w:tcPr>
            <w:tcW w:w="122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b w:val="1"/>
                <w:bCs w:val="1"/>
                <w:color w:val="auto"/>
              </w:rPr>
              <w:t>134,731.3</w:t>
            </w:r>
          </w:p>
        </w:tc>
        <w:tc>
          <w:tcPr>
            <w:tcW w:w="180" w:type="dxa"/>
            <w:vAlign w:val="bottom"/>
            <w:tcBorders>
              <w:bottom w:val="single" w:sz="8" w:color="auto"/>
            </w:tcBorders>
          </w:tcPr>
          <w:p>
            <w:pPr>
              <w:spacing w:after="0"/>
              <w:rPr>
                <w:sz w:val="19"/>
                <w:szCs w:val="19"/>
                <w:color w:val="auto"/>
              </w:rPr>
            </w:pPr>
          </w:p>
        </w:tc>
        <w:tc>
          <w:tcPr>
            <w:tcW w:w="102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b w:val="1"/>
                <w:bCs w:val="1"/>
                <w:color w:val="auto"/>
              </w:rPr>
              <w:t>10.23%</w:t>
            </w:r>
          </w:p>
        </w:tc>
        <w:tc>
          <w:tcPr>
            <w:tcW w:w="134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b w:val="1"/>
                <w:bCs w:val="1"/>
                <w:color w:val="auto"/>
              </w:rPr>
              <w:t>89,110.5</w:t>
            </w:r>
          </w:p>
        </w:tc>
        <w:tc>
          <w:tcPr>
            <w:tcW w:w="100" w:type="dxa"/>
            <w:vAlign w:val="bottom"/>
            <w:tcBorders>
              <w:bottom w:val="single" w:sz="8" w:color="auto"/>
            </w:tcBorders>
          </w:tcPr>
          <w:p>
            <w:pPr>
              <w:spacing w:after="0"/>
              <w:rPr>
                <w:sz w:val="19"/>
                <w:szCs w:val="19"/>
                <w:color w:val="auto"/>
              </w:rPr>
            </w:pPr>
          </w:p>
        </w:tc>
        <w:tc>
          <w:tcPr>
            <w:tcW w:w="100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b w:val="1"/>
                <w:bCs w:val="1"/>
                <w:color w:val="auto"/>
              </w:rPr>
              <w:t>10.77%</w:t>
            </w:r>
          </w:p>
        </w:tc>
        <w:tc>
          <w:tcPr>
            <w:tcW w:w="0" w:type="dxa"/>
            <w:vAlign w:val="bottom"/>
          </w:tcPr>
          <w:p>
            <w:pPr>
              <w:spacing w:after="0"/>
              <w:rPr>
                <w:sz w:val="1"/>
                <w:szCs w:val="1"/>
                <w:color w:val="auto"/>
              </w:rPr>
            </w:pPr>
          </w:p>
        </w:tc>
      </w:tr>
      <w:tr>
        <w:trPr>
          <w:trHeight w:val="223"/>
        </w:trPr>
        <w:tc>
          <w:tcPr>
            <w:tcW w:w="162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rPr>
              <w:t>ACMSH</w:t>
            </w:r>
          </w:p>
        </w:tc>
        <w:tc>
          <w:tcPr>
            <w:tcW w:w="12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35,555.41</w:t>
            </w:r>
          </w:p>
        </w:tc>
        <w:tc>
          <w:tcPr>
            <w:tcW w:w="140" w:type="dxa"/>
            <w:vAlign w:val="bottom"/>
            <w:tcBorders>
              <w:bottom w:val="single" w:sz="8" w:color="auto"/>
            </w:tcBorders>
          </w:tcPr>
          <w:p>
            <w:pPr>
              <w:spacing w:after="0"/>
              <w:rPr>
                <w:sz w:val="19"/>
                <w:szCs w:val="19"/>
                <w:color w:val="auto"/>
              </w:rPr>
            </w:pPr>
          </w:p>
        </w:tc>
        <w:tc>
          <w:tcPr>
            <w:tcW w:w="940" w:type="dxa"/>
            <w:vAlign w:val="bottom"/>
            <w:tcBorders>
              <w:bottom w:val="single" w:sz="8" w:color="auto"/>
              <w:right w:val="single" w:sz="8" w:color="auto"/>
            </w:tcBorders>
          </w:tcPr>
          <w:p>
            <w:pPr>
              <w:jc w:val="center"/>
              <w:ind w:right="70"/>
              <w:spacing w:after="0"/>
              <w:rPr>
                <w:sz w:val="20"/>
                <w:szCs w:val="20"/>
                <w:color w:val="auto"/>
              </w:rPr>
            </w:pPr>
            <w:r>
              <w:rPr>
                <w:rFonts w:ascii="Arial" w:cs="Arial" w:eastAsia="Arial" w:hAnsi="Arial"/>
                <w:sz w:val="18"/>
                <w:szCs w:val="18"/>
                <w:b w:val="1"/>
                <w:bCs w:val="1"/>
                <w:color w:val="auto"/>
                <w:w w:val="94"/>
              </w:rPr>
              <w:t>11.96%</w:t>
            </w:r>
          </w:p>
        </w:tc>
        <w:tc>
          <w:tcPr>
            <w:tcW w:w="122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b w:val="1"/>
                <w:bCs w:val="1"/>
                <w:color w:val="auto"/>
              </w:rPr>
              <w:t>75,673.30</w:t>
            </w:r>
          </w:p>
        </w:tc>
        <w:tc>
          <w:tcPr>
            <w:tcW w:w="180" w:type="dxa"/>
            <w:vAlign w:val="bottom"/>
            <w:tcBorders>
              <w:bottom w:val="single" w:sz="8" w:color="auto"/>
            </w:tcBorders>
          </w:tcPr>
          <w:p>
            <w:pPr>
              <w:spacing w:after="0"/>
              <w:rPr>
                <w:sz w:val="19"/>
                <w:szCs w:val="19"/>
                <w:color w:val="auto"/>
              </w:rPr>
            </w:pPr>
          </w:p>
        </w:tc>
        <w:tc>
          <w:tcPr>
            <w:tcW w:w="104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b w:val="1"/>
                <w:bCs w:val="1"/>
                <w:color w:val="auto"/>
              </w:rPr>
              <w:t>11.20%</w:t>
            </w:r>
          </w:p>
        </w:tc>
        <w:tc>
          <w:tcPr>
            <w:tcW w:w="122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b w:val="1"/>
                <w:bCs w:val="1"/>
                <w:color w:val="auto"/>
              </w:rPr>
              <w:t>55,026.91</w:t>
            </w:r>
          </w:p>
        </w:tc>
        <w:tc>
          <w:tcPr>
            <w:tcW w:w="180" w:type="dxa"/>
            <w:vAlign w:val="bottom"/>
            <w:tcBorders>
              <w:bottom w:val="single" w:sz="8" w:color="auto"/>
            </w:tcBorders>
          </w:tcPr>
          <w:p>
            <w:pPr>
              <w:spacing w:after="0"/>
              <w:rPr>
                <w:sz w:val="19"/>
                <w:szCs w:val="19"/>
                <w:color w:val="auto"/>
              </w:rPr>
            </w:pPr>
          </w:p>
        </w:tc>
        <w:tc>
          <w:tcPr>
            <w:tcW w:w="102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b w:val="1"/>
                <w:bCs w:val="1"/>
                <w:color w:val="auto"/>
              </w:rPr>
              <w:t>10.91%</w:t>
            </w:r>
          </w:p>
        </w:tc>
        <w:tc>
          <w:tcPr>
            <w:tcW w:w="134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b w:val="1"/>
                <w:bCs w:val="1"/>
                <w:color w:val="auto"/>
              </w:rPr>
              <w:t>25,358.7</w:t>
            </w:r>
          </w:p>
        </w:tc>
        <w:tc>
          <w:tcPr>
            <w:tcW w:w="100" w:type="dxa"/>
            <w:vAlign w:val="bottom"/>
            <w:tcBorders>
              <w:bottom w:val="single" w:sz="8" w:color="auto"/>
            </w:tcBorders>
          </w:tcPr>
          <w:p>
            <w:pPr>
              <w:spacing w:after="0"/>
              <w:rPr>
                <w:sz w:val="19"/>
                <w:szCs w:val="19"/>
                <w:color w:val="auto"/>
              </w:rPr>
            </w:pPr>
          </w:p>
        </w:tc>
        <w:tc>
          <w:tcPr>
            <w:tcW w:w="100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b w:val="1"/>
                <w:bCs w:val="1"/>
                <w:color w:val="auto"/>
              </w:rPr>
              <w:t>17.15%</w:t>
            </w:r>
          </w:p>
        </w:tc>
        <w:tc>
          <w:tcPr>
            <w:tcW w:w="0" w:type="dxa"/>
            <w:vAlign w:val="bottom"/>
          </w:tcPr>
          <w:p>
            <w:pPr>
              <w:spacing w:after="0"/>
              <w:rPr>
                <w:sz w:val="1"/>
                <w:szCs w:val="1"/>
                <w:color w:val="auto"/>
              </w:rPr>
            </w:pPr>
          </w:p>
        </w:tc>
      </w:tr>
    </w:tbl>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Remark: The above information for the third-party listed companies is based on publicly disclosed data of those companies.</w:t>
      </w:r>
    </w:p>
    <w:p>
      <w:pPr>
        <w:spacing w:after="0" w:line="252"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It can be seen from the above table that the Company principally adopts the agent role and that its ratio of expenses to sales is comparable to those of other medium- and small-sized companies in the semiconductor equipment industry that similarly adopt self-established agent teams, confirming the reasonableness of the Company’s expense-to-sales ratio.</w:t>
      </w:r>
    </w:p>
    <w:p>
      <w:pPr>
        <w:spacing w:after="0" w:line="207" w:lineRule="exact"/>
        <w:rPr>
          <w:sz w:val="20"/>
          <w:szCs w:val="20"/>
          <w:color w:val="auto"/>
        </w:rPr>
      </w:pPr>
    </w:p>
    <w:p>
      <w:pPr>
        <w:ind w:right="20" w:firstLine="656"/>
        <w:spacing w:after="0" w:line="282" w:lineRule="auto"/>
        <w:tabs>
          <w:tab w:leader="none" w:pos="970" w:val="left"/>
        </w:tabs>
        <w:numPr>
          <w:ilvl w:val="0"/>
          <w:numId w:val="17"/>
        </w:numPr>
        <w:rPr>
          <w:rFonts w:ascii="Arial" w:cs="Arial" w:eastAsia="Arial" w:hAnsi="Arial"/>
          <w:sz w:val="18"/>
          <w:szCs w:val="18"/>
          <w:b w:val="1"/>
          <w:bCs w:val="1"/>
          <w:color w:val="auto"/>
        </w:rPr>
      </w:pPr>
      <w:r>
        <w:rPr>
          <w:rFonts w:ascii="Arial" w:cs="Arial" w:eastAsia="Arial" w:hAnsi="Arial"/>
          <w:sz w:val="18"/>
          <w:szCs w:val="18"/>
          <w:b w:val="1"/>
          <w:bCs w:val="1"/>
          <w:color w:val="auto"/>
        </w:rPr>
        <w:t>Business nature, authenticity, service contents and service effect of services provided by agents and internal control flow of agents in sales revenue process</w:t>
      </w:r>
    </w:p>
    <w:p>
      <w:pPr>
        <w:spacing w:after="0" w:line="19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1. Business nature and service contents of agents</w:t>
      </w:r>
    </w:p>
    <w:p>
      <w:pPr>
        <w:spacing w:after="0" w:line="252"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In terms of the nature of business services provided by agents, the agents provide intermediate service to establish the trust and business relationship between the Company and semiconductor manufacturers. In the early stage of market development, the agents mainly communicate with technical, equipment and engineering departments of customers in order to help customers accept the Company’s products at the technical level, to win opportunities for an initial product of the Company to be tested on a production line, and to complete the authentication of the Company’s products in a cooperative manner. Unlike dealers, the agents generally do not participate in negotiation with customers on pricing, delivery terms or other specific purchasing terms or assume responsibility for negotiating with purchasing departments of customers. Those purchasing departments instead negotiate pricing and other terms directly with sales personnel of the Company.</w:t>
      </w:r>
    </w:p>
    <w:p>
      <w:pPr>
        <w:spacing w:after="0" w:line="37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8-4-1-24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8" w:name="page29"/>
    <w:bookmarkEnd w:id="28"/>
    <w:p>
      <w:pPr>
        <w:ind w:left="660"/>
        <w:spacing w:after="0"/>
        <w:rPr>
          <w:sz w:val="20"/>
          <w:szCs w:val="20"/>
          <w:color w:val="auto"/>
        </w:rPr>
      </w:pPr>
      <w:r>
        <w:rPr>
          <w:rFonts w:ascii="Arial" w:cs="Arial" w:eastAsia="Arial" w:hAnsi="Arial"/>
          <w:sz w:val="18"/>
          <w:szCs w:val="18"/>
          <w:color w:val="auto"/>
        </w:rPr>
        <w:t>After introducing products to customers successfully, the agents have principal obligations, work contents and constraints as follows:</w:t>
      </w:r>
    </w:p>
    <w:p>
      <w:pPr>
        <w:spacing w:after="0" w:line="252" w:lineRule="exact"/>
        <w:rPr>
          <w:sz w:val="20"/>
          <w:szCs w:val="20"/>
          <w:color w:val="auto"/>
        </w:rPr>
      </w:pPr>
    </w:p>
    <w:p>
      <w:pPr>
        <w:ind w:left="920" w:hanging="264"/>
        <w:spacing w:after="0"/>
        <w:tabs>
          <w:tab w:leader="none" w:pos="9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to identify future market demands of customers, as well as new features and key deciders of major competing companies;</w:t>
      </w:r>
    </w:p>
    <w:p>
      <w:pPr>
        <w:spacing w:after="0" w:line="252" w:lineRule="exact"/>
        <w:rPr>
          <w:rFonts w:ascii="Arial" w:cs="Arial" w:eastAsia="Arial" w:hAnsi="Arial"/>
          <w:sz w:val="18"/>
          <w:szCs w:val="18"/>
          <w:color w:val="auto"/>
        </w:rPr>
      </w:pPr>
    </w:p>
    <w:p>
      <w:pPr>
        <w:ind w:left="920" w:hanging="264"/>
        <w:spacing w:after="0"/>
        <w:tabs>
          <w:tab w:leader="none" w:pos="9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to judge the authenticity of customer demands, and to verify that customers are fully funded in production expansion;</w:t>
      </w:r>
    </w:p>
    <w:p>
      <w:pPr>
        <w:spacing w:after="0" w:line="252" w:lineRule="exact"/>
        <w:rPr>
          <w:rFonts w:ascii="Arial" w:cs="Arial" w:eastAsia="Arial" w:hAnsi="Arial"/>
          <w:sz w:val="18"/>
          <w:szCs w:val="18"/>
          <w:color w:val="auto"/>
        </w:rPr>
      </w:pPr>
    </w:p>
    <w:p>
      <w:pPr>
        <w:ind w:left="920" w:hanging="264"/>
        <w:spacing w:after="0"/>
        <w:tabs>
          <w:tab w:leader="none" w:pos="9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to assist in solving any problems appearing in the communication process;</w:t>
      </w:r>
    </w:p>
    <w:p>
      <w:pPr>
        <w:spacing w:after="0" w:line="252" w:lineRule="exact"/>
        <w:rPr>
          <w:rFonts w:ascii="Arial" w:cs="Arial" w:eastAsia="Arial" w:hAnsi="Arial"/>
          <w:sz w:val="18"/>
          <w:szCs w:val="18"/>
          <w:color w:val="auto"/>
        </w:rPr>
      </w:pPr>
    </w:p>
    <w:p>
      <w:pPr>
        <w:ind w:left="920" w:hanging="264"/>
        <w:spacing w:after="0"/>
        <w:tabs>
          <w:tab w:leader="none" w:pos="9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to assist the Company in completing an annual sales plan;</w:t>
      </w:r>
    </w:p>
    <w:p>
      <w:pPr>
        <w:spacing w:after="0" w:line="252" w:lineRule="exact"/>
        <w:rPr>
          <w:rFonts w:ascii="Arial" w:cs="Arial" w:eastAsia="Arial" w:hAnsi="Arial"/>
          <w:sz w:val="18"/>
          <w:szCs w:val="18"/>
          <w:color w:val="auto"/>
        </w:rPr>
      </w:pPr>
    </w:p>
    <w:p>
      <w:pPr>
        <w:ind w:left="920" w:hanging="264"/>
        <w:spacing w:after="0"/>
        <w:tabs>
          <w:tab w:leader="none" w:pos="9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not to sign any agency or subrepresentative agreement without the prior written permission of the Issuer;</w:t>
      </w:r>
    </w:p>
    <w:p>
      <w:pPr>
        <w:spacing w:after="0" w:line="252" w:lineRule="exact"/>
        <w:rPr>
          <w:rFonts w:ascii="Arial" w:cs="Arial" w:eastAsia="Arial" w:hAnsi="Arial"/>
          <w:sz w:val="18"/>
          <w:szCs w:val="18"/>
          <w:color w:val="auto"/>
        </w:rPr>
      </w:pPr>
    </w:p>
    <w:p>
      <w:pPr>
        <w:ind w:left="920" w:hanging="264"/>
        <w:spacing w:after="0"/>
        <w:tabs>
          <w:tab w:leader="none" w:pos="920" w:val="left"/>
        </w:tabs>
        <w:numPr>
          <w:ilvl w:val="0"/>
          <w:numId w:val="18"/>
        </w:numPr>
        <w:rPr>
          <w:rFonts w:ascii="Arial" w:cs="Arial" w:eastAsia="Arial" w:hAnsi="Arial"/>
          <w:sz w:val="16"/>
          <w:szCs w:val="16"/>
          <w:color w:val="auto"/>
        </w:rPr>
      </w:pPr>
      <w:r>
        <w:rPr>
          <w:rFonts w:ascii="Arial" w:cs="Arial" w:eastAsia="Arial" w:hAnsi="Arial"/>
          <w:sz w:val="16"/>
          <w:szCs w:val="16"/>
          <w:color w:val="auto"/>
        </w:rPr>
        <w:t>not to carry out sales or other marketing activities for other related products in areas that are not agreed upon in sales agency agreements;</w:t>
      </w:r>
    </w:p>
    <w:p>
      <w:pPr>
        <w:spacing w:after="0" w:line="275" w:lineRule="exact"/>
        <w:rPr>
          <w:rFonts w:ascii="Arial" w:cs="Arial" w:eastAsia="Arial" w:hAnsi="Arial"/>
          <w:sz w:val="16"/>
          <w:szCs w:val="16"/>
          <w:color w:val="auto"/>
        </w:rPr>
      </w:pPr>
    </w:p>
    <w:p>
      <w:pPr>
        <w:ind w:left="920" w:hanging="264"/>
        <w:spacing w:after="0"/>
        <w:tabs>
          <w:tab w:leader="none" w:pos="920" w:val="left"/>
        </w:tabs>
        <w:numPr>
          <w:ilvl w:val="0"/>
          <w:numId w:val="18"/>
        </w:numPr>
        <w:rPr>
          <w:rFonts w:ascii="Arial" w:cs="Arial" w:eastAsia="Arial" w:hAnsi="Arial"/>
          <w:sz w:val="17"/>
          <w:szCs w:val="17"/>
          <w:color w:val="auto"/>
        </w:rPr>
      </w:pPr>
      <w:r>
        <w:rPr>
          <w:rFonts w:ascii="Arial" w:cs="Arial" w:eastAsia="Arial" w:hAnsi="Arial"/>
          <w:sz w:val="17"/>
          <w:szCs w:val="17"/>
          <w:color w:val="auto"/>
        </w:rPr>
        <w:t>not to use any trademark or trade name of the Issuer, or to attempt to acquire any right thereto, without the prior written permission of the</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Issuer;</w:t>
      </w:r>
    </w:p>
    <w:p>
      <w:pPr>
        <w:spacing w:after="0" w:line="238" w:lineRule="exact"/>
        <w:rPr>
          <w:sz w:val="20"/>
          <w:szCs w:val="20"/>
          <w:color w:val="auto"/>
        </w:rPr>
      </w:pPr>
    </w:p>
    <w:p>
      <w:pPr>
        <w:ind w:right="20" w:firstLine="656"/>
        <w:spacing w:after="0" w:line="342" w:lineRule="auto"/>
        <w:tabs>
          <w:tab w:leader="none" w:pos="909" w:val="left"/>
        </w:tabs>
        <w:numPr>
          <w:ilvl w:val="0"/>
          <w:numId w:val="19"/>
        </w:numPr>
        <w:rPr>
          <w:rFonts w:ascii="Arial" w:cs="Arial" w:eastAsia="Arial" w:hAnsi="Arial"/>
          <w:sz w:val="16"/>
          <w:szCs w:val="16"/>
          <w:color w:val="auto"/>
        </w:rPr>
      </w:pPr>
      <w:r>
        <w:rPr>
          <w:rFonts w:ascii="Arial" w:cs="Arial" w:eastAsia="Arial" w:hAnsi="Arial"/>
          <w:sz w:val="16"/>
          <w:szCs w:val="16"/>
          <w:color w:val="auto"/>
        </w:rPr>
        <w:t>not to directly or indirectly sell or distribute any equipment that, in the view of the Issuer, competes with the related agency sales products, or to hold any positions such as shareholders, senior managers, directors, personnel, agents or partners for the manufacturer of any such equipment;</w:t>
      </w:r>
    </w:p>
    <w:p>
      <w:pPr>
        <w:spacing w:after="0" w:line="150" w:lineRule="exact"/>
        <w:rPr>
          <w:rFonts w:ascii="Arial" w:cs="Arial" w:eastAsia="Arial" w:hAnsi="Arial"/>
          <w:sz w:val="16"/>
          <w:szCs w:val="16"/>
          <w:color w:val="auto"/>
        </w:rPr>
      </w:pPr>
    </w:p>
    <w:p>
      <w:pPr>
        <w:jc w:val="both"/>
        <w:ind w:firstLine="656"/>
        <w:spacing w:after="0" w:line="263" w:lineRule="auto"/>
        <w:tabs>
          <w:tab w:leader="none" w:pos="922" w:val="left"/>
        </w:tabs>
        <w:numPr>
          <w:ilvl w:val="0"/>
          <w:numId w:val="19"/>
        </w:numPr>
        <w:rPr>
          <w:rFonts w:ascii="Arial" w:cs="Arial" w:eastAsia="Arial" w:hAnsi="Arial"/>
          <w:sz w:val="18"/>
          <w:szCs w:val="18"/>
          <w:color w:val="auto"/>
        </w:rPr>
      </w:pPr>
      <w:r>
        <w:rPr>
          <w:rFonts w:ascii="Arial" w:cs="Arial" w:eastAsia="Arial" w:hAnsi="Arial"/>
          <w:sz w:val="18"/>
          <w:szCs w:val="18"/>
          <w:color w:val="auto"/>
        </w:rPr>
        <w:t>not to disclose, provide or use any exclusive information for any other purpose expect for selling related agency sales products, no matter whether sales agency agreements on related contents are terminated or expired, and to take reasonable security measures to prevent unauthorized people from taking any proprietary information of the Issuer;</w:t>
      </w:r>
    </w:p>
    <w:p>
      <w:pPr>
        <w:spacing w:after="0" w:line="210" w:lineRule="exact"/>
        <w:rPr>
          <w:rFonts w:ascii="Arial" w:cs="Arial" w:eastAsia="Arial" w:hAnsi="Arial"/>
          <w:sz w:val="18"/>
          <w:szCs w:val="18"/>
          <w:color w:val="auto"/>
        </w:rPr>
      </w:pPr>
    </w:p>
    <w:p>
      <w:pPr>
        <w:jc w:val="both"/>
        <w:ind w:firstLine="656"/>
        <w:spacing w:after="0" w:line="286" w:lineRule="auto"/>
        <w:tabs>
          <w:tab w:leader="none" w:pos="1018" w:val="left"/>
        </w:tabs>
        <w:numPr>
          <w:ilvl w:val="0"/>
          <w:numId w:val="19"/>
        </w:numPr>
        <w:rPr>
          <w:rFonts w:ascii="Arial" w:cs="Arial" w:eastAsia="Arial" w:hAnsi="Arial"/>
          <w:sz w:val="17"/>
          <w:szCs w:val="17"/>
          <w:color w:val="auto"/>
        </w:rPr>
      </w:pPr>
      <w:r>
        <w:rPr>
          <w:rFonts w:ascii="Arial" w:cs="Arial" w:eastAsia="Arial" w:hAnsi="Arial"/>
          <w:sz w:val="17"/>
          <w:szCs w:val="17"/>
          <w:color w:val="auto"/>
        </w:rPr>
        <w:t>not to manufacture or to assist in designing, developing or manufacturing any equipment similar to or the same as related agency sales products within the valid period of related sales agency agreements and within a certain period after termination of the related sales agency agreements, whether directly or through related parties or in cooperation with others and whether for the purpose of benefiting themselves or others;</w:t>
      </w:r>
    </w:p>
    <w:p>
      <w:pPr>
        <w:spacing w:after="0" w:line="192" w:lineRule="exact"/>
        <w:rPr>
          <w:rFonts w:ascii="Arial" w:cs="Arial" w:eastAsia="Arial" w:hAnsi="Arial"/>
          <w:sz w:val="17"/>
          <w:szCs w:val="17"/>
          <w:color w:val="auto"/>
        </w:rPr>
      </w:pPr>
    </w:p>
    <w:p>
      <w:pPr>
        <w:ind w:right="20" w:firstLine="656"/>
        <w:spacing w:after="0" w:line="277" w:lineRule="auto"/>
        <w:tabs>
          <w:tab w:leader="none" w:pos="1002" w:val="left"/>
        </w:tabs>
        <w:numPr>
          <w:ilvl w:val="0"/>
          <w:numId w:val="19"/>
        </w:numPr>
        <w:rPr>
          <w:rFonts w:ascii="Arial" w:cs="Arial" w:eastAsia="Arial" w:hAnsi="Arial"/>
          <w:sz w:val="18"/>
          <w:szCs w:val="18"/>
          <w:color w:val="auto"/>
        </w:rPr>
      </w:pPr>
      <w:r>
        <w:rPr>
          <w:rFonts w:ascii="Arial" w:cs="Arial" w:eastAsia="Arial" w:hAnsi="Arial"/>
          <w:sz w:val="18"/>
          <w:szCs w:val="18"/>
          <w:color w:val="auto"/>
        </w:rPr>
        <w:t>to comply with all applicable laws and regulations that shall be complied with during sales of related agency sales products, to frequently inform the Issuer of the sales terms of the related agency sales products in written form;</w:t>
      </w:r>
    </w:p>
    <w:p>
      <w:pPr>
        <w:spacing w:after="0" w:line="197" w:lineRule="exact"/>
        <w:rPr>
          <w:rFonts w:ascii="Arial" w:cs="Arial" w:eastAsia="Arial" w:hAnsi="Arial"/>
          <w:sz w:val="18"/>
          <w:szCs w:val="18"/>
          <w:color w:val="auto"/>
        </w:rPr>
      </w:pPr>
    </w:p>
    <w:p>
      <w:pPr>
        <w:ind w:left="1000" w:hanging="344"/>
        <w:spacing w:after="0"/>
        <w:tabs>
          <w:tab w:leader="none" w:pos="10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to inform third parties of the limitation of the authorization of the agents under the related sales agency agreements; and</w:t>
      </w:r>
    </w:p>
    <w:p>
      <w:pPr>
        <w:spacing w:after="0" w:line="252" w:lineRule="exact"/>
        <w:rPr>
          <w:rFonts w:ascii="Arial" w:cs="Arial" w:eastAsia="Arial" w:hAnsi="Arial"/>
          <w:sz w:val="18"/>
          <w:szCs w:val="18"/>
          <w:color w:val="auto"/>
        </w:rPr>
      </w:pPr>
    </w:p>
    <w:p>
      <w:pPr>
        <w:ind w:firstLine="656"/>
        <w:spacing w:after="0" w:line="277" w:lineRule="auto"/>
        <w:tabs>
          <w:tab w:leader="none" w:pos="996" w:val="left"/>
        </w:tabs>
        <w:numPr>
          <w:ilvl w:val="0"/>
          <w:numId w:val="19"/>
        </w:numPr>
        <w:rPr>
          <w:rFonts w:ascii="Arial" w:cs="Arial" w:eastAsia="Arial" w:hAnsi="Arial"/>
          <w:sz w:val="18"/>
          <w:szCs w:val="18"/>
          <w:color w:val="auto"/>
        </w:rPr>
      </w:pPr>
      <w:r>
        <w:rPr>
          <w:rFonts w:ascii="Arial" w:cs="Arial" w:eastAsia="Arial" w:hAnsi="Arial"/>
          <w:sz w:val="18"/>
          <w:szCs w:val="18"/>
          <w:color w:val="auto"/>
        </w:rPr>
        <w:t>not to carry out businesses of any product directly competing with related agency sales products for agents directly or for third parties during the period of related sales agency agreements.</w:t>
      </w:r>
    </w:p>
    <w:p>
      <w:pPr>
        <w:spacing w:after="0" w:line="19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2. Service effect and authenticity of agents</w:t>
      </w:r>
    </w:p>
    <w:p>
      <w:pPr>
        <w:spacing w:after="0" w:line="252"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color w:val="auto"/>
        </w:rPr>
        <w:t>Agents have made significant contributions to the Company’s success. Since the Company started to work with agents in 2009, the Company’s products have successively entered a series of domestic and foreign well-known semiconductor enterprise customers such as Hynix, SMIC, Yangtze Memory and JCET under the condition that there were 1 to 2 marketing and sales personnel in the Company. (There were only 10 personnel in the sales and marketing team of the Company as of June 30, 2020.) In the Reporting Period, agents made efforts to continuously establish new customers for the Company. In 2020 the Company has started to work with agents in Taiwan 2020 to develop new customers such as Taiwan Semiconductor Manufacturing Company and thereby accelerate its development in the Taiwan market. Furthermore, there are a variety of the Company’s products other than semiconductor cleaning equipment that agents can assist in selling to existing customers; for instance, JCET purchased the Company’s new product stress-free polishing equipment for use for equipment other than semiconductor electroplating equipment, and Huahong Group purchased the Company’s new product vertical furnace tube equipment for use outside of semiconductor cleaning equipment.</w:t>
      </w:r>
    </w:p>
    <w:p>
      <w:pPr>
        <w:spacing w:after="0" w:line="37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8-4-1-25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9" w:name="page30"/>
    <w:bookmarkEnd w:id="29"/>
    <w:p>
      <w:pPr>
        <w:jc w:val="both"/>
        <w:ind w:firstLine="648"/>
        <w:spacing w:after="0" w:line="286" w:lineRule="auto"/>
        <w:rPr>
          <w:sz w:val="20"/>
          <w:szCs w:val="20"/>
          <w:color w:val="auto"/>
        </w:rPr>
      </w:pPr>
      <w:r>
        <w:rPr>
          <w:rFonts w:ascii="Arial" w:cs="Arial" w:eastAsia="Arial" w:hAnsi="Arial"/>
          <w:sz w:val="17"/>
          <w:szCs w:val="17"/>
          <w:color w:val="auto"/>
        </w:rPr>
        <w:t>Since 2011, the Company has paid commissions at rates specified in the agency agreements entered into with the agents. From 2017 to 2019, the Company recorded commissions of RMB12.4999 million, RMB19.3114 million and RMB27.6173 million, respectively, to the agents. Provisions for the sales commissions, which are in line with order amounts and sales quantities, have been appropriately made by the Issuer.</w:t>
      </w:r>
    </w:p>
    <w:p>
      <w:pPr>
        <w:spacing w:after="0" w:line="192" w:lineRule="exact"/>
        <w:rPr>
          <w:sz w:val="20"/>
          <w:szCs w:val="20"/>
          <w:color w:val="auto"/>
        </w:rPr>
      </w:pPr>
    </w:p>
    <w:p>
      <w:pPr>
        <w:jc w:val="both"/>
        <w:ind w:right="20" w:firstLine="648"/>
        <w:spacing w:after="0" w:line="286" w:lineRule="auto"/>
        <w:rPr>
          <w:sz w:val="20"/>
          <w:szCs w:val="20"/>
          <w:color w:val="auto"/>
        </w:rPr>
      </w:pPr>
      <w:r>
        <w:rPr>
          <w:rFonts w:ascii="Arial" w:cs="Arial" w:eastAsia="Arial" w:hAnsi="Arial"/>
          <w:sz w:val="17"/>
          <w:szCs w:val="17"/>
          <w:color w:val="auto"/>
        </w:rPr>
        <w:t>With respect to service authenticity of agents of the Company, the Sponsor confirmed the agents’ effects on technical coordination and market development process following interviews of the Head of the Wet Process and Grinding Equipment Department of Huahong Group (a major customer of the Company) and the Head of the Padfoot Equipment Processing Department of JCET (a major customer of the Company).</w:t>
      </w:r>
    </w:p>
    <w:p>
      <w:pPr>
        <w:spacing w:after="0" w:line="192" w:lineRule="exact"/>
        <w:rPr>
          <w:sz w:val="20"/>
          <w:szCs w:val="20"/>
          <w:color w:val="auto"/>
        </w:rPr>
      </w:pPr>
    </w:p>
    <w:p>
      <w:pPr>
        <w:ind w:left="840" w:hanging="184"/>
        <w:spacing w:after="0"/>
        <w:tabs>
          <w:tab w:leader="none" w:pos="8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Internal control flow of agents in sales revenue process</w:t>
      </w:r>
    </w:p>
    <w:p>
      <w:pPr>
        <w:spacing w:after="0" w:line="252" w:lineRule="exact"/>
        <w:rPr>
          <w:rFonts w:ascii="Arial" w:cs="Arial" w:eastAsia="Arial" w:hAnsi="Arial"/>
          <w:sz w:val="18"/>
          <w:szCs w:val="18"/>
          <w:color w:val="auto"/>
        </w:rPr>
      </w:pPr>
    </w:p>
    <w:p>
      <w:pPr>
        <w:ind w:left="660"/>
        <w:spacing w:after="0"/>
        <w:rPr>
          <w:rFonts w:ascii="Arial" w:cs="Arial" w:eastAsia="Arial" w:hAnsi="Arial"/>
          <w:sz w:val="18"/>
          <w:szCs w:val="18"/>
          <w:color w:val="auto"/>
        </w:rPr>
      </w:pPr>
      <w:r>
        <w:rPr>
          <w:rFonts w:ascii="Arial" w:cs="Arial" w:eastAsia="Arial" w:hAnsi="Arial"/>
          <w:sz w:val="18"/>
          <w:szCs w:val="18"/>
          <w:color w:val="auto"/>
        </w:rPr>
        <w:t>(1) Stage of product promotion</w:t>
      </w:r>
    </w:p>
    <w:p>
      <w:pPr>
        <w:spacing w:after="0" w:line="252" w:lineRule="exact"/>
        <w:rPr>
          <w:sz w:val="20"/>
          <w:szCs w:val="20"/>
          <w:color w:val="auto"/>
        </w:rPr>
      </w:pPr>
    </w:p>
    <w:p>
      <w:pPr>
        <w:jc w:val="both"/>
        <w:ind w:firstLine="648"/>
        <w:spacing w:after="0" w:line="301" w:lineRule="auto"/>
        <w:rPr>
          <w:sz w:val="20"/>
          <w:szCs w:val="20"/>
          <w:color w:val="auto"/>
        </w:rPr>
      </w:pPr>
      <w:r>
        <w:rPr>
          <w:rFonts w:ascii="Arial" w:cs="Arial" w:eastAsia="Arial" w:hAnsi="Arial"/>
          <w:sz w:val="16"/>
          <w:szCs w:val="16"/>
          <w:color w:val="auto"/>
        </w:rPr>
        <w:t>An agent will, after entering into an agency agreement with the Company, carry out the work under the obligations, work contents and constraints stipulated in the agreement. The Company’s sales personnel maintain continuous communication with the agent to understand the differentiated needs of existing or potential customers in real time, in order to understand the development process of equipment. In doing so, the Company can acquire knowledge of the business ability of the agent and whether the agent has worked as agreed, as well as supervise and support the work of the agent.</w:t>
      </w:r>
    </w:p>
    <w:p>
      <w:pPr>
        <w:spacing w:after="0" w:line="18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(2) Stage of payment for agent commissions</w:t>
      </w:r>
    </w:p>
    <w:p>
      <w:pPr>
        <w:spacing w:after="0" w:line="252"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The Company commences the process of paying agent commissions after receiving the fees for shipment or acceptance from its customers according to the agency agreement. The payment request is initiated by the sales department of the Company, after which the Company’s financial department will, in the light of the receipt of payment under the corresponding orders, calculate the amount of agent commission to be paid (by, as per the agency agreement, using the equipment price as the calculation base, with the deduction of the relevant ex-factory transportation, packaging, insurance and other expenses contractually stipulated, multiplied by the commission rate), and send the commission calculation table to the agent for confirmation and issuance of invoice. Upon confirmation by the agent, receipt by the Company of the invoice and approval of the payment request, the Company pays the commission to the agent through bank transfer.</w:t>
      </w:r>
    </w:p>
    <w:p>
      <w:pPr>
        <w:spacing w:after="0" w:line="222"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As mentioned above, agents have played a critical role for the Company with respect to the sales process of the Company’s products. The commissions paid have been confirmed by the agents, and the services provided by them are monitored by the Company to be consistent with agency agreements.</w:t>
      </w:r>
    </w:p>
    <w:p>
      <w:pPr>
        <w:spacing w:after="0" w:line="382"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8-4-1-26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0" w:name="page31"/>
    <w:bookmarkEnd w:id="30"/>
    <w:p>
      <w:pPr>
        <w:ind w:firstLine="332"/>
        <w:spacing w:after="0" w:line="282" w:lineRule="auto"/>
        <w:tabs>
          <w:tab w:leader="none" w:pos="663" w:val="left"/>
        </w:tabs>
        <w:numPr>
          <w:ilvl w:val="0"/>
          <w:numId w:val="21"/>
        </w:numPr>
        <w:rPr>
          <w:rFonts w:ascii="Arial" w:cs="Arial" w:eastAsia="Arial" w:hAnsi="Arial"/>
          <w:sz w:val="18"/>
          <w:szCs w:val="18"/>
          <w:b w:val="1"/>
          <w:bCs w:val="1"/>
          <w:color w:val="auto"/>
        </w:rPr>
      </w:pPr>
      <w:r>
        <w:rPr>
          <w:rFonts w:ascii="Arial" w:cs="Arial" w:eastAsia="Arial" w:hAnsi="Arial"/>
          <w:sz w:val="18"/>
          <w:szCs w:val="18"/>
          <w:b w:val="1"/>
          <w:bCs w:val="1"/>
          <w:color w:val="auto"/>
        </w:rPr>
        <w:t>The reasonableness of the circumstances where the Company’s customers were mainly in Mainland China, but the agents were all overseas companies, and the agents’ incomes were mainly from the Issuer</w:t>
      </w:r>
    </w:p>
    <w:p>
      <w:pPr>
        <w:spacing w:after="0" w:line="193" w:lineRule="exact"/>
        <w:rPr>
          <w:sz w:val="20"/>
          <w:szCs w:val="20"/>
          <w:color w:val="auto"/>
        </w:rPr>
      </w:pPr>
    </w:p>
    <w:p>
      <w:pPr>
        <w:ind w:firstLine="332"/>
        <w:spacing w:after="0" w:line="277" w:lineRule="auto"/>
        <w:tabs>
          <w:tab w:leader="none" w:pos="542"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reasonableness of the circumstance where the Company’s customers were mainly in Mainland China, but the agents were all overseas companies</w:t>
      </w:r>
    </w:p>
    <w:p>
      <w:pPr>
        <w:spacing w:after="0" w:line="19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countries and regions in which the Company’s agents are located are set forth as below:</w:t>
      </w:r>
    </w:p>
    <w:p>
      <w:pPr>
        <w:spacing w:after="0" w:line="246" w:lineRule="exact"/>
        <w:rPr>
          <w:sz w:val="20"/>
          <w:szCs w:val="20"/>
          <w:color w:val="auto"/>
        </w:rPr>
      </w:pPr>
    </w:p>
    <w:tbl>
      <w:tblPr>
        <w:tblLayout w:type="fixed"/>
        <w:tblInd w:w="10" w:type="dxa"/>
        <w:tblCellMar>
          <w:top w:w="0" w:type="dxa"/>
          <w:left w:w="0" w:type="dxa"/>
          <w:bottom w:w="0" w:type="dxa"/>
          <w:right w:w="0" w:type="dxa"/>
        </w:tblCellMar>
      </w:tblPr>
      <w:tr>
        <w:trPr>
          <w:trHeight w:val="225"/>
        </w:trPr>
        <w:tc>
          <w:tcPr>
            <w:tcW w:w="6520" w:type="dxa"/>
            <w:vAlign w:val="bottom"/>
            <w:tcBorders>
              <w:top w:val="single" w:sz="8" w:color="auto"/>
              <w:left w:val="single" w:sz="8" w:color="auto"/>
              <w:right w:val="single" w:sz="8" w:color="auto"/>
            </w:tcBorders>
            <w:vMerge w:val="restart"/>
          </w:tcPr>
          <w:p>
            <w:pPr>
              <w:jc w:val="center"/>
              <w:spacing w:after="0"/>
              <w:rPr>
                <w:sz w:val="20"/>
                <w:szCs w:val="20"/>
                <w:color w:val="auto"/>
              </w:rPr>
            </w:pPr>
            <w:r>
              <w:rPr>
                <w:rFonts w:ascii="Arial" w:cs="Arial" w:eastAsia="Arial" w:hAnsi="Arial"/>
                <w:sz w:val="18"/>
                <w:szCs w:val="18"/>
                <w:b w:val="1"/>
                <w:bCs w:val="1"/>
                <w:color w:val="auto"/>
                <w:w w:val="90"/>
              </w:rPr>
              <w:t>Agent</w:t>
            </w:r>
          </w:p>
        </w:tc>
        <w:tc>
          <w:tcPr>
            <w:tcW w:w="260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91"/>
              </w:rPr>
              <w:t>Country or region of</w:t>
            </w:r>
          </w:p>
        </w:tc>
        <w:tc>
          <w:tcPr>
            <w:tcW w:w="212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91"/>
              </w:rPr>
              <w:t>Year of</w:t>
            </w:r>
          </w:p>
        </w:tc>
        <w:tc>
          <w:tcPr>
            <w:tcW w:w="0" w:type="dxa"/>
            <w:vAlign w:val="bottom"/>
          </w:tcPr>
          <w:p>
            <w:pPr>
              <w:spacing w:after="0"/>
              <w:rPr>
                <w:sz w:val="1"/>
                <w:szCs w:val="1"/>
                <w:color w:val="auto"/>
              </w:rPr>
            </w:pPr>
          </w:p>
        </w:tc>
      </w:tr>
      <w:tr>
        <w:trPr>
          <w:trHeight w:val="126"/>
        </w:trPr>
        <w:tc>
          <w:tcPr>
            <w:tcW w:w="6520" w:type="dxa"/>
            <w:vAlign w:val="bottom"/>
            <w:tcBorders>
              <w:left w:val="single" w:sz="8" w:color="auto"/>
              <w:right w:val="single" w:sz="8" w:color="auto"/>
            </w:tcBorders>
            <w:vMerge w:val="continue"/>
          </w:tcPr>
          <w:p>
            <w:pPr>
              <w:spacing w:after="0"/>
              <w:rPr>
                <w:sz w:val="10"/>
                <w:szCs w:val="10"/>
                <w:color w:val="auto"/>
              </w:rPr>
            </w:pPr>
          </w:p>
        </w:tc>
        <w:tc>
          <w:tcPr>
            <w:tcW w:w="26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b w:val="1"/>
                <w:bCs w:val="1"/>
                <w:color w:val="auto"/>
                <w:w w:val="91"/>
              </w:rPr>
              <w:t>Registration</w:t>
            </w:r>
          </w:p>
        </w:tc>
        <w:tc>
          <w:tcPr>
            <w:tcW w:w="21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b w:val="1"/>
                <w:bCs w:val="1"/>
                <w:color w:val="auto"/>
                <w:w w:val="87"/>
              </w:rPr>
              <w:t>establishment</w:t>
            </w:r>
          </w:p>
        </w:tc>
        <w:tc>
          <w:tcPr>
            <w:tcW w:w="0" w:type="dxa"/>
            <w:vAlign w:val="bottom"/>
          </w:tcPr>
          <w:p>
            <w:pPr>
              <w:spacing w:after="0"/>
              <w:rPr>
                <w:sz w:val="1"/>
                <w:szCs w:val="1"/>
                <w:color w:val="auto"/>
              </w:rPr>
            </w:pPr>
          </w:p>
        </w:tc>
      </w:tr>
      <w:tr>
        <w:trPr>
          <w:trHeight w:val="115"/>
        </w:trPr>
        <w:tc>
          <w:tcPr>
            <w:tcW w:w="6520" w:type="dxa"/>
            <w:vAlign w:val="bottom"/>
            <w:tcBorders>
              <w:left w:val="single" w:sz="8" w:color="auto"/>
              <w:bottom w:val="single" w:sz="8" w:color="auto"/>
              <w:right w:val="single" w:sz="8" w:color="auto"/>
            </w:tcBorders>
          </w:tcPr>
          <w:p>
            <w:pPr>
              <w:spacing w:after="0"/>
              <w:rPr>
                <w:sz w:val="10"/>
                <w:szCs w:val="10"/>
                <w:color w:val="auto"/>
              </w:rPr>
            </w:pPr>
          </w:p>
        </w:tc>
        <w:tc>
          <w:tcPr>
            <w:tcW w:w="2600" w:type="dxa"/>
            <w:vAlign w:val="bottom"/>
            <w:tcBorders>
              <w:bottom w:val="single" w:sz="8" w:color="auto"/>
              <w:right w:val="single" w:sz="8" w:color="auto"/>
            </w:tcBorders>
            <w:vMerge w:val="continue"/>
          </w:tcPr>
          <w:p>
            <w:pPr>
              <w:spacing w:after="0"/>
              <w:rPr>
                <w:sz w:val="10"/>
                <w:szCs w:val="10"/>
                <w:color w:val="auto"/>
              </w:rPr>
            </w:pPr>
          </w:p>
        </w:tc>
        <w:tc>
          <w:tcPr>
            <w:tcW w:w="2120" w:type="dxa"/>
            <w:vAlign w:val="bottom"/>
            <w:tcBorders>
              <w:bottom w:val="single" w:sz="8" w:color="auto"/>
              <w:right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23"/>
        </w:trPr>
        <w:tc>
          <w:tcPr>
            <w:tcW w:w="652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3"/>
              </w:rPr>
              <w:t>TJM PARTNERS LTD.</w:t>
            </w:r>
          </w:p>
        </w:tc>
        <w:tc>
          <w:tcPr>
            <w:tcW w:w="26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1"/>
              </w:rPr>
              <w:t>Korea</w:t>
            </w:r>
          </w:p>
        </w:tc>
        <w:tc>
          <w:tcPr>
            <w:tcW w:w="21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9"/>
              </w:rPr>
              <w:t>2014</w:t>
            </w:r>
          </w:p>
        </w:tc>
        <w:tc>
          <w:tcPr>
            <w:tcW w:w="0" w:type="dxa"/>
            <w:vAlign w:val="bottom"/>
          </w:tcPr>
          <w:p>
            <w:pPr>
              <w:spacing w:after="0"/>
              <w:rPr>
                <w:sz w:val="1"/>
                <w:szCs w:val="1"/>
                <w:color w:val="auto"/>
              </w:rPr>
            </w:pPr>
          </w:p>
        </w:tc>
      </w:tr>
      <w:tr>
        <w:trPr>
          <w:trHeight w:val="223"/>
        </w:trPr>
        <w:tc>
          <w:tcPr>
            <w:tcW w:w="652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9"/>
              </w:rPr>
              <w:t>LIDA TECHNOLOGY CO.,LIMITED</w:t>
            </w:r>
          </w:p>
        </w:tc>
        <w:tc>
          <w:tcPr>
            <w:tcW w:w="26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5"/>
              </w:rPr>
              <w:t>Hong Kong, UK</w:t>
            </w:r>
          </w:p>
        </w:tc>
        <w:tc>
          <w:tcPr>
            <w:tcW w:w="21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9"/>
              </w:rPr>
              <w:t>2013</w:t>
            </w:r>
          </w:p>
        </w:tc>
        <w:tc>
          <w:tcPr>
            <w:tcW w:w="0" w:type="dxa"/>
            <w:vAlign w:val="bottom"/>
          </w:tcPr>
          <w:p>
            <w:pPr>
              <w:spacing w:after="0"/>
              <w:rPr>
                <w:sz w:val="1"/>
                <w:szCs w:val="1"/>
                <w:color w:val="auto"/>
              </w:rPr>
            </w:pPr>
          </w:p>
        </w:tc>
      </w:tr>
      <w:tr>
        <w:trPr>
          <w:trHeight w:val="223"/>
        </w:trPr>
        <w:tc>
          <w:tcPr>
            <w:tcW w:w="652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6"/>
              </w:rPr>
              <w:t>MOTION ELECTRONICS CO.,LTD</w:t>
            </w:r>
          </w:p>
        </w:tc>
        <w:tc>
          <w:tcPr>
            <w:tcW w:w="26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3"/>
              </w:rPr>
              <w:t>Hong Kong</w:t>
            </w:r>
          </w:p>
        </w:tc>
        <w:tc>
          <w:tcPr>
            <w:tcW w:w="21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9"/>
              </w:rPr>
              <w:t>2010</w:t>
            </w:r>
          </w:p>
        </w:tc>
        <w:tc>
          <w:tcPr>
            <w:tcW w:w="0" w:type="dxa"/>
            <w:vAlign w:val="bottom"/>
          </w:tcPr>
          <w:p>
            <w:pPr>
              <w:spacing w:after="0"/>
              <w:rPr>
                <w:sz w:val="1"/>
                <w:szCs w:val="1"/>
                <w:color w:val="auto"/>
              </w:rPr>
            </w:pPr>
          </w:p>
        </w:tc>
      </w:tr>
      <w:tr>
        <w:trPr>
          <w:trHeight w:val="223"/>
        </w:trPr>
        <w:tc>
          <w:tcPr>
            <w:tcW w:w="652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7"/>
              </w:rPr>
              <w:t>ZAIN TECHNOLOGY CO.,LTD</w:t>
            </w:r>
          </w:p>
        </w:tc>
        <w:tc>
          <w:tcPr>
            <w:tcW w:w="26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9"/>
              </w:rPr>
              <w:t>Taiwan</w:t>
            </w:r>
          </w:p>
        </w:tc>
        <w:tc>
          <w:tcPr>
            <w:tcW w:w="21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9"/>
              </w:rPr>
              <w:t>2008</w:t>
            </w:r>
          </w:p>
        </w:tc>
        <w:tc>
          <w:tcPr>
            <w:tcW w:w="0" w:type="dxa"/>
            <w:vAlign w:val="bottom"/>
          </w:tcPr>
          <w:p>
            <w:pPr>
              <w:spacing w:after="0"/>
              <w:rPr>
                <w:sz w:val="1"/>
                <w:szCs w:val="1"/>
                <w:color w:val="auto"/>
              </w:rPr>
            </w:pPr>
          </w:p>
        </w:tc>
      </w:tr>
      <w:tr>
        <w:trPr>
          <w:trHeight w:val="223"/>
        </w:trPr>
        <w:tc>
          <w:tcPr>
            <w:tcW w:w="652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7"/>
              </w:rPr>
              <w:t>HANWOOL SCIENTIFIC CO.,LTD.</w:t>
            </w:r>
          </w:p>
        </w:tc>
        <w:tc>
          <w:tcPr>
            <w:tcW w:w="26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1"/>
              </w:rPr>
              <w:t>Korea</w:t>
            </w:r>
          </w:p>
        </w:tc>
        <w:tc>
          <w:tcPr>
            <w:tcW w:w="21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9"/>
              </w:rPr>
              <w:t>2006</w:t>
            </w:r>
          </w:p>
        </w:tc>
        <w:tc>
          <w:tcPr>
            <w:tcW w:w="0" w:type="dxa"/>
            <w:vAlign w:val="bottom"/>
          </w:tcPr>
          <w:p>
            <w:pPr>
              <w:spacing w:after="0"/>
              <w:rPr>
                <w:sz w:val="1"/>
                <w:szCs w:val="1"/>
                <w:color w:val="auto"/>
              </w:rPr>
            </w:pPr>
          </w:p>
        </w:tc>
      </w:tr>
    </w:tbl>
    <w:p>
      <w:pPr>
        <w:spacing w:after="0" w:line="202"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6"/>
          <w:szCs w:val="16"/>
          <w:color w:val="auto"/>
        </w:rPr>
        <w:t>The agents were registered principally in countries or regions with developed semiconductor industry and active semiconductor trade, which was conducive to the exchange of information and communication with technicians, equipment and process personnel of semiconductor manufacturers in China and abroad. For example, Hong Kong has long been the main channel for semiconductor manufacturers in Mainland China to purchase foreign equipment, and agents in the semiconductor industry often choose to register their companies in Hong Kong. At present, the equipment procurement of Chinese semiconductor manufacturers is undergoing a long process from import to localization. The communication between these agents and the technicians and other equipment and process personnel of Chinese semiconductor manufacturers in the early stages, and the trust relationships established with the senior managers of those manufacturers, have created opportunities for the introduction of the Company’s products.</w:t>
      </w:r>
    </w:p>
    <w:p>
      <w:pPr>
        <w:spacing w:after="0" w:line="193"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8"/>
          <w:szCs w:val="18"/>
          <w:color w:val="auto"/>
        </w:rPr>
        <w:t>As one example, with the help of the agent HANWOOL SCIENTIFIC CO., LTD., the Company developed SK Hynix as a customer and has gradually sold its products to SK Hynix Semiconductor (Wuxi) Co., Ltd., a domestic customer in China. YONG YOU KIM, the president, legal representative and shareholder of HANWOOL SCIENTIFIC CO., LTD., worked at Hynix from 1984 to 1991. In 2006, YONG YOU KIM founded HANWOOL SCIENTIFIC CO., LTD. and began to provide sales services for semiconductor equipment and remote control system for Hynix, LG Group and Samsung Group. In 2008, the Company established contact with the Korean agent HANWOOL SCIENTIFIC CO., LTD, through referral by a Korean acquaintance of Issuer management. In 2009, the Company’s alpha-version single wafer SAPS megasonic cleaning prototype was successfully placed with SK Hynix Semiconductor (Wuxi) Co., Ltd. for preliminary testing. In 2011, after 24 months of testing, the two-step cleaning process proved that the product yield can be increased by 1.5%, and an order from Hynix for the first equipment was obtained. After continued development, the Company has had recurring orders from Hynix.</w:t>
      </w:r>
    </w:p>
    <w:p>
      <w:pPr>
        <w:spacing w:after="0" w:line="39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8-4-1-27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1" w:name="page32"/>
    <w:bookmarkEnd w:id="31"/>
    <w:p>
      <w:pPr>
        <w:ind w:left="340" w:right="2020" w:hanging="8"/>
        <w:spacing w:after="0" w:line="524" w:lineRule="auto"/>
        <w:tabs>
          <w:tab w:leader="none" w:pos="520" w:val="left"/>
        </w:tabs>
        <w:numPr>
          <w:ilvl w:val="0"/>
          <w:numId w:val="23"/>
        </w:numPr>
        <w:rPr>
          <w:rFonts w:ascii="Arial" w:cs="Arial" w:eastAsia="Arial" w:hAnsi="Arial"/>
          <w:sz w:val="18"/>
          <w:szCs w:val="18"/>
          <w:color w:val="auto"/>
        </w:rPr>
      </w:pPr>
      <w:r>
        <w:rPr>
          <w:rFonts w:ascii="Arial" w:cs="Arial" w:eastAsia="Arial" w:hAnsi="Arial"/>
          <w:sz w:val="18"/>
          <w:szCs w:val="18"/>
          <w:color w:val="auto"/>
        </w:rPr>
        <w:t>It is reasonable that the agents’ income mainly came from the Issuer, and the agents did not depend heavily on the Issuer. The main business and income structures of the agents are as follows:</w:t>
      </w:r>
    </w:p>
    <w:tbl>
      <w:tblPr>
        <w:tblLayout w:type="fixed"/>
        <w:tblInd w:w="10" w:type="dxa"/>
        <w:tblCellMar>
          <w:top w:w="0" w:type="dxa"/>
          <w:left w:w="0" w:type="dxa"/>
          <w:bottom w:w="0" w:type="dxa"/>
          <w:right w:w="0" w:type="dxa"/>
        </w:tblCellMar>
      </w:tblPr>
      <w:tr>
        <w:trPr>
          <w:trHeight w:val="232"/>
        </w:trPr>
        <w:tc>
          <w:tcPr>
            <w:tcW w:w="3120" w:type="dxa"/>
            <w:vAlign w:val="bottom"/>
            <w:tcBorders>
              <w:top w:val="single" w:sz="8" w:color="auto"/>
              <w:left w:val="single" w:sz="8" w:color="auto"/>
              <w:bottom w:val="single" w:sz="8" w:color="auto"/>
              <w:right w:val="single" w:sz="8" w:color="auto"/>
            </w:tcBorders>
          </w:tcPr>
          <w:p>
            <w:pPr>
              <w:ind w:left="1340"/>
              <w:spacing w:after="0"/>
              <w:rPr>
                <w:sz w:val="20"/>
                <w:szCs w:val="20"/>
                <w:color w:val="auto"/>
              </w:rPr>
            </w:pPr>
            <w:r>
              <w:rPr>
                <w:rFonts w:ascii="Arial" w:cs="Arial" w:eastAsia="Arial" w:hAnsi="Arial"/>
                <w:sz w:val="18"/>
                <w:szCs w:val="18"/>
                <w:b w:val="1"/>
                <w:bCs w:val="1"/>
                <w:color w:val="auto"/>
              </w:rPr>
              <w:t>Agent</w:t>
            </w:r>
          </w:p>
        </w:tc>
        <w:tc>
          <w:tcPr>
            <w:tcW w:w="4960" w:type="dxa"/>
            <w:vAlign w:val="bottom"/>
            <w:tcBorders>
              <w:top w:val="single" w:sz="8" w:color="auto"/>
              <w:bottom w:val="single" w:sz="8" w:color="auto"/>
              <w:right w:val="single" w:sz="8" w:color="auto"/>
            </w:tcBorders>
          </w:tcPr>
          <w:p>
            <w:pPr>
              <w:ind w:left="1920"/>
              <w:spacing w:after="0"/>
              <w:rPr>
                <w:sz w:val="20"/>
                <w:szCs w:val="20"/>
                <w:color w:val="auto"/>
              </w:rPr>
            </w:pPr>
            <w:r>
              <w:rPr>
                <w:rFonts w:ascii="Arial" w:cs="Arial" w:eastAsia="Arial" w:hAnsi="Arial"/>
                <w:sz w:val="18"/>
                <w:szCs w:val="18"/>
                <w:b w:val="1"/>
                <w:bCs w:val="1"/>
                <w:color w:val="auto"/>
              </w:rPr>
              <w:t>Main business</w:t>
            </w:r>
          </w:p>
        </w:tc>
        <w:tc>
          <w:tcPr>
            <w:tcW w:w="3160" w:type="dxa"/>
            <w:vAlign w:val="bottom"/>
            <w:tcBorders>
              <w:top w:val="single" w:sz="8" w:color="auto"/>
              <w:bottom w:val="single" w:sz="8" w:color="auto"/>
              <w:right w:val="single" w:sz="8" w:color="auto"/>
            </w:tcBorders>
          </w:tcPr>
          <w:p>
            <w:pPr>
              <w:ind w:left="900"/>
              <w:spacing w:after="0"/>
              <w:rPr>
                <w:sz w:val="20"/>
                <w:szCs w:val="20"/>
                <w:color w:val="auto"/>
              </w:rPr>
            </w:pPr>
            <w:r>
              <w:rPr>
                <w:rFonts w:ascii="Arial" w:cs="Arial" w:eastAsia="Arial" w:hAnsi="Arial"/>
                <w:sz w:val="18"/>
                <w:szCs w:val="18"/>
                <w:b w:val="1"/>
                <w:bCs w:val="1"/>
                <w:color w:val="auto"/>
              </w:rPr>
              <w:t>Income structure</w:t>
            </w:r>
          </w:p>
        </w:tc>
        <w:tc>
          <w:tcPr>
            <w:tcW w:w="0" w:type="dxa"/>
            <w:vAlign w:val="bottom"/>
          </w:tcPr>
          <w:p>
            <w:pPr>
              <w:spacing w:after="0"/>
              <w:rPr>
                <w:sz w:val="1"/>
                <w:szCs w:val="1"/>
                <w:color w:val="auto"/>
              </w:rPr>
            </w:pPr>
          </w:p>
        </w:tc>
      </w:tr>
      <w:tr>
        <w:trPr>
          <w:trHeight w:val="202"/>
        </w:trPr>
        <w:tc>
          <w:tcPr>
            <w:tcW w:w="3120" w:type="dxa"/>
            <w:vAlign w:val="bottom"/>
            <w:tcBorders>
              <w:left w:val="single" w:sz="8" w:color="auto"/>
              <w:right w:val="single" w:sz="8" w:color="auto"/>
            </w:tcBorders>
          </w:tcPr>
          <w:p>
            <w:pPr>
              <w:spacing w:after="0"/>
              <w:rPr>
                <w:sz w:val="17"/>
                <w:szCs w:val="17"/>
                <w:color w:val="auto"/>
              </w:rPr>
            </w:pPr>
          </w:p>
        </w:tc>
        <w:tc>
          <w:tcPr>
            <w:tcW w:w="4960" w:type="dxa"/>
            <w:vAlign w:val="bottom"/>
            <w:tcBorders>
              <w:right w:val="single" w:sz="8" w:color="auto"/>
            </w:tcBorders>
          </w:tcPr>
          <w:p>
            <w:pPr>
              <w:spacing w:after="0"/>
              <w:rPr>
                <w:sz w:val="17"/>
                <w:szCs w:val="17"/>
                <w:color w:val="auto"/>
              </w:rPr>
            </w:pPr>
          </w:p>
        </w:tc>
        <w:tc>
          <w:tcPr>
            <w:tcW w:w="3160" w:type="dxa"/>
            <w:vAlign w:val="bottom"/>
            <w:tcBorders>
              <w:right w:val="single" w:sz="8" w:color="auto"/>
            </w:tcBorders>
          </w:tcPr>
          <w:p>
            <w:pPr>
              <w:spacing w:after="0" w:line="201" w:lineRule="exact"/>
              <w:rPr>
                <w:sz w:val="20"/>
                <w:szCs w:val="20"/>
                <w:color w:val="auto"/>
              </w:rPr>
            </w:pPr>
            <w:r>
              <w:rPr>
                <w:rFonts w:ascii="Arial" w:cs="Arial" w:eastAsia="Arial" w:hAnsi="Arial"/>
                <w:sz w:val="18"/>
                <w:szCs w:val="18"/>
                <w:color w:val="auto"/>
                <w:w w:val="97"/>
              </w:rPr>
              <w:t>From 2017 to 2019, the income from the</w:t>
            </w:r>
          </w:p>
        </w:tc>
        <w:tc>
          <w:tcPr>
            <w:tcW w:w="0" w:type="dxa"/>
            <w:vAlign w:val="bottom"/>
          </w:tcPr>
          <w:p>
            <w:pPr>
              <w:spacing w:after="0"/>
              <w:rPr>
                <w:sz w:val="1"/>
                <w:szCs w:val="1"/>
                <w:color w:val="auto"/>
              </w:rPr>
            </w:pPr>
          </w:p>
        </w:tc>
      </w:tr>
      <w:tr>
        <w:trPr>
          <w:trHeight w:val="216"/>
        </w:trPr>
        <w:tc>
          <w:tcPr>
            <w:tcW w:w="312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TJM PARTNERS LTD.</w:t>
            </w:r>
          </w:p>
        </w:tc>
        <w:tc>
          <w:tcPr>
            <w:tcW w:w="4960" w:type="dxa"/>
            <w:vAlign w:val="bottom"/>
            <w:tcBorders>
              <w:right w:val="single" w:sz="8" w:color="auto"/>
            </w:tcBorders>
          </w:tcPr>
          <w:p>
            <w:pPr>
              <w:spacing w:after="0"/>
              <w:rPr>
                <w:sz w:val="20"/>
                <w:szCs w:val="20"/>
                <w:color w:val="auto"/>
              </w:rPr>
            </w:pPr>
            <w:r>
              <w:rPr>
                <w:rFonts w:ascii="Arial" w:cs="Arial" w:eastAsia="Arial" w:hAnsi="Arial"/>
                <w:sz w:val="18"/>
                <w:szCs w:val="18"/>
                <w:color w:val="auto"/>
                <w:w w:val="96"/>
              </w:rPr>
              <w:t>Management consultant and trade, with its market area in Korea</w:t>
            </w:r>
          </w:p>
        </w:tc>
        <w:tc>
          <w:tcPr>
            <w:tcW w:w="3160" w:type="dxa"/>
            <w:vAlign w:val="bottom"/>
            <w:tcBorders>
              <w:right w:val="single" w:sz="8" w:color="auto"/>
            </w:tcBorders>
          </w:tcPr>
          <w:p>
            <w:pPr>
              <w:spacing w:after="0"/>
              <w:rPr>
                <w:sz w:val="20"/>
                <w:szCs w:val="20"/>
                <w:color w:val="auto"/>
              </w:rPr>
            </w:pPr>
            <w:r>
              <w:rPr>
                <w:rFonts w:ascii="Arial" w:cs="Arial" w:eastAsia="Arial" w:hAnsi="Arial"/>
                <w:sz w:val="18"/>
                <w:szCs w:val="18"/>
                <w:color w:val="auto"/>
                <w:w w:val="99"/>
              </w:rPr>
              <w:t>Company accounted for 50%, 44% and</w:t>
            </w:r>
          </w:p>
        </w:tc>
        <w:tc>
          <w:tcPr>
            <w:tcW w:w="0" w:type="dxa"/>
            <w:vAlign w:val="bottom"/>
          </w:tcPr>
          <w:p>
            <w:pPr>
              <w:spacing w:after="0"/>
              <w:rPr>
                <w:sz w:val="1"/>
                <w:szCs w:val="1"/>
                <w:color w:val="auto"/>
              </w:rPr>
            </w:pPr>
          </w:p>
        </w:tc>
      </w:tr>
      <w:tr>
        <w:trPr>
          <w:trHeight w:val="237"/>
        </w:trPr>
        <w:tc>
          <w:tcPr>
            <w:tcW w:w="3120" w:type="dxa"/>
            <w:vAlign w:val="bottom"/>
            <w:tcBorders>
              <w:left w:val="single" w:sz="8" w:color="auto"/>
              <w:bottom w:val="single" w:sz="8" w:color="auto"/>
              <w:right w:val="single" w:sz="8" w:color="auto"/>
            </w:tcBorders>
          </w:tcPr>
          <w:p>
            <w:pPr>
              <w:spacing w:after="0"/>
              <w:rPr>
                <w:sz w:val="20"/>
                <w:szCs w:val="20"/>
                <w:color w:val="auto"/>
              </w:rPr>
            </w:pPr>
          </w:p>
        </w:tc>
        <w:tc>
          <w:tcPr>
            <w:tcW w:w="4960" w:type="dxa"/>
            <w:vAlign w:val="bottom"/>
            <w:tcBorders>
              <w:bottom w:val="single" w:sz="8" w:color="auto"/>
              <w:right w:val="single" w:sz="8" w:color="auto"/>
            </w:tcBorders>
          </w:tcPr>
          <w:p>
            <w:pPr>
              <w:spacing w:after="0"/>
              <w:rPr>
                <w:sz w:val="20"/>
                <w:szCs w:val="20"/>
                <w:color w:val="auto"/>
              </w:rPr>
            </w:pPr>
          </w:p>
        </w:tc>
        <w:tc>
          <w:tcPr>
            <w:tcW w:w="316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50.5%, respectively</w:t>
            </w:r>
          </w:p>
        </w:tc>
        <w:tc>
          <w:tcPr>
            <w:tcW w:w="0" w:type="dxa"/>
            <w:vAlign w:val="bottom"/>
          </w:tcPr>
          <w:p>
            <w:pPr>
              <w:spacing w:after="0"/>
              <w:rPr>
                <w:sz w:val="1"/>
                <w:szCs w:val="1"/>
                <w:color w:val="auto"/>
              </w:rPr>
            </w:pPr>
          </w:p>
        </w:tc>
      </w:tr>
      <w:tr>
        <w:trPr>
          <w:trHeight w:val="202"/>
        </w:trPr>
        <w:tc>
          <w:tcPr>
            <w:tcW w:w="3120" w:type="dxa"/>
            <w:vAlign w:val="bottom"/>
            <w:tcBorders>
              <w:left w:val="single" w:sz="8" w:color="auto"/>
              <w:right w:val="single" w:sz="8" w:color="auto"/>
            </w:tcBorders>
          </w:tcPr>
          <w:p>
            <w:pPr>
              <w:spacing w:after="0"/>
              <w:rPr>
                <w:sz w:val="17"/>
                <w:szCs w:val="17"/>
                <w:color w:val="auto"/>
              </w:rPr>
            </w:pPr>
          </w:p>
        </w:tc>
        <w:tc>
          <w:tcPr>
            <w:tcW w:w="4960" w:type="dxa"/>
            <w:vAlign w:val="bottom"/>
            <w:tcBorders>
              <w:right w:val="single" w:sz="8" w:color="auto"/>
            </w:tcBorders>
          </w:tcPr>
          <w:p>
            <w:pPr>
              <w:spacing w:after="0" w:line="201" w:lineRule="exact"/>
              <w:rPr>
                <w:sz w:val="20"/>
                <w:szCs w:val="20"/>
                <w:color w:val="auto"/>
              </w:rPr>
            </w:pPr>
            <w:r>
              <w:rPr>
                <w:rFonts w:ascii="Arial" w:cs="Arial" w:eastAsia="Arial" w:hAnsi="Arial"/>
                <w:sz w:val="18"/>
                <w:szCs w:val="18"/>
                <w:color w:val="auto"/>
                <w:w w:val="92"/>
              </w:rPr>
              <w:t>Sales of semiconductor equipment, components and raw materials</w:t>
            </w:r>
          </w:p>
        </w:tc>
        <w:tc>
          <w:tcPr>
            <w:tcW w:w="3160" w:type="dxa"/>
            <w:vAlign w:val="bottom"/>
            <w:tcBorders>
              <w:right w:val="single" w:sz="8" w:color="auto"/>
            </w:tcBorders>
          </w:tcPr>
          <w:p>
            <w:pPr>
              <w:spacing w:after="0" w:line="201" w:lineRule="exact"/>
              <w:rPr>
                <w:sz w:val="20"/>
                <w:szCs w:val="20"/>
                <w:color w:val="auto"/>
              </w:rPr>
            </w:pPr>
            <w:r>
              <w:rPr>
                <w:rFonts w:ascii="Arial" w:cs="Arial" w:eastAsia="Arial" w:hAnsi="Arial"/>
                <w:sz w:val="18"/>
                <w:szCs w:val="18"/>
                <w:color w:val="auto"/>
              </w:rPr>
              <w:t>The main source of income was from</w:t>
            </w:r>
          </w:p>
        </w:tc>
        <w:tc>
          <w:tcPr>
            <w:tcW w:w="0" w:type="dxa"/>
            <w:vAlign w:val="bottom"/>
          </w:tcPr>
          <w:p>
            <w:pPr>
              <w:spacing w:after="0"/>
              <w:rPr>
                <w:sz w:val="1"/>
                <w:szCs w:val="1"/>
                <w:color w:val="auto"/>
              </w:rPr>
            </w:pPr>
          </w:p>
        </w:tc>
      </w:tr>
      <w:tr>
        <w:trPr>
          <w:trHeight w:val="216"/>
        </w:trPr>
        <w:tc>
          <w:tcPr>
            <w:tcW w:w="3120" w:type="dxa"/>
            <w:vAlign w:val="bottom"/>
            <w:tcBorders>
              <w:left w:val="single" w:sz="8" w:color="auto"/>
              <w:right w:val="single" w:sz="8" w:color="auto"/>
            </w:tcBorders>
            <w:vMerge w:val="restart"/>
          </w:tcPr>
          <w:p>
            <w:pPr>
              <w:ind w:left="40"/>
              <w:spacing w:after="0"/>
              <w:rPr>
                <w:sz w:val="20"/>
                <w:szCs w:val="20"/>
                <w:color w:val="auto"/>
              </w:rPr>
            </w:pPr>
            <w:r>
              <w:rPr>
                <w:rFonts w:ascii="Arial" w:cs="Arial" w:eastAsia="Arial" w:hAnsi="Arial"/>
                <w:sz w:val="18"/>
                <w:szCs w:val="18"/>
                <w:color w:val="auto"/>
              </w:rPr>
              <w:t>LIDA TECHNOLOGY</w:t>
            </w:r>
          </w:p>
        </w:tc>
        <w:tc>
          <w:tcPr>
            <w:tcW w:w="4960" w:type="dxa"/>
            <w:vAlign w:val="bottom"/>
            <w:tcBorders>
              <w:right w:val="single" w:sz="8" w:color="auto"/>
            </w:tcBorders>
          </w:tcPr>
          <w:p>
            <w:pPr>
              <w:spacing w:after="0"/>
              <w:rPr>
                <w:sz w:val="20"/>
                <w:szCs w:val="20"/>
                <w:color w:val="auto"/>
              </w:rPr>
            </w:pPr>
            <w:r>
              <w:rPr>
                <w:rFonts w:ascii="Arial" w:cs="Arial" w:eastAsia="Arial" w:hAnsi="Arial"/>
                <w:sz w:val="18"/>
                <w:szCs w:val="18"/>
                <w:color w:val="auto"/>
                <w:w w:val="97"/>
              </w:rPr>
              <w:t>as agent. In addition to the Company, it has also signed agency</w:t>
            </w:r>
          </w:p>
        </w:tc>
        <w:tc>
          <w:tcPr>
            <w:tcW w:w="3160" w:type="dxa"/>
            <w:vAlign w:val="bottom"/>
            <w:tcBorders>
              <w:right w:val="single" w:sz="8" w:color="auto"/>
            </w:tcBorders>
          </w:tcPr>
          <w:p>
            <w:pPr>
              <w:spacing w:after="0"/>
              <w:rPr>
                <w:sz w:val="20"/>
                <w:szCs w:val="20"/>
                <w:color w:val="auto"/>
              </w:rPr>
            </w:pPr>
            <w:r>
              <w:rPr>
                <w:rFonts w:ascii="Arial" w:cs="Arial" w:eastAsia="Arial" w:hAnsi="Arial"/>
                <w:sz w:val="18"/>
                <w:szCs w:val="18"/>
                <w:color w:val="auto"/>
                <w:w w:val="98"/>
              </w:rPr>
              <w:t>agency. From 2017 to 2019, the income</w:t>
            </w:r>
          </w:p>
        </w:tc>
        <w:tc>
          <w:tcPr>
            <w:tcW w:w="0" w:type="dxa"/>
            <w:vAlign w:val="bottom"/>
          </w:tcPr>
          <w:p>
            <w:pPr>
              <w:spacing w:after="0"/>
              <w:rPr>
                <w:sz w:val="1"/>
                <w:szCs w:val="1"/>
                <w:color w:val="auto"/>
              </w:rPr>
            </w:pPr>
          </w:p>
        </w:tc>
      </w:tr>
      <w:tr>
        <w:trPr>
          <w:trHeight w:val="108"/>
        </w:trPr>
        <w:tc>
          <w:tcPr>
            <w:tcW w:w="3120" w:type="dxa"/>
            <w:vAlign w:val="bottom"/>
            <w:tcBorders>
              <w:left w:val="single" w:sz="8" w:color="auto"/>
              <w:right w:val="single" w:sz="8" w:color="auto"/>
            </w:tcBorders>
            <w:vMerge w:val="continue"/>
          </w:tcPr>
          <w:p>
            <w:pPr>
              <w:spacing w:after="0"/>
              <w:rPr>
                <w:sz w:val="9"/>
                <w:szCs w:val="9"/>
                <w:color w:val="auto"/>
              </w:rPr>
            </w:pPr>
          </w:p>
        </w:tc>
        <w:tc>
          <w:tcPr>
            <w:tcW w:w="4960" w:type="dxa"/>
            <w:vAlign w:val="bottom"/>
            <w:tcBorders>
              <w:right w:val="single" w:sz="8" w:color="auto"/>
            </w:tcBorders>
            <w:vMerge w:val="restart"/>
          </w:tcPr>
          <w:p>
            <w:pPr>
              <w:spacing w:after="0"/>
              <w:rPr>
                <w:sz w:val="20"/>
                <w:szCs w:val="20"/>
                <w:color w:val="auto"/>
              </w:rPr>
            </w:pPr>
            <w:r>
              <w:rPr>
                <w:rFonts w:ascii="Arial" w:cs="Arial" w:eastAsia="Arial" w:hAnsi="Arial"/>
                <w:sz w:val="18"/>
                <w:szCs w:val="18"/>
                <w:color w:val="auto"/>
                <w:w w:val="91"/>
              </w:rPr>
              <w:t>agreements with Shanghai Xipu Hanxin Electronic Technology Co.,</w:t>
            </w:r>
          </w:p>
        </w:tc>
        <w:tc>
          <w:tcPr>
            <w:tcW w:w="3160" w:type="dxa"/>
            <w:vAlign w:val="bottom"/>
            <w:tcBorders>
              <w:right w:val="single" w:sz="8" w:color="auto"/>
            </w:tcBorders>
            <w:vMerge w:val="restart"/>
          </w:tcPr>
          <w:p>
            <w:pPr>
              <w:spacing w:after="0"/>
              <w:rPr>
                <w:sz w:val="20"/>
                <w:szCs w:val="20"/>
                <w:color w:val="auto"/>
              </w:rPr>
            </w:pPr>
            <w:r>
              <w:rPr>
                <w:rFonts w:ascii="Arial" w:cs="Arial" w:eastAsia="Arial" w:hAnsi="Arial"/>
                <w:sz w:val="18"/>
                <w:szCs w:val="18"/>
                <w:color w:val="auto"/>
              </w:rPr>
              <w:t>from the Company accounted for 33%,</w:t>
            </w:r>
          </w:p>
        </w:tc>
        <w:tc>
          <w:tcPr>
            <w:tcW w:w="0" w:type="dxa"/>
            <w:vAlign w:val="bottom"/>
          </w:tcPr>
          <w:p>
            <w:pPr>
              <w:spacing w:after="0"/>
              <w:rPr>
                <w:sz w:val="1"/>
                <w:szCs w:val="1"/>
                <w:color w:val="auto"/>
              </w:rPr>
            </w:pPr>
          </w:p>
        </w:tc>
      </w:tr>
      <w:tr>
        <w:trPr>
          <w:trHeight w:val="108"/>
        </w:trPr>
        <w:tc>
          <w:tcPr>
            <w:tcW w:w="3120" w:type="dxa"/>
            <w:vAlign w:val="bottom"/>
            <w:tcBorders>
              <w:left w:val="single" w:sz="8" w:color="auto"/>
              <w:right w:val="single" w:sz="8" w:color="auto"/>
            </w:tcBorders>
            <w:vMerge w:val="restart"/>
          </w:tcPr>
          <w:p>
            <w:pPr>
              <w:ind w:left="40"/>
              <w:spacing w:after="0"/>
              <w:rPr>
                <w:sz w:val="20"/>
                <w:szCs w:val="20"/>
                <w:color w:val="auto"/>
              </w:rPr>
            </w:pPr>
            <w:r>
              <w:rPr>
                <w:rFonts w:ascii="Arial" w:cs="Arial" w:eastAsia="Arial" w:hAnsi="Arial"/>
                <w:sz w:val="18"/>
                <w:szCs w:val="18"/>
                <w:color w:val="auto"/>
              </w:rPr>
              <w:t>CO.,LIMITED</w:t>
            </w:r>
          </w:p>
        </w:tc>
        <w:tc>
          <w:tcPr>
            <w:tcW w:w="4960" w:type="dxa"/>
            <w:vAlign w:val="bottom"/>
            <w:tcBorders>
              <w:right w:val="single" w:sz="8" w:color="auto"/>
            </w:tcBorders>
            <w:vMerge w:val="continue"/>
          </w:tcPr>
          <w:p>
            <w:pPr>
              <w:spacing w:after="0"/>
              <w:rPr>
                <w:sz w:val="9"/>
                <w:szCs w:val="9"/>
                <w:color w:val="auto"/>
              </w:rPr>
            </w:pPr>
          </w:p>
        </w:tc>
        <w:tc>
          <w:tcPr>
            <w:tcW w:w="3160" w:type="dxa"/>
            <w:vAlign w:val="bottom"/>
            <w:tcBorders>
              <w:right w:val="single" w:sz="8" w:color="auto"/>
            </w:tcBorders>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22"/>
        </w:trPr>
        <w:tc>
          <w:tcPr>
            <w:tcW w:w="3120" w:type="dxa"/>
            <w:vAlign w:val="bottom"/>
            <w:tcBorders>
              <w:left w:val="single" w:sz="8" w:color="auto"/>
              <w:right w:val="single" w:sz="8" w:color="auto"/>
            </w:tcBorders>
            <w:vMerge w:val="continue"/>
          </w:tcPr>
          <w:p>
            <w:pPr>
              <w:spacing w:after="0"/>
              <w:rPr>
                <w:sz w:val="10"/>
                <w:szCs w:val="10"/>
                <w:color w:val="auto"/>
              </w:rPr>
            </w:pPr>
          </w:p>
        </w:tc>
        <w:tc>
          <w:tcPr>
            <w:tcW w:w="4960" w:type="dxa"/>
            <w:vAlign w:val="bottom"/>
            <w:tcBorders>
              <w:right w:val="single" w:sz="8" w:color="auto"/>
            </w:tcBorders>
            <w:vMerge w:val="restart"/>
          </w:tcPr>
          <w:p>
            <w:pPr>
              <w:spacing w:after="0"/>
              <w:rPr>
                <w:sz w:val="20"/>
                <w:szCs w:val="20"/>
                <w:color w:val="auto"/>
              </w:rPr>
            </w:pPr>
            <w:r>
              <w:rPr>
                <w:rFonts w:ascii="Arial" w:cs="Arial" w:eastAsia="Arial" w:hAnsi="Arial"/>
                <w:sz w:val="18"/>
                <w:szCs w:val="18"/>
                <w:color w:val="auto"/>
              </w:rPr>
              <w:t>Ltd., Shanghai Hongfeng Industrial Co., Ltd., Taiwan KINIK</w:t>
            </w:r>
          </w:p>
        </w:tc>
        <w:tc>
          <w:tcPr>
            <w:tcW w:w="3160" w:type="dxa"/>
            <w:vAlign w:val="bottom"/>
            <w:tcBorders>
              <w:right w:val="single" w:sz="8" w:color="auto"/>
            </w:tcBorders>
            <w:vMerge w:val="restart"/>
          </w:tcPr>
          <w:p>
            <w:pPr>
              <w:spacing w:after="0"/>
              <w:rPr>
                <w:sz w:val="20"/>
                <w:szCs w:val="20"/>
                <w:color w:val="auto"/>
              </w:rPr>
            </w:pPr>
            <w:r>
              <w:rPr>
                <w:rFonts w:ascii="Arial" w:cs="Arial" w:eastAsia="Arial" w:hAnsi="Arial"/>
                <w:sz w:val="18"/>
                <w:szCs w:val="18"/>
                <w:color w:val="auto"/>
                <w:w w:val="93"/>
              </w:rPr>
              <w:t>35% and 45%, respectively, maintaining a</w:t>
            </w:r>
          </w:p>
        </w:tc>
        <w:tc>
          <w:tcPr>
            <w:tcW w:w="0" w:type="dxa"/>
            <w:vAlign w:val="bottom"/>
          </w:tcPr>
          <w:p>
            <w:pPr>
              <w:spacing w:after="0"/>
              <w:rPr>
                <w:sz w:val="1"/>
                <w:szCs w:val="1"/>
                <w:color w:val="auto"/>
              </w:rPr>
            </w:pPr>
          </w:p>
        </w:tc>
      </w:tr>
      <w:tr>
        <w:trPr>
          <w:trHeight w:val="94"/>
        </w:trPr>
        <w:tc>
          <w:tcPr>
            <w:tcW w:w="3120" w:type="dxa"/>
            <w:vAlign w:val="bottom"/>
            <w:tcBorders>
              <w:left w:val="single" w:sz="8" w:color="auto"/>
              <w:right w:val="single" w:sz="8" w:color="auto"/>
            </w:tcBorders>
          </w:tcPr>
          <w:p>
            <w:pPr>
              <w:spacing w:after="0"/>
              <w:rPr>
                <w:sz w:val="8"/>
                <w:szCs w:val="8"/>
                <w:color w:val="auto"/>
              </w:rPr>
            </w:pPr>
          </w:p>
        </w:tc>
        <w:tc>
          <w:tcPr>
            <w:tcW w:w="4960" w:type="dxa"/>
            <w:vAlign w:val="bottom"/>
            <w:tcBorders>
              <w:right w:val="single" w:sz="8" w:color="auto"/>
            </w:tcBorders>
            <w:vMerge w:val="continue"/>
          </w:tcPr>
          <w:p>
            <w:pPr>
              <w:spacing w:after="0"/>
              <w:rPr>
                <w:sz w:val="8"/>
                <w:szCs w:val="8"/>
                <w:color w:val="auto"/>
              </w:rPr>
            </w:pPr>
          </w:p>
        </w:tc>
        <w:tc>
          <w:tcPr>
            <w:tcW w:w="3160" w:type="dxa"/>
            <w:vAlign w:val="bottom"/>
            <w:tcBorders>
              <w:right w:val="single" w:sz="8" w:color="auto"/>
            </w:tcBorders>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37"/>
        </w:trPr>
        <w:tc>
          <w:tcPr>
            <w:tcW w:w="3120" w:type="dxa"/>
            <w:vAlign w:val="bottom"/>
            <w:tcBorders>
              <w:left w:val="single" w:sz="8" w:color="auto"/>
              <w:bottom w:val="single" w:sz="8" w:color="auto"/>
              <w:right w:val="single" w:sz="8" w:color="auto"/>
            </w:tcBorders>
          </w:tcPr>
          <w:p>
            <w:pPr>
              <w:spacing w:after="0"/>
              <w:rPr>
                <w:sz w:val="20"/>
                <w:szCs w:val="20"/>
                <w:color w:val="auto"/>
              </w:rPr>
            </w:pPr>
          </w:p>
        </w:tc>
        <w:tc>
          <w:tcPr>
            <w:tcW w:w="496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Company and other Japanese companies</w:t>
            </w:r>
          </w:p>
        </w:tc>
        <w:tc>
          <w:tcPr>
            <w:tcW w:w="316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steady increase</w:t>
            </w:r>
          </w:p>
        </w:tc>
        <w:tc>
          <w:tcPr>
            <w:tcW w:w="0" w:type="dxa"/>
            <w:vAlign w:val="bottom"/>
          </w:tcPr>
          <w:p>
            <w:pPr>
              <w:spacing w:after="0"/>
              <w:rPr>
                <w:sz w:val="1"/>
                <w:szCs w:val="1"/>
                <w:color w:val="auto"/>
              </w:rPr>
            </w:pPr>
          </w:p>
        </w:tc>
      </w:tr>
      <w:tr>
        <w:trPr>
          <w:trHeight w:val="202"/>
        </w:trPr>
        <w:tc>
          <w:tcPr>
            <w:tcW w:w="3120" w:type="dxa"/>
            <w:vAlign w:val="bottom"/>
            <w:tcBorders>
              <w:left w:val="single" w:sz="8" w:color="auto"/>
              <w:right w:val="single" w:sz="8" w:color="auto"/>
            </w:tcBorders>
          </w:tcPr>
          <w:p>
            <w:pPr>
              <w:spacing w:after="0"/>
              <w:rPr>
                <w:sz w:val="17"/>
                <w:szCs w:val="17"/>
                <w:color w:val="auto"/>
              </w:rPr>
            </w:pPr>
          </w:p>
        </w:tc>
        <w:tc>
          <w:tcPr>
            <w:tcW w:w="4960" w:type="dxa"/>
            <w:vAlign w:val="bottom"/>
            <w:tcBorders>
              <w:right w:val="single" w:sz="8" w:color="auto"/>
            </w:tcBorders>
          </w:tcPr>
          <w:p>
            <w:pPr>
              <w:spacing w:after="0" w:line="201" w:lineRule="exact"/>
              <w:rPr>
                <w:sz w:val="20"/>
                <w:szCs w:val="20"/>
                <w:color w:val="auto"/>
              </w:rPr>
            </w:pPr>
            <w:r>
              <w:rPr>
                <w:rFonts w:ascii="Arial" w:cs="Arial" w:eastAsia="Arial" w:hAnsi="Arial"/>
                <w:sz w:val="18"/>
                <w:szCs w:val="18"/>
                <w:color w:val="auto"/>
              </w:rPr>
              <w:t>Import and export agency, mainly providing import and export</w:t>
            </w:r>
          </w:p>
        </w:tc>
        <w:tc>
          <w:tcPr>
            <w:tcW w:w="316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120" w:type="dxa"/>
            <w:vAlign w:val="bottom"/>
            <w:tcBorders>
              <w:left w:val="single" w:sz="8" w:color="auto"/>
              <w:right w:val="single" w:sz="8" w:color="auto"/>
            </w:tcBorders>
          </w:tcPr>
          <w:p>
            <w:pPr>
              <w:spacing w:after="0"/>
              <w:rPr>
                <w:sz w:val="18"/>
                <w:szCs w:val="18"/>
                <w:color w:val="auto"/>
              </w:rPr>
            </w:pPr>
          </w:p>
        </w:tc>
        <w:tc>
          <w:tcPr>
            <w:tcW w:w="4960" w:type="dxa"/>
            <w:vAlign w:val="bottom"/>
            <w:tcBorders>
              <w:right w:val="single" w:sz="8" w:color="auto"/>
            </w:tcBorders>
          </w:tcPr>
          <w:p>
            <w:pPr>
              <w:spacing w:after="0"/>
              <w:rPr>
                <w:sz w:val="20"/>
                <w:szCs w:val="20"/>
                <w:color w:val="auto"/>
              </w:rPr>
            </w:pPr>
            <w:r>
              <w:rPr>
                <w:rFonts w:ascii="Arial" w:cs="Arial" w:eastAsia="Arial" w:hAnsi="Arial"/>
                <w:sz w:val="18"/>
                <w:szCs w:val="18"/>
                <w:color w:val="auto"/>
                <w:w w:val="95"/>
              </w:rPr>
              <w:t>agency services for semiconductor companies Yangtze Memory,</w:t>
            </w:r>
          </w:p>
        </w:tc>
        <w:tc>
          <w:tcPr>
            <w:tcW w:w="31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120" w:type="dxa"/>
            <w:vAlign w:val="bottom"/>
            <w:tcBorders>
              <w:left w:val="single" w:sz="8" w:color="auto"/>
              <w:right w:val="single" w:sz="8" w:color="auto"/>
            </w:tcBorders>
          </w:tcPr>
          <w:p>
            <w:pPr>
              <w:spacing w:after="0"/>
              <w:rPr>
                <w:sz w:val="18"/>
                <w:szCs w:val="18"/>
                <w:color w:val="auto"/>
              </w:rPr>
            </w:pPr>
          </w:p>
        </w:tc>
        <w:tc>
          <w:tcPr>
            <w:tcW w:w="4960" w:type="dxa"/>
            <w:vAlign w:val="bottom"/>
            <w:tcBorders>
              <w:right w:val="single" w:sz="8" w:color="auto"/>
            </w:tcBorders>
          </w:tcPr>
          <w:p>
            <w:pPr>
              <w:spacing w:after="0"/>
              <w:rPr>
                <w:sz w:val="20"/>
                <w:szCs w:val="20"/>
                <w:color w:val="auto"/>
              </w:rPr>
            </w:pPr>
            <w:r>
              <w:rPr>
                <w:rFonts w:ascii="Arial" w:cs="Arial" w:eastAsia="Arial" w:hAnsi="Arial"/>
                <w:sz w:val="18"/>
                <w:szCs w:val="18"/>
                <w:color w:val="auto"/>
                <w:w w:val="95"/>
              </w:rPr>
              <w:t>Wuhan Xinxin Semiconductor Manufacturing Co., Ltd., Shanghai</w:t>
            </w:r>
          </w:p>
        </w:tc>
        <w:tc>
          <w:tcPr>
            <w:tcW w:w="3160" w:type="dxa"/>
            <w:vAlign w:val="bottom"/>
            <w:tcBorders>
              <w:right w:val="single" w:sz="8" w:color="auto"/>
            </w:tcBorders>
            <w:vMerge w:val="restart"/>
          </w:tcPr>
          <w:p>
            <w:pPr>
              <w:spacing w:after="0"/>
              <w:rPr>
                <w:sz w:val="20"/>
                <w:szCs w:val="20"/>
                <w:color w:val="auto"/>
              </w:rPr>
            </w:pPr>
            <w:r>
              <w:rPr>
                <w:rFonts w:ascii="Arial" w:cs="Arial" w:eastAsia="Arial" w:hAnsi="Arial"/>
                <w:sz w:val="18"/>
                <w:szCs w:val="18"/>
                <w:color w:val="auto"/>
              </w:rPr>
              <w:t>The income was mainly from import</w:t>
            </w:r>
          </w:p>
        </w:tc>
        <w:tc>
          <w:tcPr>
            <w:tcW w:w="0" w:type="dxa"/>
            <w:vAlign w:val="bottom"/>
          </w:tcPr>
          <w:p>
            <w:pPr>
              <w:spacing w:after="0"/>
              <w:rPr>
                <w:sz w:val="1"/>
                <w:szCs w:val="1"/>
                <w:color w:val="auto"/>
              </w:rPr>
            </w:pPr>
          </w:p>
        </w:tc>
      </w:tr>
      <w:tr>
        <w:trPr>
          <w:trHeight w:val="108"/>
        </w:trPr>
        <w:tc>
          <w:tcPr>
            <w:tcW w:w="3120" w:type="dxa"/>
            <w:vAlign w:val="bottom"/>
            <w:tcBorders>
              <w:left w:val="single" w:sz="8" w:color="auto"/>
              <w:right w:val="single" w:sz="8" w:color="auto"/>
            </w:tcBorders>
            <w:vMerge w:val="restart"/>
          </w:tcPr>
          <w:p>
            <w:pPr>
              <w:ind w:left="40"/>
              <w:spacing w:after="0"/>
              <w:rPr>
                <w:sz w:val="20"/>
                <w:szCs w:val="20"/>
                <w:color w:val="auto"/>
              </w:rPr>
            </w:pPr>
            <w:r>
              <w:rPr>
                <w:rFonts w:ascii="Arial" w:cs="Arial" w:eastAsia="Arial" w:hAnsi="Arial"/>
                <w:sz w:val="18"/>
                <w:szCs w:val="18"/>
                <w:color w:val="auto"/>
              </w:rPr>
              <w:t>MOTION ELECTRONICS</w:t>
            </w:r>
          </w:p>
        </w:tc>
        <w:tc>
          <w:tcPr>
            <w:tcW w:w="4960" w:type="dxa"/>
            <w:vAlign w:val="bottom"/>
            <w:tcBorders>
              <w:right w:val="single" w:sz="8" w:color="auto"/>
            </w:tcBorders>
            <w:vMerge w:val="restart"/>
          </w:tcPr>
          <w:p>
            <w:pPr>
              <w:spacing w:after="0"/>
              <w:rPr>
                <w:sz w:val="20"/>
                <w:szCs w:val="20"/>
                <w:color w:val="auto"/>
              </w:rPr>
            </w:pPr>
            <w:r>
              <w:rPr>
                <w:rFonts w:ascii="Arial" w:cs="Arial" w:eastAsia="Arial" w:hAnsi="Arial"/>
                <w:sz w:val="18"/>
                <w:szCs w:val="18"/>
                <w:color w:val="auto"/>
              </w:rPr>
              <w:t>Huali Microelectronics Corporation, Cryptom Inc., Germany</w:t>
            </w:r>
          </w:p>
        </w:tc>
        <w:tc>
          <w:tcPr>
            <w:tcW w:w="3160" w:type="dxa"/>
            <w:vAlign w:val="bottom"/>
            <w:tcBorders>
              <w:right w:val="single" w:sz="8" w:color="auto"/>
            </w:tcBorders>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3120" w:type="dxa"/>
            <w:vAlign w:val="bottom"/>
            <w:tcBorders>
              <w:left w:val="single" w:sz="8" w:color="auto"/>
              <w:right w:val="single" w:sz="8" w:color="auto"/>
            </w:tcBorders>
            <w:vMerge w:val="continue"/>
          </w:tcPr>
          <w:p>
            <w:pPr>
              <w:spacing w:after="0"/>
              <w:rPr>
                <w:sz w:val="9"/>
                <w:szCs w:val="9"/>
                <w:color w:val="auto"/>
              </w:rPr>
            </w:pPr>
          </w:p>
        </w:tc>
        <w:tc>
          <w:tcPr>
            <w:tcW w:w="4960" w:type="dxa"/>
            <w:vAlign w:val="bottom"/>
            <w:tcBorders>
              <w:right w:val="single" w:sz="8" w:color="auto"/>
            </w:tcBorders>
            <w:vMerge w:val="continue"/>
          </w:tcPr>
          <w:p>
            <w:pPr>
              <w:spacing w:after="0"/>
              <w:rPr>
                <w:sz w:val="9"/>
                <w:szCs w:val="9"/>
                <w:color w:val="auto"/>
              </w:rPr>
            </w:pPr>
          </w:p>
        </w:tc>
        <w:tc>
          <w:tcPr>
            <w:tcW w:w="3160" w:type="dxa"/>
            <w:vAlign w:val="bottom"/>
            <w:tcBorders>
              <w:right w:val="single" w:sz="8" w:color="auto"/>
            </w:tcBorders>
            <w:vMerge w:val="restart"/>
          </w:tcPr>
          <w:p>
            <w:pPr>
              <w:spacing w:after="0"/>
              <w:rPr>
                <w:sz w:val="20"/>
                <w:szCs w:val="20"/>
                <w:color w:val="auto"/>
              </w:rPr>
            </w:pPr>
            <w:r>
              <w:rPr>
                <w:rFonts w:ascii="Arial" w:cs="Arial" w:eastAsia="Arial" w:hAnsi="Arial"/>
                <w:sz w:val="18"/>
                <w:szCs w:val="18"/>
                <w:color w:val="auto"/>
              </w:rPr>
              <w:t>agency business, not semiconductor</w:t>
            </w:r>
          </w:p>
        </w:tc>
        <w:tc>
          <w:tcPr>
            <w:tcW w:w="0" w:type="dxa"/>
            <w:vAlign w:val="bottom"/>
          </w:tcPr>
          <w:p>
            <w:pPr>
              <w:spacing w:after="0"/>
              <w:rPr>
                <w:sz w:val="1"/>
                <w:szCs w:val="1"/>
                <w:color w:val="auto"/>
              </w:rPr>
            </w:pPr>
          </w:p>
        </w:tc>
      </w:tr>
      <w:tr>
        <w:trPr>
          <w:trHeight w:val="108"/>
        </w:trPr>
        <w:tc>
          <w:tcPr>
            <w:tcW w:w="3120" w:type="dxa"/>
            <w:vAlign w:val="bottom"/>
            <w:tcBorders>
              <w:left w:val="single" w:sz="8" w:color="auto"/>
              <w:right w:val="single" w:sz="8" w:color="auto"/>
            </w:tcBorders>
            <w:vMerge w:val="restart"/>
          </w:tcPr>
          <w:p>
            <w:pPr>
              <w:ind w:left="40"/>
              <w:spacing w:after="0"/>
              <w:rPr>
                <w:sz w:val="20"/>
                <w:szCs w:val="20"/>
                <w:color w:val="auto"/>
              </w:rPr>
            </w:pPr>
            <w:r>
              <w:rPr>
                <w:rFonts w:ascii="Arial" w:cs="Arial" w:eastAsia="Arial" w:hAnsi="Arial"/>
                <w:sz w:val="18"/>
                <w:szCs w:val="18"/>
                <w:color w:val="auto"/>
              </w:rPr>
              <w:t>CO.,LTD</w:t>
            </w:r>
          </w:p>
        </w:tc>
        <w:tc>
          <w:tcPr>
            <w:tcW w:w="4960" w:type="dxa"/>
            <w:vAlign w:val="bottom"/>
            <w:tcBorders>
              <w:right w:val="single" w:sz="8" w:color="auto"/>
            </w:tcBorders>
            <w:vMerge w:val="restart"/>
          </w:tcPr>
          <w:p>
            <w:pPr>
              <w:spacing w:after="0"/>
              <w:rPr>
                <w:sz w:val="20"/>
                <w:szCs w:val="20"/>
                <w:color w:val="auto"/>
              </w:rPr>
            </w:pPr>
            <w:r>
              <w:rPr>
                <w:rFonts w:ascii="Arial" w:cs="Arial" w:eastAsia="Arial" w:hAnsi="Arial"/>
                <w:sz w:val="18"/>
                <w:szCs w:val="18"/>
                <w:color w:val="auto"/>
                <w:w w:val="99"/>
              </w:rPr>
              <w:t>LEYBOLD, etc. Due to the overlap of some customers and the</w:t>
            </w:r>
          </w:p>
        </w:tc>
        <w:tc>
          <w:tcPr>
            <w:tcW w:w="3160" w:type="dxa"/>
            <w:vAlign w:val="bottom"/>
            <w:tcBorders>
              <w:right w:val="single" w:sz="8" w:color="auto"/>
            </w:tcBorders>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3120" w:type="dxa"/>
            <w:vAlign w:val="bottom"/>
            <w:tcBorders>
              <w:left w:val="single" w:sz="8" w:color="auto"/>
              <w:right w:val="single" w:sz="8" w:color="auto"/>
            </w:tcBorders>
            <w:vMerge w:val="continue"/>
          </w:tcPr>
          <w:p>
            <w:pPr>
              <w:spacing w:after="0"/>
              <w:rPr>
                <w:sz w:val="9"/>
                <w:szCs w:val="9"/>
                <w:color w:val="auto"/>
              </w:rPr>
            </w:pPr>
          </w:p>
        </w:tc>
        <w:tc>
          <w:tcPr>
            <w:tcW w:w="4960" w:type="dxa"/>
            <w:vAlign w:val="bottom"/>
            <w:tcBorders>
              <w:right w:val="single" w:sz="8" w:color="auto"/>
            </w:tcBorders>
            <w:vMerge w:val="continue"/>
          </w:tcPr>
          <w:p>
            <w:pPr>
              <w:spacing w:after="0"/>
              <w:rPr>
                <w:sz w:val="9"/>
                <w:szCs w:val="9"/>
                <w:color w:val="auto"/>
              </w:rPr>
            </w:pPr>
          </w:p>
        </w:tc>
        <w:tc>
          <w:tcPr>
            <w:tcW w:w="3160" w:type="dxa"/>
            <w:vAlign w:val="bottom"/>
            <w:tcBorders>
              <w:right w:val="single" w:sz="8" w:color="auto"/>
            </w:tcBorders>
            <w:vMerge w:val="restart"/>
          </w:tcPr>
          <w:p>
            <w:pPr>
              <w:spacing w:after="0"/>
              <w:rPr>
                <w:sz w:val="20"/>
                <w:szCs w:val="20"/>
                <w:color w:val="auto"/>
              </w:rPr>
            </w:pPr>
            <w:r>
              <w:rPr>
                <w:rFonts w:ascii="Arial" w:cs="Arial" w:eastAsia="Arial" w:hAnsi="Arial"/>
                <w:sz w:val="18"/>
                <w:szCs w:val="18"/>
                <w:color w:val="auto"/>
              </w:rPr>
              <w:t>equipment agency sales business</w:t>
            </w:r>
          </w:p>
        </w:tc>
        <w:tc>
          <w:tcPr>
            <w:tcW w:w="0" w:type="dxa"/>
            <w:vAlign w:val="bottom"/>
          </w:tcPr>
          <w:p>
            <w:pPr>
              <w:spacing w:after="0"/>
              <w:rPr>
                <w:sz w:val="1"/>
                <w:szCs w:val="1"/>
                <w:color w:val="auto"/>
              </w:rPr>
            </w:pPr>
          </w:p>
        </w:tc>
      </w:tr>
      <w:tr>
        <w:trPr>
          <w:trHeight w:val="122"/>
        </w:trPr>
        <w:tc>
          <w:tcPr>
            <w:tcW w:w="3120" w:type="dxa"/>
            <w:vAlign w:val="bottom"/>
            <w:tcBorders>
              <w:left w:val="single" w:sz="8" w:color="auto"/>
              <w:right w:val="single" w:sz="8" w:color="auto"/>
            </w:tcBorders>
          </w:tcPr>
          <w:p>
            <w:pPr>
              <w:spacing w:after="0"/>
              <w:rPr>
                <w:sz w:val="10"/>
                <w:szCs w:val="10"/>
                <w:color w:val="auto"/>
              </w:rPr>
            </w:pPr>
          </w:p>
        </w:tc>
        <w:tc>
          <w:tcPr>
            <w:tcW w:w="4960" w:type="dxa"/>
            <w:vAlign w:val="bottom"/>
            <w:tcBorders>
              <w:right w:val="single" w:sz="8" w:color="auto"/>
            </w:tcBorders>
            <w:vMerge w:val="restart"/>
          </w:tcPr>
          <w:p>
            <w:pPr>
              <w:spacing w:after="0"/>
              <w:rPr>
                <w:sz w:val="20"/>
                <w:szCs w:val="20"/>
                <w:color w:val="auto"/>
              </w:rPr>
            </w:pPr>
            <w:r>
              <w:rPr>
                <w:rFonts w:ascii="Arial" w:cs="Arial" w:eastAsia="Arial" w:hAnsi="Arial"/>
                <w:sz w:val="18"/>
                <w:szCs w:val="18"/>
                <w:color w:val="auto"/>
              </w:rPr>
              <w:t>Company, and the establishment of good relations with many</w:t>
            </w:r>
          </w:p>
        </w:tc>
        <w:tc>
          <w:tcPr>
            <w:tcW w:w="3160" w:type="dxa"/>
            <w:vAlign w:val="bottom"/>
            <w:tcBorders>
              <w:right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4"/>
        </w:trPr>
        <w:tc>
          <w:tcPr>
            <w:tcW w:w="3120" w:type="dxa"/>
            <w:vAlign w:val="bottom"/>
            <w:tcBorders>
              <w:left w:val="single" w:sz="8" w:color="auto"/>
              <w:right w:val="single" w:sz="8" w:color="auto"/>
            </w:tcBorders>
          </w:tcPr>
          <w:p>
            <w:pPr>
              <w:spacing w:after="0"/>
              <w:rPr>
                <w:sz w:val="8"/>
                <w:szCs w:val="8"/>
                <w:color w:val="auto"/>
              </w:rPr>
            </w:pPr>
          </w:p>
        </w:tc>
        <w:tc>
          <w:tcPr>
            <w:tcW w:w="4960" w:type="dxa"/>
            <w:vAlign w:val="bottom"/>
            <w:tcBorders>
              <w:right w:val="single" w:sz="8" w:color="auto"/>
            </w:tcBorders>
            <w:vMerge w:val="continue"/>
          </w:tcPr>
          <w:p>
            <w:pPr>
              <w:spacing w:after="0"/>
              <w:rPr>
                <w:sz w:val="8"/>
                <w:szCs w:val="8"/>
                <w:color w:val="auto"/>
              </w:rPr>
            </w:pPr>
          </w:p>
        </w:tc>
        <w:tc>
          <w:tcPr>
            <w:tcW w:w="3160" w:type="dxa"/>
            <w:vAlign w:val="bottom"/>
            <w:tcBorders>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3120" w:type="dxa"/>
            <w:vAlign w:val="bottom"/>
            <w:tcBorders>
              <w:left w:val="single" w:sz="8" w:color="auto"/>
              <w:right w:val="single" w:sz="8" w:color="auto"/>
            </w:tcBorders>
          </w:tcPr>
          <w:p>
            <w:pPr>
              <w:spacing w:after="0"/>
              <w:rPr>
                <w:sz w:val="18"/>
                <w:szCs w:val="18"/>
                <w:color w:val="auto"/>
              </w:rPr>
            </w:pPr>
          </w:p>
        </w:tc>
        <w:tc>
          <w:tcPr>
            <w:tcW w:w="4960" w:type="dxa"/>
            <w:vAlign w:val="bottom"/>
            <w:tcBorders>
              <w:right w:val="single" w:sz="8" w:color="auto"/>
            </w:tcBorders>
          </w:tcPr>
          <w:p>
            <w:pPr>
              <w:spacing w:after="0"/>
              <w:rPr>
                <w:sz w:val="20"/>
                <w:szCs w:val="20"/>
                <w:color w:val="auto"/>
              </w:rPr>
            </w:pPr>
            <w:r>
              <w:rPr>
                <w:rFonts w:ascii="Arial" w:cs="Arial" w:eastAsia="Arial" w:hAnsi="Arial"/>
                <w:sz w:val="18"/>
                <w:szCs w:val="18"/>
                <w:color w:val="auto"/>
                <w:w w:val="99"/>
              </w:rPr>
              <w:t>semiconductor enterprises in the early stage, it provided sales</w:t>
            </w:r>
          </w:p>
        </w:tc>
        <w:tc>
          <w:tcPr>
            <w:tcW w:w="31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3120" w:type="dxa"/>
            <w:vAlign w:val="bottom"/>
            <w:tcBorders>
              <w:left w:val="single" w:sz="8" w:color="auto"/>
              <w:bottom w:val="single" w:sz="8" w:color="auto"/>
              <w:right w:val="single" w:sz="8" w:color="auto"/>
            </w:tcBorders>
          </w:tcPr>
          <w:p>
            <w:pPr>
              <w:spacing w:after="0"/>
              <w:rPr>
                <w:sz w:val="20"/>
                <w:szCs w:val="20"/>
                <w:color w:val="auto"/>
              </w:rPr>
            </w:pPr>
          </w:p>
        </w:tc>
        <w:tc>
          <w:tcPr>
            <w:tcW w:w="496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agency services for the Company.</w:t>
            </w:r>
          </w:p>
        </w:tc>
        <w:tc>
          <w:tcPr>
            <w:tcW w:w="316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3120" w:type="dxa"/>
            <w:vAlign w:val="bottom"/>
            <w:tcBorders>
              <w:left w:val="single" w:sz="8" w:color="auto"/>
              <w:right w:val="single" w:sz="8" w:color="auto"/>
            </w:tcBorders>
            <w:vMerge w:val="restart"/>
          </w:tcPr>
          <w:p>
            <w:pPr>
              <w:ind w:left="40"/>
              <w:spacing w:after="0"/>
              <w:rPr>
                <w:sz w:val="20"/>
                <w:szCs w:val="20"/>
                <w:color w:val="auto"/>
              </w:rPr>
            </w:pPr>
            <w:r>
              <w:rPr>
                <w:rFonts w:ascii="Arial" w:cs="Arial" w:eastAsia="Arial" w:hAnsi="Arial"/>
                <w:sz w:val="18"/>
                <w:szCs w:val="18"/>
                <w:color w:val="auto"/>
              </w:rPr>
              <w:t>ZAIN TECHNOLOGY</w:t>
            </w:r>
          </w:p>
        </w:tc>
        <w:tc>
          <w:tcPr>
            <w:tcW w:w="4960" w:type="dxa"/>
            <w:vAlign w:val="bottom"/>
            <w:tcBorders>
              <w:right w:val="single" w:sz="8" w:color="auto"/>
            </w:tcBorders>
          </w:tcPr>
          <w:p>
            <w:pPr>
              <w:spacing w:after="0" w:line="201" w:lineRule="exact"/>
              <w:rPr>
                <w:sz w:val="20"/>
                <w:szCs w:val="20"/>
                <w:color w:val="auto"/>
              </w:rPr>
            </w:pPr>
            <w:r>
              <w:rPr>
                <w:rFonts w:ascii="Arial" w:cs="Arial" w:eastAsia="Arial" w:hAnsi="Arial"/>
                <w:sz w:val="18"/>
                <w:szCs w:val="18"/>
                <w:color w:val="auto"/>
              </w:rPr>
              <w:t>Sales and maintenance agency of patent products. The main</w:t>
            </w:r>
          </w:p>
        </w:tc>
        <w:tc>
          <w:tcPr>
            <w:tcW w:w="3160" w:type="dxa"/>
            <w:vAlign w:val="bottom"/>
            <w:tcBorders>
              <w:right w:val="single" w:sz="8" w:color="auto"/>
            </w:tcBorders>
          </w:tcPr>
          <w:p>
            <w:pPr>
              <w:spacing w:after="0" w:line="201" w:lineRule="exact"/>
              <w:rPr>
                <w:sz w:val="20"/>
                <w:szCs w:val="20"/>
                <w:color w:val="auto"/>
              </w:rPr>
            </w:pPr>
            <w:r>
              <w:rPr>
                <w:rFonts w:ascii="Arial" w:cs="Arial" w:eastAsia="Arial" w:hAnsi="Arial"/>
                <w:sz w:val="18"/>
                <w:szCs w:val="18"/>
                <w:color w:val="auto"/>
                <w:w w:val="92"/>
              </w:rPr>
              <w:t>The income mainly came from the sales of</w:t>
            </w:r>
          </w:p>
        </w:tc>
        <w:tc>
          <w:tcPr>
            <w:tcW w:w="0" w:type="dxa"/>
            <w:vAlign w:val="bottom"/>
          </w:tcPr>
          <w:p>
            <w:pPr>
              <w:spacing w:after="0"/>
              <w:rPr>
                <w:sz w:val="1"/>
                <w:szCs w:val="1"/>
                <w:color w:val="auto"/>
              </w:rPr>
            </w:pPr>
          </w:p>
        </w:tc>
      </w:tr>
      <w:tr>
        <w:trPr>
          <w:trHeight w:val="108"/>
        </w:trPr>
        <w:tc>
          <w:tcPr>
            <w:tcW w:w="3120" w:type="dxa"/>
            <w:vAlign w:val="bottom"/>
            <w:tcBorders>
              <w:left w:val="single" w:sz="8" w:color="auto"/>
              <w:right w:val="single" w:sz="8" w:color="auto"/>
            </w:tcBorders>
            <w:vMerge w:val="continue"/>
          </w:tcPr>
          <w:p>
            <w:pPr>
              <w:spacing w:after="0"/>
              <w:rPr>
                <w:sz w:val="9"/>
                <w:szCs w:val="9"/>
                <w:color w:val="auto"/>
              </w:rPr>
            </w:pPr>
          </w:p>
        </w:tc>
        <w:tc>
          <w:tcPr>
            <w:tcW w:w="4960" w:type="dxa"/>
            <w:vAlign w:val="bottom"/>
            <w:tcBorders>
              <w:right w:val="single" w:sz="8" w:color="auto"/>
            </w:tcBorders>
            <w:vMerge w:val="restart"/>
          </w:tcPr>
          <w:p>
            <w:pPr>
              <w:spacing w:after="0"/>
              <w:rPr>
                <w:sz w:val="20"/>
                <w:szCs w:val="20"/>
                <w:color w:val="auto"/>
              </w:rPr>
            </w:pPr>
            <w:r>
              <w:rPr>
                <w:rFonts w:ascii="Arial" w:cs="Arial" w:eastAsia="Arial" w:hAnsi="Arial"/>
                <w:sz w:val="18"/>
                <w:szCs w:val="18"/>
                <w:color w:val="auto"/>
                <w:w w:val="98"/>
              </w:rPr>
              <w:t>products are quartz components, etc., and the main customers</w:t>
            </w:r>
          </w:p>
        </w:tc>
        <w:tc>
          <w:tcPr>
            <w:tcW w:w="3160" w:type="dxa"/>
            <w:vAlign w:val="bottom"/>
            <w:tcBorders>
              <w:right w:val="single" w:sz="8" w:color="auto"/>
            </w:tcBorders>
            <w:vMerge w:val="restart"/>
          </w:tcPr>
          <w:p>
            <w:pPr>
              <w:spacing w:after="0"/>
              <w:rPr>
                <w:sz w:val="20"/>
                <w:szCs w:val="20"/>
                <w:color w:val="auto"/>
              </w:rPr>
            </w:pPr>
            <w:r>
              <w:rPr>
                <w:rFonts w:ascii="Arial" w:cs="Arial" w:eastAsia="Arial" w:hAnsi="Arial"/>
                <w:sz w:val="18"/>
                <w:szCs w:val="18"/>
                <w:color w:val="auto"/>
              </w:rPr>
              <w:t>its products, with the agency income</w:t>
            </w:r>
          </w:p>
        </w:tc>
        <w:tc>
          <w:tcPr>
            <w:tcW w:w="0" w:type="dxa"/>
            <w:vAlign w:val="bottom"/>
          </w:tcPr>
          <w:p>
            <w:pPr>
              <w:spacing w:after="0"/>
              <w:rPr>
                <w:sz w:val="1"/>
                <w:szCs w:val="1"/>
                <w:color w:val="auto"/>
              </w:rPr>
            </w:pPr>
          </w:p>
        </w:tc>
      </w:tr>
      <w:tr>
        <w:trPr>
          <w:trHeight w:val="108"/>
        </w:trPr>
        <w:tc>
          <w:tcPr>
            <w:tcW w:w="3120" w:type="dxa"/>
            <w:vAlign w:val="bottom"/>
            <w:tcBorders>
              <w:left w:val="single" w:sz="8" w:color="auto"/>
              <w:right w:val="single" w:sz="8" w:color="auto"/>
            </w:tcBorders>
            <w:vMerge w:val="restart"/>
          </w:tcPr>
          <w:p>
            <w:pPr>
              <w:ind w:left="40"/>
              <w:spacing w:after="0"/>
              <w:rPr>
                <w:sz w:val="20"/>
                <w:szCs w:val="20"/>
                <w:color w:val="auto"/>
              </w:rPr>
            </w:pPr>
            <w:r>
              <w:rPr>
                <w:rFonts w:ascii="Arial" w:cs="Arial" w:eastAsia="Arial" w:hAnsi="Arial"/>
                <w:sz w:val="18"/>
                <w:szCs w:val="18"/>
                <w:color w:val="auto"/>
              </w:rPr>
              <w:t>CO.,LTD</w:t>
            </w:r>
          </w:p>
        </w:tc>
        <w:tc>
          <w:tcPr>
            <w:tcW w:w="4960" w:type="dxa"/>
            <w:vAlign w:val="bottom"/>
            <w:tcBorders>
              <w:right w:val="single" w:sz="8" w:color="auto"/>
            </w:tcBorders>
            <w:vMerge w:val="continue"/>
          </w:tcPr>
          <w:p>
            <w:pPr>
              <w:spacing w:after="0"/>
              <w:rPr>
                <w:sz w:val="9"/>
                <w:szCs w:val="9"/>
                <w:color w:val="auto"/>
              </w:rPr>
            </w:pPr>
          </w:p>
        </w:tc>
        <w:tc>
          <w:tcPr>
            <w:tcW w:w="3160" w:type="dxa"/>
            <w:vAlign w:val="bottom"/>
            <w:tcBorders>
              <w:right w:val="single" w:sz="8" w:color="auto"/>
            </w:tcBorders>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22"/>
        </w:trPr>
        <w:tc>
          <w:tcPr>
            <w:tcW w:w="3120" w:type="dxa"/>
            <w:vAlign w:val="bottom"/>
            <w:tcBorders>
              <w:left w:val="single" w:sz="8" w:color="auto"/>
              <w:right w:val="single" w:sz="8" w:color="auto"/>
            </w:tcBorders>
            <w:vMerge w:val="continue"/>
          </w:tcPr>
          <w:p>
            <w:pPr>
              <w:spacing w:after="0"/>
              <w:rPr>
                <w:sz w:val="10"/>
                <w:szCs w:val="10"/>
                <w:color w:val="auto"/>
              </w:rPr>
            </w:pPr>
          </w:p>
        </w:tc>
        <w:tc>
          <w:tcPr>
            <w:tcW w:w="4960" w:type="dxa"/>
            <w:vAlign w:val="bottom"/>
            <w:tcBorders>
              <w:right w:val="single" w:sz="8" w:color="auto"/>
            </w:tcBorders>
            <w:vMerge w:val="restart"/>
          </w:tcPr>
          <w:p>
            <w:pPr>
              <w:spacing w:after="0"/>
              <w:rPr>
                <w:sz w:val="20"/>
                <w:szCs w:val="20"/>
                <w:color w:val="auto"/>
              </w:rPr>
            </w:pPr>
            <w:r>
              <w:rPr>
                <w:rFonts w:ascii="Arial" w:cs="Arial" w:eastAsia="Arial" w:hAnsi="Arial"/>
                <w:sz w:val="18"/>
                <w:szCs w:val="18"/>
                <w:color w:val="auto"/>
              </w:rPr>
              <w:t>include Lianhua Electronics Co., Ltd. and TSMC.</w:t>
            </w:r>
          </w:p>
        </w:tc>
        <w:tc>
          <w:tcPr>
            <w:tcW w:w="3160" w:type="dxa"/>
            <w:vAlign w:val="bottom"/>
            <w:tcBorders>
              <w:right w:val="single" w:sz="8" w:color="auto"/>
            </w:tcBorders>
            <w:vMerge w:val="restart"/>
          </w:tcPr>
          <w:p>
            <w:pPr>
              <w:spacing w:after="0"/>
              <w:rPr>
                <w:sz w:val="20"/>
                <w:szCs w:val="20"/>
                <w:color w:val="auto"/>
              </w:rPr>
            </w:pPr>
            <w:r>
              <w:rPr>
                <w:rFonts w:ascii="Arial" w:cs="Arial" w:eastAsia="Arial" w:hAnsi="Arial"/>
                <w:sz w:val="18"/>
                <w:szCs w:val="18"/>
                <w:color w:val="auto"/>
                <w:w w:val="96"/>
              </w:rPr>
              <w:t>accounting for a relatively low proportion</w:t>
            </w:r>
          </w:p>
        </w:tc>
        <w:tc>
          <w:tcPr>
            <w:tcW w:w="0" w:type="dxa"/>
            <w:vAlign w:val="bottom"/>
          </w:tcPr>
          <w:p>
            <w:pPr>
              <w:spacing w:after="0"/>
              <w:rPr>
                <w:sz w:val="1"/>
                <w:szCs w:val="1"/>
                <w:color w:val="auto"/>
              </w:rPr>
            </w:pPr>
          </w:p>
        </w:tc>
      </w:tr>
      <w:tr>
        <w:trPr>
          <w:trHeight w:val="115"/>
        </w:trPr>
        <w:tc>
          <w:tcPr>
            <w:tcW w:w="3120" w:type="dxa"/>
            <w:vAlign w:val="bottom"/>
            <w:tcBorders>
              <w:left w:val="single" w:sz="8" w:color="auto"/>
              <w:bottom w:val="single" w:sz="8" w:color="auto"/>
              <w:right w:val="single" w:sz="8" w:color="auto"/>
            </w:tcBorders>
          </w:tcPr>
          <w:p>
            <w:pPr>
              <w:spacing w:after="0"/>
              <w:rPr>
                <w:sz w:val="10"/>
                <w:szCs w:val="10"/>
                <w:color w:val="auto"/>
              </w:rPr>
            </w:pPr>
          </w:p>
        </w:tc>
        <w:tc>
          <w:tcPr>
            <w:tcW w:w="4960" w:type="dxa"/>
            <w:vAlign w:val="bottom"/>
            <w:tcBorders>
              <w:bottom w:val="single" w:sz="8" w:color="auto"/>
              <w:right w:val="single" w:sz="8" w:color="auto"/>
            </w:tcBorders>
            <w:vMerge w:val="continue"/>
          </w:tcPr>
          <w:p>
            <w:pPr>
              <w:spacing w:after="0"/>
              <w:rPr>
                <w:sz w:val="10"/>
                <w:szCs w:val="10"/>
                <w:color w:val="auto"/>
              </w:rPr>
            </w:pPr>
          </w:p>
        </w:tc>
        <w:tc>
          <w:tcPr>
            <w:tcW w:w="3160" w:type="dxa"/>
            <w:vAlign w:val="bottom"/>
            <w:tcBorders>
              <w:bottom w:val="single" w:sz="8" w:color="auto"/>
              <w:right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2"/>
        </w:trPr>
        <w:tc>
          <w:tcPr>
            <w:tcW w:w="3120" w:type="dxa"/>
            <w:vAlign w:val="bottom"/>
            <w:tcBorders>
              <w:left w:val="single" w:sz="8" w:color="auto"/>
              <w:right w:val="single" w:sz="8" w:color="auto"/>
            </w:tcBorders>
          </w:tcPr>
          <w:p>
            <w:pPr>
              <w:ind w:left="40"/>
              <w:spacing w:after="0" w:line="201" w:lineRule="exact"/>
              <w:rPr>
                <w:sz w:val="20"/>
                <w:szCs w:val="20"/>
                <w:color w:val="auto"/>
              </w:rPr>
            </w:pPr>
            <w:r>
              <w:rPr>
                <w:rFonts w:ascii="Arial" w:cs="Arial" w:eastAsia="Arial" w:hAnsi="Arial"/>
                <w:sz w:val="18"/>
                <w:szCs w:val="18"/>
                <w:color w:val="auto"/>
              </w:rPr>
              <w:t>HANWOOL SCIENTIFIC</w:t>
            </w:r>
          </w:p>
        </w:tc>
        <w:tc>
          <w:tcPr>
            <w:tcW w:w="4960" w:type="dxa"/>
            <w:vAlign w:val="bottom"/>
            <w:tcBorders>
              <w:right w:val="single" w:sz="8" w:color="auto"/>
            </w:tcBorders>
          </w:tcPr>
          <w:p>
            <w:pPr>
              <w:spacing w:after="0" w:line="201" w:lineRule="exact"/>
              <w:rPr>
                <w:sz w:val="20"/>
                <w:szCs w:val="20"/>
                <w:color w:val="auto"/>
              </w:rPr>
            </w:pPr>
            <w:r>
              <w:rPr>
                <w:rFonts w:ascii="Arial" w:cs="Arial" w:eastAsia="Arial" w:hAnsi="Arial"/>
                <w:sz w:val="18"/>
                <w:szCs w:val="18"/>
                <w:color w:val="auto"/>
                <w:w w:val="97"/>
              </w:rPr>
              <w:t>Rendering sales services on semiconductor equipment, remote</w:t>
            </w:r>
          </w:p>
        </w:tc>
        <w:tc>
          <w:tcPr>
            <w:tcW w:w="3160" w:type="dxa"/>
            <w:vAlign w:val="bottom"/>
            <w:tcBorders>
              <w:right w:val="single" w:sz="8" w:color="auto"/>
            </w:tcBorders>
            <w:vMerge w:val="restart"/>
          </w:tcPr>
          <w:p>
            <w:pPr>
              <w:spacing w:after="0"/>
              <w:rPr>
                <w:sz w:val="20"/>
                <w:szCs w:val="20"/>
                <w:color w:val="auto"/>
              </w:rPr>
            </w:pPr>
            <w:r>
              <w:rPr>
                <w:rFonts w:ascii="Arial" w:cs="Arial" w:eastAsia="Arial" w:hAnsi="Arial"/>
                <w:sz w:val="18"/>
                <w:szCs w:val="18"/>
                <w:color w:val="auto"/>
                <w:w w:val="91"/>
              </w:rPr>
              <w:t>The income was mainly from the Company</w:t>
            </w:r>
          </w:p>
        </w:tc>
        <w:tc>
          <w:tcPr>
            <w:tcW w:w="0" w:type="dxa"/>
            <w:vAlign w:val="bottom"/>
          </w:tcPr>
          <w:p>
            <w:pPr>
              <w:spacing w:after="0"/>
              <w:rPr>
                <w:sz w:val="1"/>
                <w:szCs w:val="1"/>
                <w:color w:val="auto"/>
              </w:rPr>
            </w:pPr>
          </w:p>
        </w:tc>
      </w:tr>
      <w:tr>
        <w:trPr>
          <w:trHeight w:val="122"/>
        </w:trPr>
        <w:tc>
          <w:tcPr>
            <w:tcW w:w="3120" w:type="dxa"/>
            <w:vAlign w:val="bottom"/>
            <w:tcBorders>
              <w:left w:val="single" w:sz="8" w:color="auto"/>
              <w:right w:val="single" w:sz="8" w:color="auto"/>
            </w:tcBorders>
            <w:vMerge w:val="restart"/>
          </w:tcPr>
          <w:p>
            <w:pPr>
              <w:ind w:left="40"/>
              <w:spacing w:after="0"/>
              <w:rPr>
                <w:sz w:val="20"/>
                <w:szCs w:val="20"/>
                <w:color w:val="auto"/>
              </w:rPr>
            </w:pPr>
            <w:r>
              <w:rPr>
                <w:rFonts w:ascii="Arial" w:cs="Arial" w:eastAsia="Arial" w:hAnsi="Arial"/>
                <w:sz w:val="18"/>
                <w:szCs w:val="18"/>
                <w:color w:val="auto"/>
              </w:rPr>
              <w:t>CO.,LTD.</w:t>
            </w:r>
          </w:p>
        </w:tc>
        <w:tc>
          <w:tcPr>
            <w:tcW w:w="4960" w:type="dxa"/>
            <w:vAlign w:val="bottom"/>
            <w:tcBorders>
              <w:right w:val="single" w:sz="8" w:color="auto"/>
            </w:tcBorders>
            <w:vMerge w:val="restart"/>
          </w:tcPr>
          <w:p>
            <w:pPr>
              <w:spacing w:after="0"/>
              <w:rPr>
                <w:sz w:val="20"/>
                <w:szCs w:val="20"/>
                <w:color w:val="auto"/>
              </w:rPr>
            </w:pPr>
            <w:r>
              <w:rPr>
                <w:rFonts w:ascii="Arial" w:cs="Arial" w:eastAsia="Arial" w:hAnsi="Arial"/>
                <w:sz w:val="18"/>
                <w:szCs w:val="18"/>
                <w:color w:val="auto"/>
              </w:rPr>
              <w:t>control system, and acting as sales agents</w:t>
            </w:r>
          </w:p>
        </w:tc>
        <w:tc>
          <w:tcPr>
            <w:tcW w:w="3160" w:type="dxa"/>
            <w:vAlign w:val="bottom"/>
            <w:tcBorders>
              <w:right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15"/>
        </w:trPr>
        <w:tc>
          <w:tcPr>
            <w:tcW w:w="3120" w:type="dxa"/>
            <w:vAlign w:val="bottom"/>
            <w:tcBorders>
              <w:left w:val="single" w:sz="8" w:color="auto"/>
              <w:bottom w:val="single" w:sz="8" w:color="auto"/>
              <w:right w:val="single" w:sz="8" w:color="auto"/>
            </w:tcBorders>
            <w:vMerge w:val="continue"/>
          </w:tcPr>
          <w:p>
            <w:pPr>
              <w:spacing w:after="0"/>
              <w:rPr>
                <w:sz w:val="10"/>
                <w:szCs w:val="10"/>
                <w:color w:val="auto"/>
              </w:rPr>
            </w:pPr>
          </w:p>
        </w:tc>
        <w:tc>
          <w:tcPr>
            <w:tcW w:w="4960" w:type="dxa"/>
            <w:vAlign w:val="bottom"/>
            <w:tcBorders>
              <w:bottom w:val="single" w:sz="8" w:color="auto"/>
              <w:right w:val="single" w:sz="8" w:color="auto"/>
            </w:tcBorders>
            <w:vMerge w:val="continue"/>
          </w:tcPr>
          <w:p>
            <w:pPr>
              <w:spacing w:after="0"/>
              <w:rPr>
                <w:sz w:val="10"/>
                <w:szCs w:val="10"/>
                <w:color w:val="auto"/>
              </w:rPr>
            </w:pPr>
          </w:p>
        </w:tc>
        <w:tc>
          <w:tcPr>
            <w:tcW w:w="3160" w:type="dxa"/>
            <w:vAlign w:val="bottom"/>
            <w:tcBorders>
              <w:bottom w:val="single" w:sz="8" w:color="auto"/>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Thanks to the rapid development of the semiconductor industry and its continuous transfer to Mainland China, the demand of downstream semiconductor enterprises for the Company’s semiconductor special equipment is increasing, and the Company’s revenue keeps growing at a high speed. Within the validity period of the agency agreement, the Company needed to keep paying its agents after obtaining the income from the agents’ clients, so it is reasonable for the continuous increase in the agents’ incomes from the Company.</w:t>
      </w:r>
    </w:p>
    <w:p>
      <w:pPr>
        <w:spacing w:after="0" w:line="38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8-4-1-28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2" w:name="page33"/>
    <w:bookmarkEnd w:id="32"/>
    <w:p>
      <w:pPr>
        <w:jc w:val="both"/>
        <w:ind w:firstLine="324"/>
        <w:spacing w:after="0" w:line="277" w:lineRule="auto"/>
        <w:rPr>
          <w:sz w:val="20"/>
          <w:szCs w:val="20"/>
          <w:color w:val="auto"/>
        </w:rPr>
      </w:pPr>
      <w:r>
        <w:rPr>
          <w:rFonts w:ascii="Arial" w:cs="Arial" w:eastAsia="Arial" w:hAnsi="Arial"/>
          <w:sz w:val="18"/>
          <w:szCs w:val="18"/>
          <w:color w:val="auto"/>
        </w:rPr>
        <w:t>During the Reporting Period, the proportions of the agent commissions obtained by the Company’s agents from the Issuer to their agency incomes/operating incomes in the current year, and whether they had significant dependence on the Issuer, are as follows:</w:t>
      </w:r>
    </w:p>
    <w:p>
      <w:pPr>
        <w:spacing w:after="0" w:line="192" w:lineRule="exact"/>
        <w:rPr>
          <w:sz w:val="20"/>
          <w:szCs w:val="20"/>
          <w:color w:val="auto"/>
        </w:rPr>
      </w:pPr>
    </w:p>
    <w:tbl>
      <w:tblPr>
        <w:tblLayout w:type="fixed"/>
        <w:tblInd w:w="10" w:type="dxa"/>
        <w:tblCellMar>
          <w:top w:w="0" w:type="dxa"/>
          <w:left w:w="0" w:type="dxa"/>
          <w:bottom w:w="0" w:type="dxa"/>
          <w:right w:w="0" w:type="dxa"/>
        </w:tblCellMar>
      </w:tblPr>
      <w:tr>
        <w:trPr>
          <w:trHeight w:val="225"/>
        </w:trPr>
        <w:tc>
          <w:tcPr>
            <w:tcW w:w="3360" w:type="dxa"/>
            <w:vAlign w:val="bottom"/>
            <w:tcBorders>
              <w:top w:val="single" w:sz="8" w:color="auto"/>
              <w:left w:val="single" w:sz="8" w:color="auto"/>
              <w:right w:val="single" w:sz="8" w:color="auto"/>
            </w:tcBorders>
          </w:tcPr>
          <w:p>
            <w:pPr>
              <w:spacing w:after="0"/>
              <w:rPr>
                <w:sz w:val="19"/>
                <w:szCs w:val="19"/>
                <w:color w:val="auto"/>
              </w:rPr>
            </w:pPr>
          </w:p>
        </w:tc>
        <w:tc>
          <w:tcPr>
            <w:tcW w:w="3380" w:type="dxa"/>
            <w:vAlign w:val="bottom"/>
            <w:tcBorders>
              <w:top w:val="single" w:sz="8" w:color="auto"/>
              <w:right w:val="single" w:sz="8" w:color="auto"/>
            </w:tcBorders>
          </w:tcPr>
          <w:p>
            <w:pPr>
              <w:spacing w:after="0"/>
              <w:rPr>
                <w:sz w:val="19"/>
                <w:szCs w:val="19"/>
                <w:color w:val="auto"/>
              </w:rPr>
            </w:pPr>
          </w:p>
        </w:tc>
        <w:tc>
          <w:tcPr>
            <w:tcW w:w="2800" w:type="dxa"/>
            <w:vAlign w:val="bottom"/>
            <w:tcBorders>
              <w:top w:val="single" w:sz="8" w:color="auto"/>
              <w:right w:val="single" w:sz="8" w:color="auto"/>
            </w:tcBorders>
            <w:vMerge w:val="restart"/>
          </w:tcPr>
          <w:p>
            <w:pPr>
              <w:jc w:val="center"/>
              <w:spacing w:after="0"/>
              <w:rPr>
                <w:sz w:val="20"/>
                <w:szCs w:val="20"/>
                <w:color w:val="auto"/>
              </w:rPr>
            </w:pPr>
            <w:r>
              <w:rPr>
                <w:rFonts w:ascii="Arial" w:cs="Arial" w:eastAsia="Arial" w:hAnsi="Arial"/>
                <w:sz w:val="18"/>
                <w:szCs w:val="18"/>
                <w:b w:val="1"/>
                <w:bCs w:val="1"/>
                <w:color w:val="auto"/>
                <w:w w:val="90"/>
              </w:rPr>
              <w:t>Proportion to the</w:t>
            </w:r>
          </w:p>
        </w:tc>
        <w:tc>
          <w:tcPr>
            <w:tcW w:w="170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94"/>
              </w:rPr>
              <w:t>Whether</w:t>
            </w:r>
          </w:p>
        </w:tc>
        <w:tc>
          <w:tcPr>
            <w:tcW w:w="0" w:type="dxa"/>
            <w:vAlign w:val="bottom"/>
          </w:tcPr>
          <w:p>
            <w:pPr>
              <w:spacing w:after="0"/>
              <w:rPr>
                <w:sz w:val="1"/>
                <w:szCs w:val="1"/>
                <w:color w:val="auto"/>
              </w:rPr>
            </w:pPr>
          </w:p>
        </w:tc>
      </w:tr>
      <w:tr>
        <w:trPr>
          <w:trHeight w:val="108"/>
        </w:trPr>
        <w:tc>
          <w:tcPr>
            <w:tcW w:w="3360" w:type="dxa"/>
            <w:vAlign w:val="bottom"/>
            <w:tcBorders>
              <w:left w:val="single" w:sz="8" w:color="auto"/>
              <w:right w:val="single" w:sz="8" w:color="auto"/>
            </w:tcBorders>
          </w:tcPr>
          <w:p>
            <w:pPr>
              <w:spacing w:after="0"/>
              <w:rPr>
                <w:sz w:val="9"/>
                <w:szCs w:val="9"/>
                <w:color w:val="auto"/>
              </w:rPr>
            </w:pPr>
          </w:p>
        </w:tc>
        <w:tc>
          <w:tcPr>
            <w:tcW w:w="3380" w:type="dxa"/>
            <w:vAlign w:val="bottom"/>
            <w:tcBorders>
              <w:right w:val="single" w:sz="8" w:color="auto"/>
            </w:tcBorders>
          </w:tcPr>
          <w:p>
            <w:pPr>
              <w:spacing w:after="0"/>
              <w:rPr>
                <w:sz w:val="9"/>
                <w:szCs w:val="9"/>
                <w:color w:val="auto"/>
              </w:rPr>
            </w:pPr>
          </w:p>
        </w:tc>
        <w:tc>
          <w:tcPr>
            <w:tcW w:w="2800" w:type="dxa"/>
            <w:vAlign w:val="bottom"/>
            <w:tcBorders>
              <w:right w:val="single" w:sz="8" w:color="auto"/>
            </w:tcBorders>
            <w:vMerge w:val="continue"/>
          </w:tcPr>
          <w:p>
            <w:pPr>
              <w:spacing w:after="0"/>
              <w:rPr>
                <w:sz w:val="9"/>
                <w:szCs w:val="9"/>
                <w:color w:val="auto"/>
              </w:rPr>
            </w:pPr>
          </w:p>
        </w:tc>
        <w:tc>
          <w:tcPr>
            <w:tcW w:w="17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b w:val="1"/>
                <w:bCs w:val="1"/>
                <w:color w:val="auto"/>
                <w:w w:val="86"/>
              </w:rPr>
              <w:t>there was</w:t>
            </w:r>
          </w:p>
        </w:tc>
        <w:tc>
          <w:tcPr>
            <w:tcW w:w="0" w:type="dxa"/>
            <w:vAlign w:val="bottom"/>
          </w:tcPr>
          <w:p>
            <w:pPr>
              <w:spacing w:after="0"/>
              <w:rPr>
                <w:sz w:val="1"/>
                <w:szCs w:val="1"/>
                <w:color w:val="auto"/>
              </w:rPr>
            </w:pPr>
          </w:p>
        </w:tc>
      </w:tr>
      <w:tr>
        <w:trPr>
          <w:trHeight w:val="108"/>
        </w:trPr>
        <w:tc>
          <w:tcPr>
            <w:tcW w:w="3360" w:type="dxa"/>
            <w:vAlign w:val="bottom"/>
            <w:tcBorders>
              <w:left w:val="single" w:sz="8" w:color="auto"/>
              <w:right w:val="single" w:sz="8" w:color="auto"/>
            </w:tcBorders>
          </w:tcPr>
          <w:p>
            <w:pPr>
              <w:spacing w:after="0"/>
              <w:rPr>
                <w:sz w:val="9"/>
                <w:szCs w:val="9"/>
                <w:color w:val="auto"/>
              </w:rPr>
            </w:pPr>
          </w:p>
        </w:tc>
        <w:tc>
          <w:tcPr>
            <w:tcW w:w="3380" w:type="dxa"/>
            <w:vAlign w:val="bottom"/>
            <w:tcBorders>
              <w:right w:val="single" w:sz="8" w:color="auto"/>
            </w:tcBorders>
          </w:tcPr>
          <w:p>
            <w:pPr>
              <w:spacing w:after="0"/>
              <w:rPr>
                <w:sz w:val="9"/>
                <w:szCs w:val="9"/>
                <w:color w:val="auto"/>
              </w:rPr>
            </w:pPr>
          </w:p>
        </w:tc>
        <w:tc>
          <w:tcPr>
            <w:tcW w:w="28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b w:val="1"/>
                <w:bCs w:val="1"/>
                <w:color w:val="auto"/>
                <w:w w:val="85"/>
              </w:rPr>
              <w:t>agency income/</w:t>
            </w:r>
          </w:p>
        </w:tc>
        <w:tc>
          <w:tcPr>
            <w:tcW w:w="1700" w:type="dxa"/>
            <w:vAlign w:val="bottom"/>
            <w:tcBorders>
              <w:right w:val="single" w:sz="8" w:color="auto"/>
            </w:tcBorders>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336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18"/>
                <w:szCs w:val="18"/>
                <w:b w:val="1"/>
                <w:bCs w:val="1"/>
                <w:color w:val="auto"/>
                <w:w w:val="90"/>
              </w:rPr>
              <w:t>Agent</w:t>
            </w:r>
          </w:p>
        </w:tc>
        <w:tc>
          <w:tcPr>
            <w:tcW w:w="33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b w:val="1"/>
                <w:bCs w:val="1"/>
                <w:color w:val="auto"/>
                <w:w w:val="89"/>
              </w:rPr>
              <w:t>Agency period</w:t>
            </w:r>
          </w:p>
        </w:tc>
        <w:tc>
          <w:tcPr>
            <w:tcW w:w="2800" w:type="dxa"/>
            <w:vAlign w:val="bottom"/>
            <w:tcBorders>
              <w:right w:val="single" w:sz="8" w:color="auto"/>
            </w:tcBorders>
            <w:vMerge w:val="continue"/>
          </w:tcPr>
          <w:p>
            <w:pPr>
              <w:spacing w:after="0"/>
              <w:rPr>
                <w:sz w:val="9"/>
                <w:szCs w:val="9"/>
                <w:color w:val="auto"/>
              </w:rPr>
            </w:pPr>
          </w:p>
        </w:tc>
        <w:tc>
          <w:tcPr>
            <w:tcW w:w="17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b w:val="1"/>
                <w:bCs w:val="1"/>
                <w:color w:val="auto"/>
                <w:w w:val="88"/>
              </w:rPr>
              <w:t>significant</w:t>
            </w:r>
          </w:p>
        </w:tc>
        <w:tc>
          <w:tcPr>
            <w:tcW w:w="0" w:type="dxa"/>
            <w:vAlign w:val="bottom"/>
          </w:tcPr>
          <w:p>
            <w:pPr>
              <w:spacing w:after="0"/>
              <w:rPr>
                <w:sz w:val="1"/>
                <w:szCs w:val="1"/>
                <w:color w:val="auto"/>
              </w:rPr>
            </w:pPr>
          </w:p>
        </w:tc>
      </w:tr>
      <w:tr>
        <w:trPr>
          <w:trHeight w:val="108"/>
        </w:trPr>
        <w:tc>
          <w:tcPr>
            <w:tcW w:w="3360" w:type="dxa"/>
            <w:vAlign w:val="bottom"/>
            <w:tcBorders>
              <w:left w:val="single" w:sz="8" w:color="auto"/>
              <w:right w:val="single" w:sz="8" w:color="auto"/>
            </w:tcBorders>
            <w:vMerge w:val="continue"/>
          </w:tcPr>
          <w:p>
            <w:pPr>
              <w:spacing w:after="0"/>
              <w:rPr>
                <w:sz w:val="9"/>
                <w:szCs w:val="9"/>
                <w:color w:val="auto"/>
              </w:rPr>
            </w:pPr>
          </w:p>
        </w:tc>
        <w:tc>
          <w:tcPr>
            <w:tcW w:w="3380" w:type="dxa"/>
            <w:vAlign w:val="bottom"/>
            <w:tcBorders>
              <w:right w:val="single" w:sz="8" w:color="auto"/>
            </w:tcBorders>
            <w:vMerge w:val="continue"/>
          </w:tcPr>
          <w:p>
            <w:pPr>
              <w:spacing w:after="0"/>
              <w:rPr>
                <w:sz w:val="9"/>
                <w:szCs w:val="9"/>
                <w:color w:val="auto"/>
              </w:rPr>
            </w:pPr>
          </w:p>
        </w:tc>
        <w:tc>
          <w:tcPr>
            <w:tcW w:w="28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b w:val="1"/>
                <w:bCs w:val="1"/>
                <w:color w:val="auto"/>
                <w:w w:val="88"/>
              </w:rPr>
              <w:t>operating income in</w:t>
            </w:r>
          </w:p>
        </w:tc>
        <w:tc>
          <w:tcPr>
            <w:tcW w:w="1700" w:type="dxa"/>
            <w:vAlign w:val="bottom"/>
            <w:tcBorders>
              <w:right w:val="single" w:sz="8" w:color="auto"/>
            </w:tcBorders>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3360" w:type="dxa"/>
            <w:vAlign w:val="bottom"/>
            <w:tcBorders>
              <w:left w:val="single" w:sz="8" w:color="auto"/>
              <w:right w:val="single" w:sz="8" w:color="auto"/>
            </w:tcBorders>
          </w:tcPr>
          <w:p>
            <w:pPr>
              <w:spacing w:after="0"/>
              <w:rPr>
                <w:sz w:val="9"/>
                <w:szCs w:val="9"/>
                <w:color w:val="auto"/>
              </w:rPr>
            </w:pPr>
          </w:p>
        </w:tc>
        <w:tc>
          <w:tcPr>
            <w:tcW w:w="3380" w:type="dxa"/>
            <w:vAlign w:val="bottom"/>
            <w:tcBorders>
              <w:right w:val="single" w:sz="8" w:color="auto"/>
            </w:tcBorders>
          </w:tcPr>
          <w:p>
            <w:pPr>
              <w:spacing w:after="0"/>
              <w:rPr>
                <w:sz w:val="9"/>
                <w:szCs w:val="9"/>
                <w:color w:val="auto"/>
              </w:rPr>
            </w:pPr>
          </w:p>
        </w:tc>
        <w:tc>
          <w:tcPr>
            <w:tcW w:w="2800" w:type="dxa"/>
            <w:vAlign w:val="bottom"/>
            <w:tcBorders>
              <w:right w:val="single" w:sz="8" w:color="auto"/>
            </w:tcBorders>
            <w:vMerge w:val="continue"/>
          </w:tcPr>
          <w:p>
            <w:pPr>
              <w:spacing w:after="0"/>
              <w:rPr>
                <w:sz w:val="9"/>
                <w:szCs w:val="9"/>
                <w:color w:val="auto"/>
              </w:rPr>
            </w:pPr>
          </w:p>
        </w:tc>
        <w:tc>
          <w:tcPr>
            <w:tcW w:w="17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b w:val="1"/>
                <w:bCs w:val="1"/>
                <w:color w:val="auto"/>
                <w:w w:val="85"/>
              </w:rPr>
              <w:t>dependence</w:t>
            </w:r>
          </w:p>
        </w:tc>
        <w:tc>
          <w:tcPr>
            <w:tcW w:w="0" w:type="dxa"/>
            <w:vAlign w:val="bottom"/>
          </w:tcPr>
          <w:p>
            <w:pPr>
              <w:spacing w:after="0"/>
              <w:rPr>
                <w:sz w:val="1"/>
                <w:szCs w:val="1"/>
                <w:color w:val="auto"/>
              </w:rPr>
            </w:pPr>
          </w:p>
        </w:tc>
      </w:tr>
      <w:tr>
        <w:trPr>
          <w:trHeight w:val="108"/>
        </w:trPr>
        <w:tc>
          <w:tcPr>
            <w:tcW w:w="3360" w:type="dxa"/>
            <w:vAlign w:val="bottom"/>
            <w:tcBorders>
              <w:left w:val="single" w:sz="8" w:color="auto"/>
              <w:right w:val="single" w:sz="8" w:color="auto"/>
            </w:tcBorders>
          </w:tcPr>
          <w:p>
            <w:pPr>
              <w:spacing w:after="0"/>
              <w:rPr>
                <w:sz w:val="9"/>
                <w:szCs w:val="9"/>
                <w:color w:val="auto"/>
              </w:rPr>
            </w:pPr>
          </w:p>
        </w:tc>
        <w:tc>
          <w:tcPr>
            <w:tcW w:w="3380" w:type="dxa"/>
            <w:vAlign w:val="bottom"/>
            <w:tcBorders>
              <w:right w:val="single" w:sz="8" w:color="auto"/>
            </w:tcBorders>
          </w:tcPr>
          <w:p>
            <w:pPr>
              <w:spacing w:after="0"/>
              <w:rPr>
                <w:sz w:val="9"/>
                <w:szCs w:val="9"/>
                <w:color w:val="auto"/>
              </w:rPr>
            </w:pPr>
          </w:p>
        </w:tc>
        <w:tc>
          <w:tcPr>
            <w:tcW w:w="28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b w:val="1"/>
                <w:bCs w:val="1"/>
                <w:color w:val="auto"/>
                <w:w w:val="91"/>
              </w:rPr>
              <w:t>the current year</w:t>
            </w:r>
          </w:p>
        </w:tc>
        <w:tc>
          <w:tcPr>
            <w:tcW w:w="1700" w:type="dxa"/>
            <w:vAlign w:val="bottom"/>
            <w:tcBorders>
              <w:right w:val="single" w:sz="8" w:color="auto"/>
            </w:tcBorders>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26"/>
        </w:trPr>
        <w:tc>
          <w:tcPr>
            <w:tcW w:w="3360" w:type="dxa"/>
            <w:vAlign w:val="bottom"/>
            <w:tcBorders>
              <w:left w:val="single" w:sz="8" w:color="auto"/>
              <w:right w:val="single" w:sz="8" w:color="auto"/>
            </w:tcBorders>
          </w:tcPr>
          <w:p>
            <w:pPr>
              <w:spacing w:after="0"/>
              <w:rPr>
                <w:sz w:val="10"/>
                <w:szCs w:val="10"/>
                <w:color w:val="auto"/>
              </w:rPr>
            </w:pPr>
          </w:p>
        </w:tc>
        <w:tc>
          <w:tcPr>
            <w:tcW w:w="3380" w:type="dxa"/>
            <w:vAlign w:val="bottom"/>
            <w:tcBorders>
              <w:right w:val="single" w:sz="8" w:color="auto"/>
            </w:tcBorders>
          </w:tcPr>
          <w:p>
            <w:pPr>
              <w:spacing w:after="0"/>
              <w:rPr>
                <w:sz w:val="10"/>
                <w:szCs w:val="10"/>
                <w:color w:val="auto"/>
              </w:rPr>
            </w:pPr>
          </w:p>
        </w:tc>
        <w:tc>
          <w:tcPr>
            <w:tcW w:w="2800" w:type="dxa"/>
            <w:vAlign w:val="bottom"/>
            <w:tcBorders>
              <w:right w:val="single" w:sz="8" w:color="auto"/>
            </w:tcBorders>
            <w:vMerge w:val="continue"/>
          </w:tcPr>
          <w:p>
            <w:pPr>
              <w:spacing w:after="0"/>
              <w:rPr>
                <w:sz w:val="10"/>
                <w:szCs w:val="10"/>
                <w:color w:val="auto"/>
              </w:rPr>
            </w:pPr>
          </w:p>
        </w:tc>
        <w:tc>
          <w:tcPr>
            <w:tcW w:w="17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b w:val="1"/>
                <w:bCs w:val="1"/>
                <w:color w:val="auto"/>
                <w:w w:val="90"/>
              </w:rPr>
              <w:t>or not</w:t>
            </w:r>
          </w:p>
        </w:tc>
        <w:tc>
          <w:tcPr>
            <w:tcW w:w="0" w:type="dxa"/>
            <w:vAlign w:val="bottom"/>
          </w:tcPr>
          <w:p>
            <w:pPr>
              <w:spacing w:after="0"/>
              <w:rPr>
                <w:sz w:val="1"/>
                <w:szCs w:val="1"/>
                <w:color w:val="auto"/>
              </w:rPr>
            </w:pPr>
          </w:p>
        </w:tc>
      </w:tr>
      <w:tr>
        <w:trPr>
          <w:trHeight w:val="115"/>
        </w:trPr>
        <w:tc>
          <w:tcPr>
            <w:tcW w:w="3360" w:type="dxa"/>
            <w:vAlign w:val="bottom"/>
            <w:tcBorders>
              <w:left w:val="single" w:sz="8" w:color="auto"/>
              <w:bottom w:val="single" w:sz="8" w:color="auto"/>
              <w:right w:val="single" w:sz="8" w:color="auto"/>
            </w:tcBorders>
          </w:tcPr>
          <w:p>
            <w:pPr>
              <w:spacing w:after="0"/>
              <w:rPr>
                <w:sz w:val="10"/>
                <w:szCs w:val="10"/>
                <w:color w:val="auto"/>
              </w:rPr>
            </w:pPr>
          </w:p>
        </w:tc>
        <w:tc>
          <w:tcPr>
            <w:tcW w:w="3380" w:type="dxa"/>
            <w:vAlign w:val="bottom"/>
            <w:tcBorders>
              <w:bottom w:val="single" w:sz="8" w:color="auto"/>
              <w:right w:val="single" w:sz="8" w:color="auto"/>
            </w:tcBorders>
          </w:tcPr>
          <w:p>
            <w:pPr>
              <w:spacing w:after="0"/>
              <w:rPr>
                <w:sz w:val="10"/>
                <w:szCs w:val="10"/>
                <w:color w:val="auto"/>
              </w:rPr>
            </w:pPr>
          </w:p>
        </w:tc>
        <w:tc>
          <w:tcPr>
            <w:tcW w:w="2800" w:type="dxa"/>
            <w:vAlign w:val="bottom"/>
            <w:tcBorders>
              <w:bottom w:val="single" w:sz="8" w:color="auto"/>
              <w:right w:val="single" w:sz="8" w:color="auto"/>
            </w:tcBorders>
          </w:tcPr>
          <w:p>
            <w:pPr>
              <w:spacing w:after="0"/>
              <w:rPr>
                <w:sz w:val="10"/>
                <w:szCs w:val="10"/>
                <w:color w:val="auto"/>
              </w:rPr>
            </w:pPr>
          </w:p>
        </w:tc>
        <w:tc>
          <w:tcPr>
            <w:tcW w:w="1700" w:type="dxa"/>
            <w:vAlign w:val="bottom"/>
            <w:tcBorders>
              <w:bottom w:val="single" w:sz="8" w:color="auto"/>
              <w:right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23"/>
        </w:trPr>
        <w:tc>
          <w:tcPr>
            <w:tcW w:w="336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3"/>
              </w:rPr>
              <w:t>TJM PARTNERS LTD.</w:t>
            </w:r>
          </w:p>
        </w:tc>
        <w:tc>
          <w:tcPr>
            <w:tcW w:w="33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9"/>
              </w:rPr>
              <w:t>2017, 2018, 2019</w:t>
            </w:r>
          </w:p>
        </w:tc>
        <w:tc>
          <w:tcPr>
            <w:tcW w:w="28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2"/>
              </w:rPr>
              <w:t>50%, 44%, 50.5%</w:t>
            </w:r>
          </w:p>
        </w:tc>
        <w:tc>
          <w:tcPr>
            <w:tcW w:w="17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5"/>
              </w:rPr>
              <w:t>No</w:t>
            </w:r>
          </w:p>
        </w:tc>
        <w:tc>
          <w:tcPr>
            <w:tcW w:w="0" w:type="dxa"/>
            <w:vAlign w:val="bottom"/>
          </w:tcPr>
          <w:p>
            <w:pPr>
              <w:spacing w:after="0"/>
              <w:rPr>
                <w:sz w:val="1"/>
                <w:szCs w:val="1"/>
                <w:color w:val="auto"/>
              </w:rPr>
            </w:pPr>
          </w:p>
        </w:tc>
      </w:tr>
      <w:tr>
        <w:trPr>
          <w:trHeight w:val="202"/>
        </w:trPr>
        <w:tc>
          <w:tcPr>
            <w:tcW w:w="3360" w:type="dxa"/>
            <w:vAlign w:val="bottom"/>
            <w:tcBorders>
              <w:left w:val="single" w:sz="8" w:color="auto"/>
              <w:right w:val="single" w:sz="8" w:color="auto"/>
            </w:tcBorders>
          </w:tcPr>
          <w:p>
            <w:pPr>
              <w:jc w:val="center"/>
              <w:spacing w:after="0" w:line="201" w:lineRule="exact"/>
              <w:rPr>
                <w:sz w:val="20"/>
                <w:szCs w:val="20"/>
                <w:color w:val="auto"/>
              </w:rPr>
            </w:pPr>
            <w:r>
              <w:rPr>
                <w:rFonts w:ascii="Arial" w:cs="Arial" w:eastAsia="Arial" w:hAnsi="Arial"/>
                <w:sz w:val="18"/>
                <w:szCs w:val="18"/>
                <w:color w:val="auto"/>
                <w:w w:val="99"/>
              </w:rPr>
              <w:t>LIDA TECHNOLOGY</w:t>
            </w:r>
          </w:p>
        </w:tc>
        <w:tc>
          <w:tcPr>
            <w:tcW w:w="33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89"/>
              </w:rPr>
              <w:t>2017, 2018, 2019</w:t>
            </w:r>
          </w:p>
        </w:tc>
        <w:tc>
          <w:tcPr>
            <w:tcW w:w="28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1"/>
              </w:rPr>
              <w:t>33%, 35%, 45%, 42%</w:t>
            </w:r>
          </w:p>
        </w:tc>
        <w:tc>
          <w:tcPr>
            <w:tcW w:w="17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5"/>
              </w:rPr>
              <w:t>No</w:t>
            </w:r>
          </w:p>
        </w:tc>
        <w:tc>
          <w:tcPr>
            <w:tcW w:w="0" w:type="dxa"/>
            <w:vAlign w:val="bottom"/>
          </w:tcPr>
          <w:p>
            <w:pPr>
              <w:spacing w:after="0"/>
              <w:rPr>
                <w:sz w:val="1"/>
                <w:szCs w:val="1"/>
                <w:color w:val="auto"/>
              </w:rPr>
            </w:pPr>
          </w:p>
        </w:tc>
      </w:tr>
      <w:tr>
        <w:trPr>
          <w:trHeight w:val="122"/>
        </w:trPr>
        <w:tc>
          <w:tcPr>
            <w:tcW w:w="336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18"/>
                <w:szCs w:val="18"/>
                <w:color w:val="auto"/>
                <w:w w:val="99"/>
              </w:rPr>
              <w:t>CO.,LIMITED</w:t>
            </w:r>
          </w:p>
        </w:tc>
        <w:tc>
          <w:tcPr>
            <w:tcW w:w="3380" w:type="dxa"/>
            <w:vAlign w:val="bottom"/>
            <w:tcBorders>
              <w:right w:val="single" w:sz="8" w:color="auto"/>
            </w:tcBorders>
            <w:vMerge w:val="continue"/>
          </w:tcPr>
          <w:p>
            <w:pPr>
              <w:spacing w:after="0"/>
              <w:rPr>
                <w:sz w:val="10"/>
                <w:szCs w:val="10"/>
                <w:color w:val="auto"/>
              </w:rPr>
            </w:pPr>
          </w:p>
        </w:tc>
        <w:tc>
          <w:tcPr>
            <w:tcW w:w="2800" w:type="dxa"/>
            <w:vAlign w:val="bottom"/>
            <w:tcBorders>
              <w:right w:val="single" w:sz="8" w:color="auto"/>
            </w:tcBorders>
            <w:vMerge w:val="continue"/>
          </w:tcPr>
          <w:p>
            <w:pPr>
              <w:spacing w:after="0"/>
              <w:rPr>
                <w:sz w:val="10"/>
                <w:szCs w:val="10"/>
                <w:color w:val="auto"/>
              </w:rPr>
            </w:pPr>
          </w:p>
        </w:tc>
        <w:tc>
          <w:tcPr>
            <w:tcW w:w="1700" w:type="dxa"/>
            <w:vAlign w:val="bottom"/>
            <w:tcBorders>
              <w:right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15"/>
        </w:trPr>
        <w:tc>
          <w:tcPr>
            <w:tcW w:w="3360" w:type="dxa"/>
            <w:vAlign w:val="bottom"/>
            <w:tcBorders>
              <w:left w:val="single" w:sz="8" w:color="auto"/>
              <w:bottom w:val="single" w:sz="8" w:color="auto"/>
              <w:right w:val="single" w:sz="8" w:color="auto"/>
            </w:tcBorders>
            <w:vMerge w:val="continue"/>
          </w:tcPr>
          <w:p>
            <w:pPr>
              <w:spacing w:after="0"/>
              <w:rPr>
                <w:sz w:val="10"/>
                <w:szCs w:val="10"/>
                <w:color w:val="auto"/>
              </w:rPr>
            </w:pPr>
          </w:p>
        </w:tc>
        <w:tc>
          <w:tcPr>
            <w:tcW w:w="3380" w:type="dxa"/>
            <w:vAlign w:val="bottom"/>
            <w:tcBorders>
              <w:bottom w:val="single" w:sz="8" w:color="auto"/>
              <w:right w:val="single" w:sz="8" w:color="auto"/>
            </w:tcBorders>
          </w:tcPr>
          <w:p>
            <w:pPr>
              <w:spacing w:after="0"/>
              <w:rPr>
                <w:sz w:val="10"/>
                <w:szCs w:val="10"/>
                <w:color w:val="auto"/>
              </w:rPr>
            </w:pPr>
          </w:p>
        </w:tc>
        <w:tc>
          <w:tcPr>
            <w:tcW w:w="2800" w:type="dxa"/>
            <w:vAlign w:val="bottom"/>
            <w:tcBorders>
              <w:bottom w:val="single" w:sz="8" w:color="auto"/>
              <w:right w:val="single" w:sz="8" w:color="auto"/>
            </w:tcBorders>
          </w:tcPr>
          <w:p>
            <w:pPr>
              <w:spacing w:after="0"/>
              <w:rPr>
                <w:sz w:val="10"/>
                <w:szCs w:val="10"/>
                <w:color w:val="auto"/>
              </w:rPr>
            </w:pPr>
          </w:p>
        </w:tc>
        <w:tc>
          <w:tcPr>
            <w:tcW w:w="1700" w:type="dxa"/>
            <w:vAlign w:val="bottom"/>
            <w:tcBorders>
              <w:bottom w:val="single" w:sz="8" w:color="auto"/>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202"/>
        </w:trPr>
        <w:tc>
          <w:tcPr>
            <w:tcW w:w="3360" w:type="dxa"/>
            <w:vAlign w:val="bottom"/>
            <w:tcBorders>
              <w:left w:val="single" w:sz="8" w:color="auto"/>
              <w:right w:val="single" w:sz="8" w:color="auto"/>
            </w:tcBorders>
          </w:tcPr>
          <w:p>
            <w:pPr>
              <w:jc w:val="center"/>
              <w:spacing w:after="0" w:line="201" w:lineRule="exact"/>
              <w:rPr>
                <w:sz w:val="20"/>
                <w:szCs w:val="20"/>
                <w:color w:val="auto"/>
              </w:rPr>
            </w:pPr>
            <w:r>
              <w:rPr>
                <w:rFonts w:ascii="Arial" w:cs="Arial" w:eastAsia="Arial" w:hAnsi="Arial"/>
                <w:sz w:val="18"/>
                <w:szCs w:val="18"/>
                <w:color w:val="auto"/>
                <w:w w:val="96"/>
              </w:rPr>
              <w:t>MOTION ELECTRONICS</w:t>
            </w:r>
          </w:p>
        </w:tc>
        <w:tc>
          <w:tcPr>
            <w:tcW w:w="33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89"/>
              </w:rPr>
              <w:t>From January to June 2020</w:t>
            </w:r>
          </w:p>
        </w:tc>
        <w:tc>
          <w:tcPr>
            <w:tcW w:w="28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0"/>
              </w:rPr>
              <w:t>45%, 58%, 15%</w:t>
            </w:r>
          </w:p>
        </w:tc>
        <w:tc>
          <w:tcPr>
            <w:tcW w:w="17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5"/>
              </w:rPr>
              <w:t>No</w:t>
            </w:r>
          </w:p>
        </w:tc>
        <w:tc>
          <w:tcPr>
            <w:tcW w:w="0" w:type="dxa"/>
            <w:vAlign w:val="bottom"/>
          </w:tcPr>
          <w:p>
            <w:pPr>
              <w:spacing w:after="0"/>
              <w:rPr>
                <w:sz w:val="1"/>
                <w:szCs w:val="1"/>
                <w:color w:val="auto"/>
              </w:rPr>
            </w:pPr>
          </w:p>
        </w:tc>
      </w:tr>
      <w:tr>
        <w:trPr>
          <w:trHeight w:val="122"/>
        </w:trPr>
        <w:tc>
          <w:tcPr>
            <w:tcW w:w="336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18"/>
                <w:szCs w:val="18"/>
                <w:color w:val="auto"/>
                <w:w w:val="94"/>
              </w:rPr>
              <w:t>CO., LTD</w:t>
            </w:r>
          </w:p>
        </w:tc>
        <w:tc>
          <w:tcPr>
            <w:tcW w:w="3380" w:type="dxa"/>
            <w:vAlign w:val="bottom"/>
            <w:tcBorders>
              <w:right w:val="single" w:sz="8" w:color="auto"/>
            </w:tcBorders>
            <w:vMerge w:val="continue"/>
          </w:tcPr>
          <w:p>
            <w:pPr>
              <w:spacing w:after="0"/>
              <w:rPr>
                <w:sz w:val="10"/>
                <w:szCs w:val="10"/>
                <w:color w:val="auto"/>
              </w:rPr>
            </w:pPr>
          </w:p>
        </w:tc>
        <w:tc>
          <w:tcPr>
            <w:tcW w:w="2800" w:type="dxa"/>
            <w:vAlign w:val="bottom"/>
            <w:tcBorders>
              <w:right w:val="single" w:sz="8" w:color="auto"/>
            </w:tcBorders>
            <w:vMerge w:val="continue"/>
          </w:tcPr>
          <w:p>
            <w:pPr>
              <w:spacing w:after="0"/>
              <w:rPr>
                <w:sz w:val="10"/>
                <w:szCs w:val="10"/>
                <w:color w:val="auto"/>
              </w:rPr>
            </w:pPr>
          </w:p>
        </w:tc>
        <w:tc>
          <w:tcPr>
            <w:tcW w:w="1700" w:type="dxa"/>
            <w:vAlign w:val="bottom"/>
            <w:tcBorders>
              <w:right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15"/>
        </w:trPr>
        <w:tc>
          <w:tcPr>
            <w:tcW w:w="3360" w:type="dxa"/>
            <w:vAlign w:val="bottom"/>
            <w:tcBorders>
              <w:left w:val="single" w:sz="8" w:color="auto"/>
              <w:bottom w:val="single" w:sz="8" w:color="auto"/>
              <w:right w:val="single" w:sz="8" w:color="auto"/>
            </w:tcBorders>
            <w:vMerge w:val="continue"/>
          </w:tcPr>
          <w:p>
            <w:pPr>
              <w:spacing w:after="0"/>
              <w:rPr>
                <w:sz w:val="10"/>
                <w:szCs w:val="10"/>
                <w:color w:val="auto"/>
              </w:rPr>
            </w:pPr>
          </w:p>
        </w:tc>
        <w:tc>
          <w:tcPr>
            <w:tcW w:w="3380" w:type="dxa"/>
            <w:vAlign w:val="bottom"/>
            <w:tcBorders>
              <w:bottom w:val="single" w:sz="8" w:color="auto"/>
              <w:right w:val="single" w:sz="8" w:color="auto"/>
            </w:tcBorders>
          </w:tcPr>
          <w:p>
            <w:pPr>
              <w:spacing w:after="0"/>
              <w:rPr>
                <w:sz w:val="10"/>
                <w:szCs w:val="10"/>
                <w:color w:val="auto"/>
              </w:rPr>
            </w:pPr>
          </w:p>
        </w:tc>
        <w:tc>
          <w:tcPr>
            <w:tcW w:w="2800" w:type="dxa"/>
            <w:vAlign w:val="bottom"/>
            <w:tcBorders>
              <w:bottom w:val="single" w:sz="8" w:color="auto"/>
              <w:right w:val="single" w:sz="8" w:color="auto"/>
            </w:tcBorders>
          </w:tcPr>
          <w:p>
            <w:pPr>
              <w:spacing w:after="0"/>
              <w:rPr>
                <w:sz w:val="10"/>
                <w:szCs w:val="10"/>
                <w:color w:val="auto"/>
              </w:rPr>
            </w:pPr>
          </w:p>
        </w:tc>
        <w:tc>
          <w:tcPr>
            <w:tcW w:w="1700" w:type="dxa"/>
            <w:vAlign w:val="bottom"/>
            <w:tcBorders>
              <w:bottom w:val="single" w:sz="8" w:color="auto"/>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202"/>
        </w:trPr>
        <w:tc>
          <w:tcPr>
            <w:tcW w:w="3360" w:type="dxa"/>
            <w:vAlign w:val="bottom"/>
            <w:tcBorders>
              <w:left w:val="single" w:sz="8" w:color="auto"/>
              <w:right w:val="single" w:sz="8" w:color="auto"/>
            </w:tcBorders>
          </w:tcPr>
          <w:p>
            <w:pPr>
              <w:jc w:val="center"/>
              <w:spacing w:after="0" w:line="201" w:lineRule="exact"/>
              <w:rPr>
                <w:sz w:val="20"/>
                <w:szCs w:val="20"/>
                <w:color w:val="auto"/>
              </w:rPr>
            </w:pPr>
            <w:r>
              <w:rPr>
                <w:rFonts w:ascii="Arial" w:cs="Arial" w:eastAsia="Arial" w:hAnsi="Arial"/>
                <w:sz w:val="18"/>
                <w:szCs w:val="18"/>
                <w:color w:val="auto"/>
                <w:w w:val="98"/>
              </w:rPr>
              <w:t>ZAIN TECHNOLOGY</w:t>
            </w:r>
          </w:p>
        </w:tc>
        <w:tc>
          <w:tcPr>
            <w:tcW w:w="33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89"/>
              </w:rPr>
              <w:t>2019</w:t>
            </w:r>
          </w:p>
        </w:tc>
        <w:tc>
          <w:tcPr>
            <w:tcW w:w="28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1"/>
              </w:rPr>
              <w:t>12.38%</w:t>
            </w:r>
          </w:p>
        </w:tc>
        <w:tc>
          <w:tcPr>
            <w:tcW w:w="17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5"/>
              </w:rPr>
              <w:t>No</w:t>
            </w:r>
          </w:p>
        </w:tc>
        <w:tc>
          <w:tcPr>
            <w:tcW w:w="0" w:type="dxa"/>
            <w:vAlign w:val="bottom"/>
          </w:tcPr>
          <w:p>
            <w:pPr>
              <w:spacing w:after="0"/>
              <w:rPr>
                <w:sz w:val="1"/>
                <w:szCs w:val="1"/>
                <w:color w:val="auto"/>
              </w:rPr>
            </w:pPr>
          </w:p>
        </w:tc>
      </w:tr>
      <w:tr>
        <w:trPr>
          <w:trHeight w:val="122"/>
        </w:trPr>
        <w:tc>
          <w:tcPr>
            <w:tcW w:w="336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18"/>
                <w:szCs w:val="18"/>
                <w:color w:val="auto"/>
                <w:w w:val="94"/>
              </w:rPr>
              <w:t>CO., LTD</w:t>
            </w:r>
          </w:p>
        </w:tc>
        <w:tc>
          <w:tcPr>
            <w:tcW w:w="3380" w:type="dxa"/>
            <w:vAlign w:val="bottom"/>
            <w:tcBorders>
              <w:right w:val="single" w:sz="8" w:color="auto"/>
            </w:tcBorders>
            <w:vMerge w:val="continue"/>
          </w:tcPr>
          <w:p>
            <w:pPr>
              <w:spacing w:after="0"/>
              <w:rPr>
                <w:sz w:val="10"/>
                <w:szCs w:val="10"/>
                <w:color w:val="auto"/>
              </w:rPr>
            </w:pPr>
          </w:p>
        </w:tc>
        <w:tc>
          <w:tcPr>
            <w:tcW w:w="2800" w:type="dxa"/>
            <w:vAlign w:val="bottom"/>
            <w:tcBorders>
              <w:right w:val="single" w:sz="8" w:color="auto"/>
            </w:tcBorders>
            <w:vMerge w:val="continue"/>
          </w:tcPr>
          <w:p>
            <w:pPr>
              <w:spacing w:after="0"/>
              <w:rPr>
                <w:sz w:val="10"/>
                <w:szCs w:val="10"/>
                <w:color w:val="auto"/>
              </w:rPr>
            </w:pPr>
          </w:p>
        </w:tc>
        <w:tc>
          <w:tcPr>
            <w:tcW w:w="1700" w:type="dxa"/>
            <w:vAlign w:val="bottom"/>
            <w:tcBorders>
              <w:right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15"/>
        </w:trPr>
        <w:tc>
          <w:tcPr>
            <w:tcW w:w="3360" w:type="dxa"/>
            <w:vAlign w:val="bottom"/>
            <w:tcBorders>
              <w:left w:val="single" w:sz="8" w:color="auto"/>
              <w:bottom w:val="single" w:sz="8" w:color="auto"/>
              <w:right w:val="single" w:sz="8" w:color="auto"/>
            </w:tcBorders>
            <w:vMerge w:val="continue"/>
          </w:tcPr>
          <w:p>
            <w:pPr>
              <w:spacing w:after="0"/>
              <w:rPr>
                <w:sz w:val="10"/>
                <w:szCs w:val="10"/>
                <w:color w:val="auto"/>
              </w:rPr>
            </w:pPr>
          </w:p>
        </w:tc>
        <w:tc>
          <w:tcPr>
            <w:tcW w:w="3380" w:type="dxa"/>
            <w:vAlign w:val="bottom"/>
            <w:tcBorders>
              <w:bottom w:val="single" w:sz="8" w:color="auto"/>
              <w:right w:val="single" w:sz="8" w:color="auto"/>
            </w:tcBorders>
          </w:tcPr>
          <w:p>
            <w:pPr>
              <w:spacing w:after="0"/>
              <w:rPr>
                <w:sz w:val="10"/>
                <w:szCs w:val="10"/>
                <w:color w:val="auto"/>
              </w:rPr>
            </w:pPr>
          </w:p>
        </w:tc>
        <w:tc>
          <w:tcPr>
            <w:tcW w:w="2800" w:type="dxa"/>
            <w:vAlign w:val="bottom"/>
            <w:tcBorders>
              <w:bottom w:val="single" w:sz="8" w:color="auto"/>
              <w:right w:val="single" w:sz="8" w:color="auto"/>
            </w:tcBorders>
          </w:tcPr>
          <w:p>
            <w:pPr>
              <w:spacing w:after="0"/>
              <w:rPr>
                <w:sz w:val="10"/>
                <w:szCs w:val="10"/>
                <w:color w:val="auto"/>
              </w:rPr>
            </w:pPr>
          </w:p>
        </w:tc>
        <w:tc>
          <w:tcPr>
            <w:tcW w:w="1700" w:type="dxa"/>
            <w:vAlign w:val="bottom"/>
            <w:tcBorders>
              <w:bottom w:val="single" w:sz="8" w:color="auto"/>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202"/>
        </w:trPr>
        <w:tc>
          <w:tcPr>
            <w:tcW w:w="3360" w:type="dxa"/>
            <w:vAlign w:val="bottom"/>
            <w:tcBorders>
              <w:left w:val="single" w:sz="8" w:color="auto"/>
              <w:right w:val="single" w:sz="8" w:color="auto"/>
            </w:tcBorders>
          </w:tcPr>
          <w:p>
            <w:pPr>
              <w:jc w:val="center"/>
              <w:spacing w:after="0" w:line="201" w:lineRule="exact"/>
              <w:rPr>
                <w:sz w:val="20"/>
                <w:szCs w:val="20"/>
                <w:color w:val="auto"/>
              </w:rPr>
            </w:pPr>
            <w:r>
              <w:rPr>
                <w:rFonts w:ascii="Arial" w:cs="Arial" w:eastAsia="Arial" w:hAnsi="Arial"/>
                <w:sz w:val="18"/>
                <w:szCs w:val="18"/>
                <w:color w:val="auto"/>
                <w:w w:val="97"/>
              </w:rPr>
              <w:t>HANWOOL SCIENTIFIC</w:t>
            </w:r>
          </w:p>
        </w:tc>
        <w:tc>
          <w:tcPr>
            <w:tcW w:w="33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89"/>
              </w:rPr>
              <w:t>From 2017 to June 2019</w:t>
            </w:r>
          </w:p>
        </w:tc>
        <w:tc>
          <w:tcPr>
            <w:tcW w:w="28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1"/>
              </w:rPr>
              <w:t>100%, 100%, 100%</w:t>
            </w:r>
          </w:p>
        </w:tc>
        <w:tc>
          <w:tcPr>
            <w:tcW w:w="1700" w:type="dxa"/>
            <w:vAlign w:val="bottom"/>
            <w:tcBorders>
              <w:right w:val="single" w:sz="8" w:color="auto"/>
            </w:tcBorders>
          </w:tcPr>
          <w:p>
            <w:pPr>
              <w:jc w:val="center"/>
              <w:spacing w:after="0" w:line="201" w:lineRule="exact"/>
              <w:rPr>
                <w:sz w:val="20"/>
                <w:szCs w:val="20"/>
                <w:color w:val="auto"/>
              </w:rPr>
            </w:pPr>
            <w:r>
              <w:rPr>
                <w:rFonts w:ascii="Arial" w:cs="Arial" w:eastAsia="Arial" w:hAnsi="Arial"/>
                <w:sz w:val="18"/>
                <w:szCs w:val="18"/>
                <w:color w:val="auto"/>
                <w:w w:val="88"/>
              </w:rPr>
              <w:t>Stopped sales through</w:t>
            </w:r>
          </w:p>
        </w:tc>
        <w:tc>
          <w:tcPr>
            <w:tcW w:w="0" w:type="dxa"/>
            <w:vAlign w:val="bottom"/>
          </w:tcPr>
          <w:p>
            <w:pPr>
              <w:spacing w:after="0"/>
              <w:rPr>
                <w:sz w:val="1"/>
                <w:szCs w:val="1"/>
                <w:color w:val="auto"/>
              </w:rPr>
            </w:pPr>
          </w:p>
        </w:tc>
      </w:tr>
      <w:tr>
        <w:trPr>
          <w:trHeight w:val="122"/>
        </w:trPr>
        <w:tc>
          <w:tcPr>
            <w:tcW w:w="336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18"/>
                <w:szCs w:val="18"/>
                <w:color w:val="auto"/>
                <w:w w:val="96"/>
              </w:rPr>
              <w:t>CO., LTD.</w:t>
            </w:r>
          </w:p>
        </w:tc>
        <w:tc>
          <w:tcPr>
            <w:tcW w:w="3380" w:type="dxa"/>
            <w:vAlign w:val="bottom"/>
            <w:tcBorders>
              <w:right w:val="single" w:sz="8" w:color="auto"/>
            </w:tcBorders>
            <w:vMerge w:val="continue"/>
          </w:tcPr>
          <w:p>
            <w:pPr>
              <w:spacing w:after="0"/>
              <w:rPr>
                <w:sz w:val="10"/>
                <w:szCs w:val="10"/>
                <w:color w:val="auto"/>
              </w:rPr>
            </w:pPr>
          </w:p>
        </w:tc>
        <w:tc>
          <w:tcPr>
            <w:tcW w:w="2800" w:type="dxa"/>
            <w:vAlign w:val="bottom"/>
            <w:tcBorders>
              <w:right w:val="single" w:sz="8" w:color="auto"/>
            </w:tcBorders>
            <w:vMerge w:val="continue"/>
          </w:tcPr>
          <w:p>
            <w:pPr>
              <w:spacing w:after="0"/>
              <w:rPr>
                <w:sz w:val="10"/>
                <w:szCs w:val="10"/>
                <w:color w:val="auto"/>
              </w:rPr>
            </w:pPr>
          </w:p>
        </w:tc>
        <w:tc>
          <w:tcPr>
            <w:tcW w:w="17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87"/>
              </w:rPr>
              <w:t>the agent</w:t>
            </w:r>
          </w:p>
        </w:tc>
        <w:tc>
          <w:tcPr>
            <w:tcW w:w="0" w:type="dxa"/>
            <w:vAlign w:val="bottom"/>
          </w:tcPr>
          <w:p>
            <w:pPr>
              <w:spacing w:after="0"/>
              <w:rPr>
                <w:sz w:val="1"/>
                <w:szCs w:val="1"/>
                <w:color w:val="auto"/>
              </w:rPr>
            </w:pPr>
          </w:p>
        </w:tc>
      </w:tr>
      <w:tr>
        <w:trPr>
          <w:trHeight w:val="115"/>
        </w:trPr>
        <w:tc>
          <w:tcPr>
            <w:tcW w:w="3360" w:type="dxa"/>
            <w:vAlign w:val="bottom"/>
            <w:tcBorders>
              <w:left w:val="single" w:sz="8" w:color="auto"/>
              <w:bottom w:val="single" w:sz="8" w:color="auto"/>
              <w:right w:val="single" w:sz="8" w:color="auto"/>
            </w:tcBorders>
            <w:vMerge w:val="continue"/>
          </w:tcPr>
          <w:p>
            <w:pPr>
              <w:spacing w:after="0"/>
              <w:rPr>
                <w:sz w:val="10"/>
                <w:szCs w:val="10"/>
                <w:color w:val="auto"/>
              </w:rPr>
            </w:pPr>
          </w:p>
        </w:tc>
        <w:tc>
          <w:tcPr>
            <w:tcW w:w="3380" w:type="dxa"/>
            <w:vAlign w:val="bottom"/>
            <w:tcBorders>
              <w:bottom w:val="single" w:sz="8" w:color="auto"/>
              <w:right w:val="single" w:sz="8" w:color="auto"/>
            </w:tcBorders>
          </w:tcPr>
          <w:p>
            <w:pPr>
              <w:spacing w:after="0"/>
              <w:rPr>
                <w:sz w:val="10"/>
                <w:szCs w:val="10"/>
                <w:color w:val="auto"/>
              </w:rPr>
            </w:pPr>
          </w:p>
        </w:tc>
        <w:tc>
          <w:tcPr>
            <w:tcW w:w="2800" w:type="dxa"/>
            <w:vAlign w:val="bottom"/>
            <w:tcBorders>
              <w:bottom w:val="single" w:sz="8" w:color="auto"/>
              <w:right w:val="single" w:sz="8" w:color="auto"/>
            </w:tcBorders>
          </w:tcPr>
          <w:p>
            <w:pPr>
              <w:spacing w:after="0"/>
              <w:rPr>
                <w:sz w:val="10"/>
                <w:szCs w:val="10"/>
                <w:color w:val="auto"/>
              </w:rPr>
            </w:pPr>
          </w:p>
        </w:tc>
        <w:tc>
          <w:tcPr>
            <w:tcW w:w="1700" w:type="dxa"/>
            <w:vAlign w:val="bottom"/>
            <w:tcBorders>
              <w:bottom w:val="single" w:sz="8" w:color="auto"/>
              <w:right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color w:val="auto"/>
        </w:rPr>
        <w:t>Note: Because TJM PARTNERS LTD. and ZAI TECHNOLOGY CO., LTD have not made available the data of their agency incomes, their operating incomes are used instead.</w:t>
      </w:r>
    </w:p>
    <w:p>
      <w:pPr>
        <w:spacing w:after="0" w:line="197" w:lineRule="exact"/>
        <w:rPr>
          <w:sz w:val="20"/>
          <w:szCs w:val="20"/>
          <w:color w:val="auto"/>
        </w:rPr>
      </w:pPr>
    </w:p>
    <w:p>
      <w:pPr>
        <w:jc w:val="both"/>
        <w:ind w:firstLine="324"/>
        <w:spacing w:after="0" w:line="273" w:lineRule="auto"/>
        <w:rPr>
          <w:sz w:val="20"/>
          <w:szCs w:val="20"/>
          <w:color w:val="auto"/>
        </w:rPr>
      </w:pPr>
      <w:r>
        <w:rPr>
          <w:rFonts w:ascii="Arial" w:cs="Arial" w:eastAsia="Arial" w:hAnsi="Arial"/>
          <w:sz w:val="17"/>
          <w:szCs w:val="17"/>
          <w:color w:val="auto"/>
        </w:rPr>
        <w:t>During the Reporting Period, except HANWOOL SCIENTIFIC CO., LTD., whose income was mainly from the Issuer, other agents had no significant dependence on the Issuer. In 2006, YONG YOU KIM founded HANWOOL SCIENTIFIC CO., LTD., and began to provide sales services on semiconductor equipment and remote control system for Hynix, LG Group and Samsung Group. The Company commenced the cooperation with HANWOOL SCIENTIFIC CO., LTD. in 2008, and did not start to pay agent commissions until obtaining the order of Hynix with such agent’s help in 2011. Subsequently, with the growth of the Company’s business scale, the proportion of the Company’s income from HANWOOL SCIENTIFIC CO., LTD. continued to increase. Since July 2019, the Company has no longer sold products through this agent.</w:t>
      </w:r>
    </w:p>
    <w:p>
      <w:pPr>
        <w:spacing w:after="0" w:line="201"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(v) Differences between agent role and sales commission proportion with comparable companies, and reasons therefor</w:t>
      </w:r>
    </w:p>
    <w:p>
      <w:pPr>
        <w:spacing w:after="0" w:line="256"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During the reporting periods, the sales revenue realized by the Company through its agents was RMB240.8824 million, RMB503.6493 million, RMB690.0221 million and RMB319.9515 million, accounting for 94.99%, 91.53%, 91.18% and 89.99% of operating income, respectively. Among the comparable listed companies in the same industry, AMEC, NAURA and HZCCTECH did not disclose relevant data; KINGSEMI adopted the sales mode of “first direct selling and second indirect selling,” with its proportion of sales realized through agents in 2017, 2018 and January to June 2019 accounting for 0%, 1.04% and 0%, respectively.</w:t>
      </w:r>
    </w:p>
    <w:p>
      <w:pPr>
        <w:spacing w:after="0" w:line="215" w:lineRule="exact"/>
        <w:rPr>
          <w:sz w:val="20"/>
          <w:szCs w:val="20"/>
          <w:color w:val="auto"/>
        </w:rPr>
      </w:pPr>
    </w:p>
    <w:p>
      <w:pPr>
        <w:jc w:val="both"/>
        <w:ind w:firstLine="324"/>
        <w:spacing w:after="0" w:line="273" w:lineRule="auto"/>
        <w:rPr>
          <w:sz w:val="20"/>
          <w:szCs w:val="20"/>
          <w:color w:val="auto"/>
        </w:rPr>
      </w:pPr>
      <w:r>
        <w:rPr>
          <w:rFonts w:ascii="Arial" w:cs="Arial" w:eastAsia="Arial" w:hAnsi="Arial"/>
          <w:sz w:val="17"/>
          <w:szCs w:val="17"/>
          <w:color w:val="auto"/>
        </w:rPr>
        <w:t>The proportion of the Company’s sales revenue realized through agents to its current operating income was higher than that of its comparable listed companies in the same industry. The main reason lies in that the Company, based on the development stage of its own products and technologies, has chosen the mode of market development mainly through agents, and paid the agent commissions at corresponding rates according to the agency agreements. The Company’s overall sales expense rate was controlled, and its rapid growth of performance in the past demonstrates that the agent-based model has achieved good market development effect. The Company’s sales expense rate was similar to that of AMEC, which mainly focuses on self-built teams, and was at a reasonable level for the semiconductor equipment industry.</w:t>
      </w:r>
    </w:p>
    <w:p>
      <w:pPr>
        <w:spacing w:after="0" w:line="37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8-4-1-29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3" w:name="page34"/>
    <w:bookmarkEnd w:id="33"/>
    <w:p>
      <w:pPr>
        <w:jc w:val="both"/>
        <w:ind w:firstLine="648"/>
        <w:spacing w:after="0" w:line="311" w:lineRule="auto"/>
        <w:rPr>
          <w:sz w:val="20"/>
          <w:szCs w:val="20"/>
          <w:color w:val="auto"/>
        </w:rPr>
      </w:pPr>
      <w:r>
        <w:rPr>
          <w:rFonts w:ascii="Arial" w:cs="Arial" w:eastAsia="Arial" w:hAnsi="Arial"/>
          <w:sz w:val="16"/>
          <w:szCs w:val="16"/>
          <w:color w:val="auto"/>
        </w:rPr>
        <w:t>During the Reporting Period, the commission rates were determined between the Company and its agents through commercial negotiation, taking into account, among other factors, the difficulty of customer development and maintenance, whether a new customer or new product is involved, the contribution of the agent in the sales process, the number of products being offered, and the overall level of agency fees in the semiconductor industry.</w:t>
      </w:r>
    </w:p>
    <w:p>
      <w:pPr>
        <w:spacing w:after="0" w:line="176"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Such listed companies in the semiconductor industry as AMEC, KINGSEMI, NSIG and MONTAGE TECHNOLOGY have disclosed the form of their agency sales and commission rates. During the Reporting Period, the sales commission rates of the Company and listed companies in the semiconductor industry that have disclosed their commission rate data were as follows:</w:t>
      </w:r>
    </w:p>
    <w:p>
      <w:pPr>
        <w:spacing w:after="0" w:line="205" w:lineRule="exact"/>
        <w:rPr>
          <w:sz w:val="20"/>
          <w:szCs w:val="20"/>
          <w:color w:val="auto"/>
        </w:rPr>
      </w:pPr>
    </w:p>
    <w:tbl>
      <w:tblPr>
        <w:tblLayout w:type="fixed"/>
        <w:tblInd w:w="10" w:type="dxa"/>
        <w:tblCellMar>
          <w:top w:w="0" w:type="dxa"/>
          <w:left w:w="0" w:type="dxa"/>
          <w:bottom w:w="0" w:type="dxa"/>
          <w:right w:w="0" w:type="dxa"/>
        </w:tblCellMar>
      </w:tblPr>
      <w:tr>
        <w:trPr>
          <w:trHeight w:val="250"/>
        </w:trPr>
        <w:tc>
          <w:tcPr>
            <w:tcW w:w="5080" w:type="dxa"/>
            <w:vAlign w:val="bottom"/>
            <w:tcBorders>
              <w:top w:val="single" w:sz="8" w:color="auto"/>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92"/>
              </w:rPr>
              <w:t>Company</w:t>
            </w:r>
          </w:p>
        </w:tc>
        <w:tc>
          <w:tcPr>
            <w:tcW w:w="6160" w:type="dxa"/>
            <w:vAlign w:val="bottom"/>
            <w:tcBorders>
              <w:top w:val="single" w:sz="8" w:color="auto"/>
              <w:bottom w:val="single" w:sz="8" w:color="auto"/>
              <w:right w:val="single" w:sz="8" w:color="auto"/>
            </w:tcBorders>
          </w:tcPr>
          <w:p>
            <w:pPr>
              <w:ind w:left="2400"/>
              <w:spacing w:after="0"/>
              <w:rPr>
                <w:sz w:val="20"/>
                <w:szCs w:val="20"/>
                <w:color w:val="auto"/>
              </w:rPr>
            </w:pPr>
            <w:r>
              <w:rPr>
                <w:rFonts w:ascii="Arial" w:cs="Arial" w:eastAsia="Arial" w:hAnsi="Arial"/>
                <w:sz w:val="18"/>
                <w:szCs w:val="18"/>
                <w:b w:val="1"/>
                <w:bCs w:val="1"/>
                <w:color w:val="auto"/>
              </w:rPr>
              <w:t>Commission rate</w:t>
            </w:r>
          </w:p>
        </w:tc>
      </w:tr>
      <w:tr>
        <w:trPr>
          <w:trHeight w:val="223"/>
        </w:trPr>
        <w:tc>
          <w:tcPr>
            <w:tcW w:w="508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9"/>
              </w:rPr>
              <w:t>AMEC</w:t>
            </w:r>
          </w:p>
        </w:tc>
        <w:tc>
          <w:tcPr>
            <w:tcW w:w="61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99"/>
              </w:rPr>
              <w:t>-</w:t>
            </w:r>
          </w:p>
        </w:tc>
      </w:tr>
      <w:tr>
        <w:trPr>
          <w:trHeight w:val="223"/>
        </w:trPr>
        <w:tc>
          <w:tcPr>
            <w:tcW w:w="508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9"/>
              </w:rPr>
              <w:t>KINGSEMI</w:t>
            </w:r>
          </w:p>
        </w:tc>
        <w:tc>
          <w:tcPr>
            <w:tcW w:w="61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4"/>
              </w:rPr>
              <w:t>5%-15%</w:t>
            </w:r>
          </w:p>
        </w:tc>
      </w:tr>
      <w:tr>
        <w:trPr>
          <w:trHeight w:val="223"/>
        </w:trPr>
        <w:tc>
          <w:tcPr>
            <w:tcW w:w="508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5"/>
              </w:rPr>
              <w:t>NSIG</w:t>
            </w:r>
          </w:p>
        </w:tc>
        <w:tc>
          <w:tcPr>
            <w:tcW w:w="61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3"/>
              </w:rPr>
              <w:t>1.5%-5%</w:t>
            </w:r>
          </w:p>
        </w:tc>
      </w:tr>
      <w:tr>
        <w:trPr>
          <w:trHeight w:val="223"/>
        </w:trPr>
        <w:tc>
          <w:tcPr>
            <w:tcW w:w="508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7"/>
              </w:rPr>
              <w:t>MONTAGE TECHNOLOGY</w:t>
            </w:r>
          </w:p>
        </w:tc>
        <w:tc>
          <w:tcPr>
            <w:tcW w:w="61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2"/>
              </w:rPr>
              <w:t>0.31%-4.14%</w:t>
            </w:r>
          </w:p>
        </w:tc>
      </w:tr>
      <w:tr>
        <w:trPr>
          <w:trHeight w:val="223"/>
        </w:trPr>
        <w:tc>
          <w:tcPr>
            <w:tcW w:w="508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0"/>
              </w:rPr>
              <w:t>Company</w:t>
            </w:r>
          </w:p>
        </w:tc>
        <w:tc>
          <w:tcPr>
            <w:tcW w:w="61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3"/>
              </w:rPr>
              <w:t>0.5%-5%</w:t>
            </w:r>
          </w:p>
        </w:tc>
      </w:tr>
    </w:tbl>
    <w:p>
      <w:pPr>
        <w:spacing w:after="0" w:line="202" w:lineRule="exact"/>
        <w:rPr>
          <w:sz w:val="20"/>
          <w:szCs w:val="20"/>
          <w:color w:val="auto"/>
        </w:rPr>
      </w:pPr>
    </w:p>
    <w:p>
      <w:pPr>
        <w:ind w:left="340"/>
        <w:spacing w:after="0"/>
        <w:rPr>
          <w:sz w:val="20"/>
          <w:szCs w:val="20"/>
          <w:color w:val="auto"/>
        </w:rPr>
      </w:pPr>
      <w:r>
        <w:rPr>
          <w:rFonts w:ascii="Arial" w:cs="Arial" w:eastAsia="Arial" w:hAnsi="Arial"/>
          <w:sz w:val="18"/>
          <w:szCs w:val="18"/>
          <w:color w:val="auto"/>
        </w:rPr>
        <w:t>Data source: announcements or replies to inquiries of listed companies.</w:t>
      </w:r>
    </w:p>
    <w:p>
      <w:pPr>
        <w:spacing w:after="0" w:line="252" w:lineRule="exact"/>
        <w:rPr>
          <w:sz w:val="20"/>
          <w:szCs w:val="20"/>
          <w:color w:val="auto"/>
        </w:rPr>
      </w:pPr>
    </w:p>
    <w:p>
      <w:pPr>
        <w:ind w:left="340"/>
        <w:spacing w:after="0"/>
        <w:rPr>
          <w:sz w:val="20"/>
          <w:szCs w:val="20"/>
          <w:color w:val="auto"/>
        </w:rPr>
      </w:pPr>
      <w:r>
        <w:rPr>
          <w:rFonts w:ascii="Arial" w:cs="Arial" w:eastAsia="Arial" w:hAnsi="Arial"/>
          <w:sz w:val="18"/>
          <w:szCs w:val="18"/>
          <w:color w:val="auto"/>
        </w:rPr>
        <w:t>Note: AMEC has sold certain products through agents, but has not disclosed the commission rate.</w:t>
      </w:r>
    </w:p>
    <w:p>
      <w:pPr>
        <w:spacing w:after="0" w:line="252"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The commission rate of listed companies in the semiconductor industry ranged from 0.31% to 15%. During the Reporting Period, the commission rate of the Company was between 0.5% and 5%, which is in line with the business practice of the semiconductor industry, without significant difference compared with the listed companies in the same industry.</w:t>
      </w:r>
    </w:p>
    <w:p>
      <w:pPr>
        <w:spacing w:after="0" w:line="207" w:lineRule="exact"/>
        <w:rPr>
          <w:sz w:val="20"/>
          <w:szCs w:val="20"/>
          <w:color w:val="auto"/>
        </w:rPr>
      </w:pPr>
    </w:p>
    <w:p>
      <w:pPr>
        <w:ind w:left="560" w:hanging="228"/>
        <w:spacing w:after="0"/>
        <w:tabs>
          <w:tab w:leader="none" w:pos="560" w:val="left"/>
        </w:tabs>
        <w:numPr>
          <w:ilvl w:val="0"/>
          <w:numId w:val="24"/>
        </w:numPr>
        <w:rPr>
          <w:rFonts w:ascii="Arial" w:cs="Arial" w:eastAsia="Arial" w:hAnsi="Arial"/>
          <w:sz w:val="18"/>
          <w:szCs w:val="18"/>
          <w:b w:val="1"/>
          <w:bCs w:val="1"/>
          <w:color w:val="auto"/>
        </w:rPr>
      </w:pPr>
      <w:r>
        <w:rPr>
          <w:rFonts w:ascii="Arial" w:cs="Arial" w:eastAsia="Arial" w:hAnsi="Arial"/>
          <w:sz w:val="18"/>
          <w:szCs w:val="18"/>
          <w:b w:val="1"/>
          <w:bCs w:val="1"/>
          <w:color w:val="auto"/>
        </w:rPr>
        <w:t>Verification Procedures and Opinions</w:t>
      </w:r>
    </w:p>
    <w:p>
      <w:pPr>
        <w:spacing w:after="0" w:line="252" w:lineRule="exact"/>
        <w:rPr>
          <w:rFonts w:ascii="Arial" w:cs="Arial" w:eastAsia="Arial" w:hAnsi="Arial"/>
          <w:sz w:val="18"/>
          <w:szCs w:val="18"/>
          <w:b w:val="1"/>
          <w:bCs w:val="1"/>
          <w:color w:val="auto"/>
        </w:rPr>
      </w:pPr>
    </w:p>
    <w:p>
      <w:pPr>
        <w:ind w:left="340"/>
        <w:spacing w:after="0"/>
        <w:rPr>
          <w:rFonts w:ascii="Arial" w:cs="Arial" w:eastAsia="Arial" w:hAnsi="Arial"/>
          <w:sz w:val="18"/>
          <w:szCs w:val="18"/>
          <w:b w:val="1"/>
          <w:bCs w:val="1"/>
          <w:color w:val="auto"/>
        </w:rPr>
      </w:pPr>
      <w:r>
        <w:rPr>
          <w:rFonts w:ascii="Arial" w:cs="Arial" w:eastAsia="Arial" w:hAnsi="Arial"/>
          <w:sz w:val="18"/>
          <w:szCs w:val="18"/>
          <w:b w:val="1"/>
          <w:bCs w:val="1"/>
          <w:color w:val="auto"/>
        </w:rPr>
        <w:t>(i) Verification Procedures</w:t>
      </w:r>
    </w:p>
    <w:p>
      <w:pPr>
        <w:spacing w:after="0" w:line="256" w:lineRule="exact"/>
        <w:rPr>
          <w:sz w:val="20"/>
          <w:szCs w:val="20"/>
          <w:color w:val="auto"/>
        </w:rPr>
      </w:pPr>
    </w:p>
    <w:p>
      <w:pPr>
        <w:ind w:left="340"/>
        <w:spacing w:after="0"/>
        <w:rPr>
          <w:sz w:val="20"/>
          <w:szCs w:val="20"/>
          <w:color w:val="auto"/>
        </w:rPr>
      </w:pPr>
      <w:r>
        <w:rPr>
          <w:rFonts w:ascii="Arial" w:cs="Arial" w:eastAsia="Arial" w:hAnsi="Arial"/>
          <w:sz w:val="18"/>
          <w:szCs w:val="18"/>
          <w:color w:val="auto"/>
        </w:rPr>
        <w:t>Before the release of the Short-sell Report, the Sponsor performed the following verification procedures:</w:t>
      </w:r>
    </w:p>
    <w:p>
      <w:pPr>
        <w:spacing w:after="0" w:line="252" w:lineRule="exact"/>
        <w:rPr>
          <w:sz w:val="20"/>
          <w:szCs w:val="20"/>
          <w:color w:val="auto"/>
        </w:rPr>
      </w:pPr>
    </w:p>
    <w:p>
      <w:pPr>
        <w:ind w:firstLine="332"/>
        <w:spacing w:after="0" w:line="277" w:lineRule="auto"/>
        <w:tabs>
          <w:tab w:leader="none" w:pos="534" w:val="left"/>
        </w:tabs>
        <w:numPr>
          <w:ilvl w:val="0"/>
          <w:numId w:val="25"/>
        </w:numPr>
        <w:rPr>
          <w:rFonts w:ascii="Arial" w:cs="Arial" w:eastAsia="Arial" w:hAnsi="Arial"/>
          <w:sz w:val="18"/>
          <w:szCs w:val="18"/>
          <w:color w:val="auto"/>
        </w:rPr>
      </w:pPr>
      <w:r>
        <w:rPr>
          <w:rFonts w:ascii="Arial" w:cs="Arial" w:eastAsia="Arial" w:hAnsi="Arial"/>
          <w:sz w:val="18"/>
          <w:szCs w:val="18"/>
          <w:color w:val="auto"/>
        </w:rPr>
        <w:t>Reviewing the sales agency contracts and other relevant materials, checking the main contractual obligations and rights, and reexamining the standards for making provisions of agency fees;</w:t>
      </w:r>
    </w:p>
    <w:p>
      <w:pPr>
        <w:spacing w:after="0" w:line="197" w:lineRule="exact"/>
        <w:rPr>
          <w:rFonts w:ascii="Arial" w:cs="Arial" w:eastAsia="Arial" w:hAnsi="Arial"/>
          <w:sz w:val="18"/>
          <w:szCs w:val="18"/>
          <w:color w:val="auto"/>
        </w:rPr>
      </w:pPr>
    </w:p>
    <w:p>
      <w:pPr>
        <w:ind w:left="520" w:hanging="188"/>
        <w:spacing w:after="0"/>
        <w:tabs>
          <w:tab w:leader="none" w:pos="520" w:val="left"/>
        </w:tabs>
        <w:numPr>
          <w:ilvl w:val="0"/>
          <w:numId w:val="25"/>
        </w:numPr>
        <w:rPr>
          <w:rFonts w:ascii="Arial" w:cs="Arial" w:eastAsia="Arial" w:hAnsi="Arial"/>
          <w:sz w:val="17"/>
          <w:szCs w:val="17"/>
          <w:color w:val="auto"/>
        </w:rPr>
      </w:pPr>
      <w:r>
        <w:rPr>
          <w:rFonts w:ascii="Arial" w:cs="Arial" w:eastAsia="Arial" w:hAnsi="Arial"/>
          <w:sz w:val="17"/>
          <w:szCs w:val="17"/>
          <w:color w:val="auto"/>
        </w:rPr>
        <w:t>Having access to the details of commission fees and reexamining the accuracy of sales commission provisions in each reporting period;</w:t>
      </w: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8-4-1-30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4" w:name="page35"/>
    <w:bookmarkEnd w:id="34"/>
    <w:p>
      <w:pPr>
        <w:jc w:val="both"/>
        <w:ind w:firstLine="332"/>
        <w:spacing w:after="0" w:line="311" w:lineRule="auto"/>
        <w:tabs>
          <w:tab w:leader="none" w:pos="511" w:val="left"/>
        </w:tabs>
        <w:numPr>
          <w:ilvl w:val="0"/>
          <w:numId w:val="26"/>
        </w:numPr>
        <w:rPr>
          <w:rFonts w:ascii="Arial" w:cs="Arial" w:eastAsia="Arial" w:hAnsi="Arial"/>
          <w:sz w:val="16"/>
          <w:szCs w:val="16"/>
          <w:color w:val="auto"/>
        </w:rPr>
      </w:pPr>
      <w:r>
        <w:rPr>
          <w:rFonts w:ascii="Arial" w:cs="Arial" w:eastAsia="Arial" w:hAnsi="Arial"/>
          <w:sz w:val="16"/>
          <w:szCs w:val="16"/>
          <w:color w:val="auto"/>
        </w:rPr>
        <w:t>Reviewing the relevant information on the main agents; obtaining the list of the principal shareholders, directors, supervisors and senior executives of the main agents, and comparing/verifying the same with the Issuer’s register of employees, directors, supervisors and senior executives to check whether the agents have any related-party relationship with the Issuer and its controlling shareholders, de facto controllers, employees and former employees;</w:t>
      </w:r>
    </w:p>
    <w:p>
      <w:pPr>
        <w:spacing w:after="0" w:line="175" w:lineRule="exact"/>
        <w:rPr>
          <w:rFonts w:ascii="Arial" w:cs="Arial" w:eastAsia="Arial" w:hAnsi="Arial"/>
          <w:sz w:val="16"/>
          <w:szCs w:val="16"/>
          <w:color w:val="auto"/>
        </w:rPr>
      </w:pPr>
    </w:p>
    <w:p>
      <w:pPr>
        <w:ind w:right="20" w:firstLine="332"/>
        <w:spacing w:after="0" w:line="277" w:lineRule="auto"/>
        <w:tabs>
          <w:tab w:leader="none" w:pos="505" w:val="left"/>
        </w:tabs>
        <w:numPr>
          <w:ilvl w:val="0"/>
          <w:numId w:val="26"/>
        </w:numPr>
        <w:rPr>
          <w:rFonts w:ascii="Arial" w:cs="Arial" w:eastAsia="Arial" w:hAnsi="Arial"/>
          <w:sz w:val="18"/>
          <w:szCs w:val="18"/>
          <w:color w:val="auto"/>
        </w:rPr>
      </w:pPr>
      <w:r>
        <w:rPr>
          <w:rFonts w:ascii="Arial" w:cs="Arial" w:eastAsia="Arial" w:hAnsi="Arial"/>
          <w:sz w:val="18"/>
          <w:szCs w:val="18"/>
          <w:color w:val="auto"/>
        </w:rPr>
        <w:t>Interviewing the agents to understand the services rendered to the Company, the settlement methods, whether there are commercial bribes, tunneling and related-party relationship, and to confirm the reasons for paying sales commissions and the fairness of pricing;</w:t>
      </w:r>
    </w:p>
    <w:p>
      <w:pPr>
        <w:spacing w:after="0" w:line="197" w:lineRule="exact"/>
        <w:rPr>
          <w:rFonts w:ascii="Arial" w:cs="Arial" w:eastAsia="Arial" w:hAnsi="Arial"/>
          <w:sz w:val="18"/>
          <w:szCs w:val="18"/>
          <w:color w:val="auto"/>
        </w:rPr>
      </w:pPr>
    </w:p>
    <w:p>
      <w:pPr>
        <w:ind w:left="520" w:hanging="188"/>
        <w:spacing w:after="0"/>
        <w:tabs>
          <w:tab w:leader="none" w:pos="520" w:val="left"/>
        </w:tabs>
        <w:numPr>
          <w:ilvl w:val="0"/>
          <w:numId w:val="26"/>
        </w:numPr>
        <w:rPr>
          <w:rFonts w:ascii="Arial" w:cs="Arial" w:eastAsia="Arial" w:hAnsi="Arial"/>
          <w:sz w:val="18"/>
          <w:szCs w:val="18"/>
          <w:color w:val="auto"/>
        </w:rPr>
      </w:pPr>
      <w:r>
        <w:rPr>
          <w:rFonts w:ascii="Arial" w:cs="Arial" w:eastAsia="Arial" w:hAnsi="Arial"/>
          <w:sz w:val="18"/>
          <w:szCs w:val="18"/>
          <w:color w:val="auto"/>
        </w:rPr>
        <w:t>Having access to the financial statements or related statements of the agents;</w:t>
      </w:r>
    </w:p>
    <w:p>
      <w:pPr>
        <w:spacing w:after="0" w:line="252" w:lineRule="exact"/>
        <w:rPr>
          <w:rFonts w:ascii="Arial" w:cs="Arial" w:eastAsia="Arial" w:hAnsi="Arial"/>
          <w:sz w:val="18"/>
          <w:szCs w:val="18"/>
          <w:color w:val="auto"/>
        </w:rPr>
      </w:pPr>
    </w:p>
    <w:p>
      <w:pPr>
        <w:ind w:left="520" w:hanging="188"/>
        <w:spacing w:after="0"/>
        <w:tabs>
          <w:tab w:leader="none" w:pos="520" w:val="left"/>
        </w:tabs>
        <w:numPr>
          <w:ilvl w:val="0"/>
          <w:numId w:val="26"/>
        </w:numPr>
        <w:rPr>
          <w:rFonts w:ascii="Arial" w:cs="Arial" w:eastAsia="Arial" w:hAnsi="Arial"/>
          <w:sz w:val="18"/>
          <w:szCs w:val="18"/>
          <w:color w:val="auto"/>
        </w:rPr>
      </w:pPr>
      <w:r>
        <w:rPr>
          <w:rFonts w:ascii="Arial" w:cs="Arial" w:eastAsia="Arial" w:hAnsi="Arial"/>
          <w:sz w:val="18"/>
          <w:szCs w:val="18"/>
          <w:color w:val="auto"/>
        </w:rPr>
        <w:t>Seeking confirmation from the agents on the accuracy of sales commissions;</w:t>
      </w:r>
    </w:p>
    <w:p>
      <w:pPr>
        <w:spacing w:after="0" w:line="252" w:lineRule="exact"/>
        <w:rPr>
          <w:rFonts w:ascii="Arial" w:cs="Arial" w:eastAsia="Arial" w:hAnsi="Arial"/>
          <w:sz w:val="18"/>
          <w:szCs w:val="18"/>
          <w:color w:val="auto"/>
        </w:rPr>
      </w:pPr>
    </w:p>
    <w:p>
      <w:pPr>
        <w:ind w:left="520" w:hanging="188"/>
        <w:spacing w:after="0"/>
        <w:tabs>
          <w:tab w:leader="none" w:pos="520" w:val="left"/>
        </w:tabs>
        <w:numPr>
          <w:ilvl w:val="0"/>
          <w:numId w:val="26"/>
        </w:numPr>
        <w:rPr>
          <w:rFonts w:ascii="Arial" w:cs="Arial" w:eastAsia="Arial" w:hAnsi="Arial"/>
          <w:sz w:val="18"/>
          <w:szCs w:val="18"/>
          <w:color w:val="auto"/>
        </w:rPr>
      </w:pPr>
      <w:r>
        <w:rPr>
          <w:rFonts w:ascii="Arial" w:cs="Arial" w:eastAsia="Arial" w:hAnsi="Arial"/>
          <w:sz w:val="18"/>
          <w:szCs w:val="18"/>
          <w:color w:val="auto"/>
        </w:rPr>
        <w:t>Reviewing the announcements of listed companies in the semiconductor industry to understand their agency sales;</w:t>
      </w:r>
    </w:p>
    <w:p>
      <w:pPr>
        <w:spacing w:after="0" w:line="252" w:lineRule="exact"/>
        <w:rPr>
          <w:rFonts w:ascii="Arial" w:cs="Arial" w:eastAsia="Arial" w:hAnsi="Arial"/>
          <w:sz w:val="18"/>
          <w:szCs w:val="18"/>
          <w:color w:val="auto"/>
        </w:rPr>
      </w:pPr>
    </w:p>
    <w:p>
      <w:pPr>
        <w:ind w:left="520" w:hanging="188"/>
        <w:spacing w:after="0"/>
        <w:tabs>
          <w:tab w:leader="none" w:pos="520" w:val="left"/>
        </w:tabs>
        <w:numPr>
          <w:ilvl w:val="0"/>
          <w:numId w:val="26"/>
        </w:numPr>
        <w:rPr>
          <w:rFonts w:ascii="Arial" w:cs="Arial" w:eastAsia="Arial" w:hAnsi="Arial"/>
          <w:sz w:val="18"/>
          <w:szCs w:val="18"/>
          <w:color w:val="auto"/>
        </w:rPr>
      </w:pPr>
      <w:r>
        <w:rPr>
          <w:rFonts w:ascii="Arial" w:cs="Arial" w:eastAsia="Arial" w:hAnsi="Arial"/>
          <w:sz w:val="18"/>
          <w:szCs w:val="18"/>
          <w:color w:val="auto"/>
        </w:rPr>
        <w:t>Interviewing the agents to confirm their role in helping the Company establish business relations with customers;</w:t>
      </w:r>
    </w:p>
    <w:p>
      <w:pPr>
        <w:spacing w:after="0" w:line="252" w:lineRule="exact"/>
        <w:rPr>
          <w:rFonts w:ascii="Arial" w:cs="Arial" w:eastAsia="Arial" w:hAnsi="Arial"/>
          <w:sz w:val="18"/>
          <w:szCs w:val="18"/>
          <w:color w:val="auto"/>
        </w:rPr>
      </w:pPr>
    </w:p>
    <w:p>
      <w:pPr>
        <w:ind w:left="520" w:hanging="188"/>
        <w:spacing w:after="0"/>
        <w:tabs>
          <w:tab w:leader="none" w:pos="520" w:val="left"/>
        </w:tabs>
        <w:numPr>
          <w:ilvl w:val="0"/>
          <w:numId w:val="26"/>
        </w:numPr>
        <w:rPr>
          <w:rFonts w:ascii="Arial" w:cs="Arial" w:eastAsia="Arial" w:hAnsi="Arial"/>
          <w:sz w:val="18"/>
          <w:szCs w:val="18"/>
          <w:color w:val="auto"/>
        </w:rPr>
      </w:pPr>
      <w:r>
        <w:rPr>
          <w:rFonts w:ascii="Arial" w:cs="Arial" w:eastAsia="Arial" w:hAnsi="Arial"/>
          <w:sz w:val="18"/>
          <w:szCs w:val="18"/>
          <w:color w:val="auto"/>
        </w:rPr>
        <w:t>Interviewing the Company and acquiring its clarification to confirm the role of the agents in business relations;</w:t>
      </w:r>
    </w:p>
    <w:p>
      <w:pPr>
        <w:spacing w:after="0" w:line="252" w:lineRule="exact"/>
        <w:rPr>
          <w:rFonts w:ascii="Arial" w:cs="Arial" w:eastAsia="Arial" w:hAnsi="Arial"/>
          <w:sz w:val="18"/>
          <w:szCs w:val="18"/>
          <w:color w:val="auto"/>
        </w:rPr>
      </w:pPr>
    </w:p>
    <w:p>
      <w:pPr>
        <w:ind w:firstLine="332"/>
        <w:spacing w:after="0" w:line="277" w:lineRule="auto"/>
        <w:tabs>
          <w:tab w:leader="none" w:pos="618" w:val="left"/>
        </w:tabs>
        <w:numPr>
          <w:ilvl w:val="0"/>
          <w:numId w:val="26"/>
        </w:numPr>
        <w:rPr>
          <w:rFonts w:ascii="Arial" w:cs="Arial" w:eastAsia="Arial" w:hAnsi="Arial"/>
          <w:sz w:val="18"/>
          <w:szCs w:val="18"/>
          <w:color w:val="auto"/>
        </w:rPr>
      </w:pPr>
      <w:r>
        <w:rPr>
          <w:rFonts w:ascii="Arial" w:cs="Arial" w:eastAsia="Arial" w:hAnsi="Arial"/>
          <w:sz w:val="18"/>
          <w:szCs w:val="18"/>
          <w:color w:val="auto"/>
        </w:rPr>
        <w:t>Reviewing the Company’s accounts to understand the Company’s initial commissions payment, and conducting comparative analysis with the interviews with relevant agents;</w:t>
      </w:r>
    </w:p>
    <w:p>
      <w:pPr>
        <w:spacing w:after="0" w:line="197" w:lineRule="exact"/>
        <w:rPr>
          <w:rFonts w:ascii="Arial" w:cs="Arial" w:eastAsia="Arial" w:hAnsi="Arial"/>
          <w:sz w:val="18"/>
          <w:szCs w:val="18"/>
          <w:color w:val="auto"/>
        </w:rPr>
      </w:pPr>
    </w:p>
    <w:p>
      <w:pPr>
        <w:ind w:firstLine="332"/>
        <w:spacing w:after="0" w:line="277" w:lineRule="auto"/>
        <w:tabs>
          <w:tab w:leader="none" w:pos="605" w:val="left"/>
        </w:tabs>
        <w:numPr>
          <w:ilvl w:val="0"/>
          <w:numId w:val="26"/>
        </w:numPr>
        <w:rPr>
          <w:rFonts w:ascii="Arial" w:cs="Arial" w:eastAsia="Arial" w:hAnsi="Arial"/>
          <w:sz w:val="18"/>
          <w:szCs w:val="18"/>
          <w:color w:val="auto"/>
        </w:rPr>
      </w:pPr>
      <w:r>
        <w:rPr>
          <w:rFonts w:ascii="Arial" w:cs="Arial" w:eastAsia="Arial" w:hAnsi="Arial"/>
          <w:sz w:val="18"/>
          <w:szCs w:val="18"/>
          <w:color w:val="auto"/>
        </w:rPr>
        <w:t>Reviewing the Company’s process of selecting agents and interviewing the general manager of the Company to understand the management of agents; and</w:t>
      </w:r>
    </w:p>
    <w:p>
      <w:pPr>
        <w:spacing w:after="0" w:line="197" w:lineRule="exact"/>
        <w:rPr>
          <w:rFonts w:ascii="Arial" w:cs="Arial" w:eastAsia="Arial" w:hAnsi="Arial"/>
          <w:sz w:val="18"/>
          <w:szCs w:val="18"/>
          <w:color w:val="auto"/>
        </w:rPr>
      </w:pPr>
    </w:p>
    <w:p>
      <w:pPr>
        <w:ind w:left="600" w:hanging="268"/>
        <w:spacing w:after="0"/>
        <w:tabs>
          <w:tab w:leader="none" w:pos="6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Reviewing the reconciliation information between the Company and its agents.</w:t>
      </w:r>
    </w:p>
    <w:p>
      <w:pPr>
        <w:spacing w:after="0" w:line="252" w:lineRule="exact"/>
        <w:rPr>
          <w:sz w:val="20"/>
          <w:szCs w:val="20"/>
          <w:color w:val="auto"/>
        </w:rPr>
      </w:pPr>
    </w:p>
    <w:p>
      <w:pPr>
        <w:ind w:left="340"/>
        <w:spacing w:after="0"/>
        <w:rPr>
          <w:sz w:val="20"/>
          <w:szCs w:val="20"/>
          <w:color w:val="auto"/>
        </w:rPr>
      </w:pPr>
      <w:r>
        <w:rPr>
          <w:rFonts w:ascii="Arial" w:cs="Arial" w:eastAsia="Arial" w:hAnsi="Arial"/>
          <w:sz w:val="17"/>
          <w:szCs w:val="17"/>
          <w:color w:val="auto"/>
        </w:rPr>
        <w:t>After the release of the Short-sell Report, the Sponsor performed the following further procedures with respect to the agents of the Company:</w:t>
      </w:r>
    </w:p>
    <w:p>
      <w:pPr>
        <w:spacing w:after="0" w:line="264" w:lineRule="exact"/>
        <w:rPr>
          <w:sz w:val="20"/>
          <w:szCs w:val="20"/>
          <w:color w:val="auto"/>
        </w:rPr>
      </w:pPr>
    </w:p>
    <w:p>
      <w:pPr>
        <w:jc w:val="both"/>
        <w:ind w:firstLine="332"/>
        <w:spacing w:after="0" w:line="263" w:lineRule="auto"/>
        <w:tabs>
          <w:tab w:leader="none" w:pos="507" w:val="left"/>
        </w:tabs>
        <w:numPr>
          <w:ilvl w:val="0"/>
          <w:numId w:val="27"/>
        </w:numPr>
        <w:rPr>
          <w:rFonts w:ascii="Arial" w:cs="Arial" w:eastAsia="Arial" w:hAnsi="Arial"/>
          <w:sz w:val="18"/>
          <w:szCs w:val="18"/>
          <w:color w:val="auto"/>
        </w:rPr>
      </w:pPr>
      <w:r>
        <w:rPr>
          <w:rFonts w:ascii="Arial" w:cs="Arial" w:eastAsia="Arial" w:hAnsi="Arial"/>
          <w:sz w:val="18"/>
          <w:szCs w:val="18"/>
          <w:color w:val="auto"/>
        </w:rPr>
        <w:t>Interviewing the Head of the Wet Process and Grinding Equipment Department of Huahong Group, and the Head of the Padfoot Equipment Process Department of JCET, both of which are key customers of the Company, to understand the role played by agents in the Company’s market development process;</w:t>
      </w:r>
    </w:p>
    <w:p>
      <w:pPr>
        <w:spacing w:after="0" w:line="210" w:lineRule="exact"/>
        <w:rPr>
          <w:rFonts w:ascii="Arial" w:cs="Arial" w:eastAsia="Arial" w:hAnsi="Arial"/>
          <w:sz w:val="18"/>
          <w:szCs w:val="18"/>
          <w:color w:val="auto"/>
        </w:rPr>
      </w:pPr>
    </w:p>
    <w:p>
      <w:pPr>
        <w:ind w:left="520" w:hanging="188"/>
        <w:spacing w:after="0"/>
        <w:tabs>
          <w:tab w:leader="none" w:pos="520" w:val="left"/>
        </w:tabs>
        <w:numPr>
          <w:ilvl w:val="0"/>
          <w:numId w:val="27"/>
        </w:numPr>
        <w:rPr>
          <w:rFonts w:ascii="Arial" w:cs="Arial" w:eastAsia="Arial" w:hAnsi="Arial"/>
          <w:sz w:val="18"/>
          <w:szCs w:val="18"/>
          <w:color w:val="auto"/>
        </w:rPr>
      </w:pPr>
      <w:r>
        <w:rPr>
          <w:rFonts w:ascii="Arial" w:cs="Arial" w:eastAsia="Arial" w:hAnsi="Arial"/>
          <w:sz w:val="18"/>
          <w:szCs w:val="18"/>
          <w:color w:val="auto"/>
        </w:rPr>
        <w:t>Interviewing some agents again to further confirm their relationship with the Company and its customers;</w:t>
      </w:r>
    </w:p>
    <w:p>
      <w:pPr>
        <w:spacing w:after="0" w:line="252" w:lineRule="exact"/>
        <w:rPr>
          <w:rFonts w:ascii="Arial" w:cs="Arial" w:eastAsia="Arial" w:hAnsi="Arial"/>
          <w:sz w:val="18"/>
          <w:szCs w:val="18"/>
          <w:color w:val="auto"/>
        </w:rPr>
      </w:pPr>
    </w:p>
    <w:p>
      <w:pPr>
        <w:ind w:left="520" w:hanging="188"/>
        <w:spacing w:after="0"/>
        <w:tabs>
          <w:tab w:leader="none" w:pos="520" w:val="left"/>
        </w:tabs>
        <w:numPr>
          <w:ilvl w:val="0"/>
          <w:numId w:val="27"/>
        </w:numPr>
        <w:rPr>
          <w:rFonts w:ascii="Arial" w:cs="Arial" w:eastAsia="Arial" w:hAnsi="Arial"/>
          <w:sz w:val="18"/>
          <w:szCs w:val="18"/>
          <w:color w:val="auto"/>
        </w:rPr>
      </w:pPr>
      <w:r>
        <w:rPr>
          <w:rFonts w:ascii="Arial" w:cs="Arial" w:eastAsia="Arial" w:hAnsi="Arial"/>
          <w:sz w:val="18"/>
          <w:szCs w:val="18"/>
          <w:color w:val="auto"/>
        </w:rPr>
        <w:t>Reexamining the calculation process of the Company’s sales commission; and</w:t>
      </w:r>
    </w:p>
    <w:p>
      <w:pPr>
        <w:spacing w:after="0" w:line="252" w:lineRule="exact"/>
        <w:rPr>
          <w:rFonts w:ascii="Arial" w:cs="Arial" w:eastAsia="Arial" w:hAnsi="Arial"/>
          <w:sz w:val="18"/>
          <w:szCs w:val="18"/>
          <w:color w:val="auto"/>
        </w:rPr>
      </w:pPr>
    </w:p>
    <w:p>
      <w:pPr>
        <w:ind w:left="520" w:hanging="188"/>
        <w:spacing w:after="0"/>
        <w:tabs>
          <w:tab w:leader="none" w:pos="520" w:val="left"/>
        </w:tabs>
        <w:numPr>
          <w:ilvl w:val="0"/>
          <w:numId w:val="27"/>
        </w:numPr>
        <w:rPr>
          <w:rFonts w:ascii="Arial" w:cs="Arial" w:eastAsia="Arial" w:hAnsi="Arial"/>
          <w:sz w:val="18"/>
          <w:szCs w:val="18"/>
          <w:color w:val="auto"/>
        </w:rPr>
      </w:pPr>
      <w:r>
        <w:rPr>
          <w:rFonts w:ascii="Arial" w:cs="Arial" w:eastAsia="Arial" w:hAnsi="Arial"/>
          <w:sz w:val="18"/>
          <w:szCs w:val="18"/>
          <w:color w:val="auto"/>
        </w:rPr>
        <w:t>Further reviewing the information on process of communication between the Company and its agents.</w:t>
      </w:r>
    </w:p>
    <w:p>
      <w:pPr>
        <w:spacing w:after="0" w:line="248"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(ii) Verification Opinions</w:t>
      </w:r>
    </w:p>
    <w:p>
      <w:pPr>
        <w:spacing w:after="0" w:line="256" w:lineRule="exact"/>
        <w:rPr>
          <w:sz w:val="20"/>
          <w:szCs w:val="20"/>
          <w:color w:val="auto"/>
        </w:rPr>
      </w:pPr>
    </w:p>
    <w:p>
      <w:pPr>
        <w:ind w:left="340"/>
        <w:spacing w:after="0"/>
        <w:rPr>
          <w:sz w:val="20"/>
          <w:szCs w:val="20"/>
          <w:color w:val="auto"/>
        </w:rPr>
      </w:pPr>
      <w:r>
        <w:rPr>
          <w:rFonts w:ascii="Arial" w:cs="Arial" w:eastAsia="Arial" w:hAnsi="Arial"/>
          <w:sz w:val="18"/>
          <w:szCs w:val="18"/>
          <w:color w:val="auto"/>
        </w:rPr>
        <w:t>Upon verification, the Sponsor opines that:</w:t>
      </w:r>
    </w:p>
    <w:p>
      <w:pPr>
        <w:spacing w:after="0" w:line="252" w:lineRule="exact"/>
        <w:rPr>
          <w:sz w:val="20"/>
          <w:szCs w:val="20"/>
          <w:color w:val="auto"/>
        </w:rPr>
      </w:pPr>
    </w:p>
    <w:p>
      <w:pPr>
        <w:ind w:left="520" w:hanging="188"/>
        <w:spacing w:after="0"/>
        <w:tabs>
          <w:tab w:leader="none" w:pos="520" w:val="left"/>
        </w:tabs>
        <w:numPr>
          <w:ilvl w:val="0"/>
          <w:numId w:val="28"/>
        </w:numPr>
        <w:rPr>
          <w:rFonts w:ascii="Arial" w:cs="Arial" w:eastAsia="Arial" w:hAnsi="Arial"/>
          <w:sz w:val="17"/>
          <w:szCs w:val="17"/>
          <w:color w:val="auto"/>
        </w:rPr>
      </w:pPr>
      <w:r>
        <w:rPr>
          <w:rFonts w:ascii="Arial" w:cs="Arial" w:eastAsia="Arial" w:hAnsi="Arial"/>
          <w:sz w:val="17"/>
          <w:szCs w:val="17"/>
          <w:color w:val="auto"/>
        </w:rPr>
        <w:t>The Company’s agents played an important role in the Company’s market development and building business relations with customers;</w:t>
      </w:r>
    </w:p>
    <w:p>
      <w:pPr>
        <w:spacing w:after="0" w:line="263" w:lineRule="exact"/>
        <w:rPr>
          <w:rFonts w:ascii="Arial" w:cs="Arial" w:eastAsia="Arial" w:hAnsi="Arial"/>
          <w:sz w:val="17"/>
          <w:szCs w:val="17"/>
          <w:color w:val="auto"/>
        </w:rPr>
      </w:pPr>
    </w:p>
    <w:p>
      <w:pPr>
        <w:ind w:left="520" w:hanging="188"/>
        <w:spacing w:after="0"/>
        <w:tabs>
          <w:tab w:leader="none" w:pos="520" w:val="left"/>
        </w:tabs>
        <w:numPr>
          <w:ilvl w:val="0"/>
          <w:numId w:val="28"/>
        </w:numPr>
        <w:rPr>
          <w:rFonts w:ascii="Arial" w:cs="Arial" w:eastAsia="Arial" w:hAnsi="Arial"/>
          <w:sz w:val="16"/>
          <w:szCs w:val="16"/>
          <w:color w:val="auto"/>
        </w:rPr>
      </w:pPr>
      <w:r>
        <w:rPr>
          <w:rFonts w:ascii="Arial" w:cs="Arial" w:eastAsia="Arial" w:hAnsi="Arial"/>
          <w:sz w:val="16"/>
          <w:szCs w:val="16"/>
          <w:color w:val="auto"/>
        </w:rPr>
        <w:t>The provisions for agency service fees have been accurately made by the Issuer in each reporting period, which are in line with the order amount;</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and</w:t>
      </w: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8-4-1-31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5" w:name="page36"/>
    <w:bookmarkEnd w:id="35"/>
    <w:p>
      <w:pPr>
        <w:ind w:left="520" w:hanging="188"/>
        <w:spacing w:after="0"/>
        <w:tabs>
          <w:tab w:leader="none" w:pos="52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pricing of agency services between the Company and the agents is reasonable, in line with the industry practice without tunneling.</w:t>
      </w:r>
    </w:p>
    <w:p>
      <w:pPr>
        <w:spacing w:after="0" w:line="248" w:lineRule="exact"/>
        <w:rPr>
          <w:rFonts w:ascii="Arial" w:cs="Arial" w:eastAsia="Arial" w:hAnsi="Arial"/>
          <w:sz w:val="18"/>
          <w:szCs w:val="18"/>
          <w:color w:val="auto"/>
        </w:rPr>
      </w:pPr>
    </w:p>
    <w:p>
      <w:pPr>
        <w:ind w:left="520" w:hanging="188"/>
        <w:spacing w:after="0"/>
        <w:tabs>
          <w:tab w:leader="none" w:pos="520" w:val="left"/>
        </w:tabs>
        <w:numPr>
          <w:ilvl w:val="0"/>
          <w:numId w:val="29"/>
        </w:numPr>
        <w:rPr>
          <w:rFonts w:ascii="Arial" w:cs="Arial" w:eastAsia="Arial" w:hAnsi="Arial"/>
          <w:sz w:val="18"/>
          <w:szCs w:val="18"/>
          <w:b w:val="1"/>
          <w:bCs w:val="1"/>
          <w:color w:val="auto"/>
        </w:rPr>
      </w:pPr>
      <w:r>
        <w:rPr>
          <w:rFonts w:ascii="Arial" w:cs="Arial" w:eastAsia="Arial" w:hAnsi="Arial"/>
          <w:sz w:val="18"/>
          <w:szCs w:val="18"/>
          <w:b w:val="1"/>
          <w:bCs w:val="1"/>
          <w:color w:val="auto"/>
        </w:rPr>
        <w:t>Core Challenge 4: About LIDA (Index of Verification in Response to the Short-sell Report, No.14)</w:t>
      </w:r>
    </w:p>
    <w:p>
      <w:pPr>
        <w:spacing w:after="0" w:line="252"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Challenge in the Short-sell Report (Short-sell Report, pp.18-21):</w:t>
      </w:r>
    </w:p>
    <w:p>
      <w:pPr>
        <w:spacing w:after="0" w:line="256"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“1. Lida Technology. Lida is currently a Hong Kong-registered company. Prior to 2018, the company was registered in the U.K. Wang Beiyi owned one-thirds of the equity, and the other third belonged to someone with the same name as ACMR’s sales director, Liu Zheng.</w:t>
      </w:r>
    </w:p>
    <w:p>
      <w:pPr>
        <w:spacing w:after="0" w:line="197" w:lineRule="exact"/>
        <w:rPr>
          <w:sz w:val="20"/>
          <w:szCs w:val="20"/>
          <w:color w:val="auto"/>
        </w:rPr>
      </w:pPr>
    </w:p>
    <w:p>
      <w:pPr>
        <w:jc w:val="both"/>
        <w:ind w:firstLine="332"/>
        <w:spacing w:after="0" w:line="263" w:lineRule="auto"/>
        <w:tabs>
          <w:tab w:leader="none" w:pos="525" w:val="left"/>
        </w:tabs>
        <w:numPr>
          <w:ilvl w:val="0"/>
          <w:numId w:val="30"/>
        </w:numPr>
        <w:rPr>
          <w:rFonts w:ascii="Arial" w:cs="Arial" w:eastAsia="Arial" w:hAnsi="Arial"/>
          <w:sz w:val="18"/>
          <w:szCs w:val="18"/>
          <w:color w:val="auto"/>
        </w:rPr>
      </w:pPr>
      <w:r>
        <w:rPr>
          <w:rFonts w:ascii="Arial" w:cs="Arial" w:eastAsia="Arial" w:hAnsi="Arial"/>
          <w:sz w:val="18"/>
          <w:szCs w:val="18"/>
          <w:color w:val="auto"/>
        </w:rPr>
        <w:t>We think Lida Technology is skimming money from ACMR by booking some of the sales on its own account instead of giving the revenue to ACMR. We interviewed several people involved with building and selling ACMR’s electroplating devices, which are all sold by Lida. The interviewees gave us a clear count of how many the company had produced in 2015-2019.</w:t>
      </w:r>
    </w:p>
    <w:p>
      <w:pPr>
        <w:spacing w:after="0" w:line="210" w:lineRule="exact"/>
        <w:rPr>
          <w:rFonts w:ascii="Arial" w:cs="Arial" w:eastAsia="Arial" w:hAnsi="Arial"/>
          <w:sz w:val="18"/>
          <w:szCs w:val="18"/>
          <w:color w:val="auto"/>
        </w:rPr>
      </w:pPr>
    </w:p>
    <w:p>
      <w:pPr>
        <w:ind w:firstLine="332"/>
        <w:spacing w:after="0" w:line="277" w:lineRule="auto"/>
        <w:tabs>
          <w:tab w:leader="none" w:pos="519" w:val="left"/>
        </w:tabs>
        <w:numPr>
          <w:ilvl w:val="0"/>
          <w:numId w:val="30"/>
        </w:numPr>
        <w:rPr>
          <w:rFonts w:ascii="Arial" w:cs="Arial" w:eastAsia="Arial" w:hAnsi="Arial"/>
          <w:sz w:val="18"/>
          <w:szCs w:val="18"/>
          <w:color w:val="auto"/>
        </w:rPr>
      </w:pPr>
      <w:r>
        <w:rPr>
          <w:rFonts w:ascii="Arial" w:cs="Arial" w:eastAsia="Arial" w:hAnsi="Arial"/>
          <w:sz w:val="18"/>
          <w:szCs w:val="18"/>
          <w:color w:val="auto"/>
        </w:rPr>
        <w:t>ACMR makes the ridiculous claim that Wang’s company, Shengyi Semiconductor Technology (Wuxi) Co., Ltd., sells them filters—a commodity product that is super abundant in China—for 62% less than competitors.”</w:t>
      </w:r>
    </w:p>
    <w:p>
      <w:pPr>
        <w:spacing w:after="0" w:line="193"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Response:</w:t>
      </w:r>
    </w:p>
    <w:p>
      <w:pPr>
        <w:spacing w:after="0" w:line="252"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I. Clarification by the Issuer</w:t>
      </w:r>
    </w:p>
    <w:p>
      <w:pPr>
        <w:spacing w:after="0" w:line="256"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The Company has disclosed in detail about LIDA TECHNOLOGY CO., LIMITED and the business relationship with Shengyi Technology, as can be seen in “Q14.1” of the Reply to the Letter of First Round Review-related Inquiries and “Q7” of the Reply to the Letter of Second Round Review-related Inquiries.</w:t>
      </w:r>
    </w:p>
    <w:p>
      <w:pPr>
        <w:spacing w:after="0" w:line="207"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(i) Background of cooperation between the Company and LIDA TECHNOLOGY CO., LIMITED</w:t>
      </w:r>
    </w:p>
    <w:p>
      <w:pPr>
        <w:spacing w:after="0" w:line="256"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In 2007, the Company began to develop single wafer cleaning equipment, and meanwhile began market research and development by relying on its internal sales team, with the aim of seeking a customer in Mainland China as the first user of the alpha-version single wafer SAPS megasonic cleaning prototype. However, at that time it was difficult for the Company to find such a customer in Mainland China as the Company’s products were still in the prototype R&amp;D stage.</w:t>
      </w:r>
    </w:p>
    <w:p>
      <w:pPr>
        <w:spacing w:after="0" w:line="214" w:lineRule="exact"/>
        <w:rPr>
          <w:sz w:val="20"/>
          <w:szCs w:val="20"/>
          <w:color w:val="auto"/>
        </w:rPr>
      </w:pPr>
    </w:p>
    <w:p>
      <w:pPr>
        <w:jc w:val="both"/>
        <w:ind w:firstLine="324"/>
        <w:spacing w:after="0" w:line="272" w:lineRule="auto"/>
        <w:rPr>
          <w:sz w:val="20"/>
          <w:szCs w:val="20"/>
          <w:color w:val="auto"/>
        </w:rPr>
      </w:pPr>
      <w:r>
        <w:rPr>
          <w:rFonts w:ascii="Arial" w:cs="Arial" w:eastAsia="Arial" w:hAnsi="Arial"/>
          <w:sz w:val="17"/>
          <w:szCs w:val="17"/>
          <w:color w:val="auto"/>
        </w:rPr>
        <w:t>In 2008, the Company established contact with the Korean agent HANWOOL SCIENTIFIC CO., LTD through referral by a Korean acquaintance of the Company’s management. After the continuous promotion of the Company’s technology by HANWOOL SCIENTIFIC CO., LTD, in 2009, the Company’s first alpha-version single wafer SAPS megasonic cleaning prototype was successfully placed with Hynix for preliminary test. In 2011, after 24 months of testing, the two-step cleaning process proved that the product yield can be increased by 1.5%, and an order of Hynix for the first equipment was obtained. From the successful experience in the Korean market, it can be seen that even though the Company has mastered the globally differentiated and competitive technologies such as the SAPS megasonic technology, it is still very difficult for the Company to engage new customers due to the lack of their understanding and trust of the Company and its products. As such, the agents play a particularly important role.</w:t>
      </w:r>
    </w:p>
    <w:p>
      <w:pPr>
        <w:spacing w:after="0" w:line="37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8-4-1-32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6" w:name="page37"/>
    <w:bookmarkEnd w:id="36"/>
    <w:p>
      <w:pPr>
        <w:jc w:val="both"/>
        <w:ind w:firstLine="324"/>
        <w:spacing w:after="0" w:line="279" w:lineRule="auto"/>
        <w:rPr>
          <w:sz w:val="20"/>
          <w:szCs w:val="20"/>
          <w:color w:val="auto"/>
        </w:rPr>
      </w:pPr>
      <w:r>
        <w:rPr>
          <w:rFonts w:ascii="Arial" w:cs="Arial" w:eastAsia="Arial" w:hAnsi="Arial"/>
          <w:sz w:val="17"/>
          <w:szCs w:val="17"/>
          <w:color w:val="auto"/>
        </w:rPr>
        <w:t>With the development of China’s semiconductor industry, potential customers in Mainland China are also emerging. Since 2014, to speed up opening up the market in Mainland China, the Company, following the successful experience in the Korean market, had been looking for Mainland China’s equipment agents with strong technical background and industry connections, before finally establishing an agent-principal relationship with LIDA TECHNOLOGY CO., LIMITED. With the help of LIDA, the Company successfully gained multiple customers in China.</w:t>
      </w:r>
    </w:p>
    <w:p>
      <w:pPr>
        <w:spacing w:after="0" w:line="194"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(ii) Overview of LIDA TECHNOLOGY CO., LIMITED</w:t>
      </w:r>
    </w:p>
    <w:p>
      <w:pPr>
        <w:spacing w:after="0" w:line="256" w:lineRule="exact"/>
        <w:rPr>
          <w:sz w:val="20"/>
          <w:szCs w:val="20"/>
          <w:color w:val="auto"/>
        </w:rPr>
      </w:pPr>
    </w:p>
    <w:p>
      <w:pPr>
        <w:ind w:left="340"/>
        <w:spacing w:after="0"/>
        <w:rPr>
          <w:sz w:val="20"/>
          <w:szCs w:val="20"/>
          <w:color w:val="auto"/>
        </w:rPr>
      </w:pPr>
      <w:r>
        <w:rPr>
          <w:rFonts w:ascii="Arial" w:cs="Arial" w:eastAsia="Arial" w:hAnsi="Arial"/>
          <w:sz w:val="18"/>
          <w:szCs w:val="18"/>
          <w:color w:val="auto"/>
        </w:rPr>
        <w:t>Overview of LIDA TECHNOLOGY CO., LIMITED:</w:t>
      </w:r>
    </w:p>
    <w:p>
      <w:pPr>
        <w:spacing w:after="0" w:line="246" w:lineRule="exact"/>
        <w:rPr>
          <w:sz w:val="20"/>
          <w:szCs w:val="20"/>
          <w:color w:val="auto"/>
        </w:rPr>
      </w:pPr>
    </w:p>
    <w:tbl>
      <w:tblPr>
        <w:tblLayout w:type="fixed"/>
        <w:tblInd w:w="10" w:type="dxa"/>
        <w:tblCellMar>
          <w:top w:w="0" w:type="dxa"/>
          <w:left w:w="0" w:type="dxa"/>
          <w:bottom w:w="0" w:type="dxa"/>
          <w:right w:w="0" w:type="dxa"/>
        </w:tblCellMar>
      </w:tblPr>
      <w:tr>
        <w:trPr>
          <w:trHeight w:val="250"/>
        </w:trPr>
        <w:tc>
          <w:tcPr>
            <w:tcW w:w="3500" w:type="dxa"/>
            <w:vAlign w:val="bottom"/>
            <w:tcBorders>
              <w:top w:val="single" w:sz="8" w:color="auto"/>
              <w:left w:val="single" w:sz="8" w:color="auto"/>
              <w:bottom w:val="single" w:sz="8" w:color="auto"/>
            </w:tcBorders>
          </w:tcPr>
          <w:p>
            <w:pPr>
              <w:spacing w:after="0"/>
              <w:rPr>
                <w:sz w:val="21"/>
                <w:szCs w:val="21"/>
                <w:color w:val="auto"/>
              </w:rPr>
            </w:pPr>
          </w:p>
        </w:tc>
        <w:tc>
          <w:tcPr>
            <w:tcW w:w="7740" w:type="dxa"/>
            <w:vAlign w:val="bottom"/>
            <w:tcBorders>
              <w:top w:val="single" w:sz="8" w:color="auto"/>
              <w:bottom w:val="single" w:sz="8" w:color="auto"/>
              <w:right w:val="single" w:sz="8" w:color="auto"/>
            </w:tcBorders>
          </w:tcPr>
          <w:p>
            <w:pPr>
              <w:ind w:left="620"/>
              <w:spacing w:after="0"/>
              <w:rPr>
                <w:sz w:val="20"/>
                <w:szCs w:val="20"/>
                <w:color w:val="auto"/>
              </w:rPr>
            </w:pPr>
            <w:r>
              <w:rPr>
                <w:rFonts w:ascii="Arial" w:cs="Arial" w:eastAsia="Arial" w:hAnsi="Arial"/>
                <w:sz w:val="18"/>
                <w:szCs w:val="18"/>
                <w:b w:val="1"/>
                <w:bCs w:val="1"/>
                <w:color w:val="auto"/>
              </w:rPr>
              <w:t>LIDA TECHNOLOGY CO.,LIMITED</w:t>
            </w:r>
          </w:p>
        </w:tc>
      </w:tr>
      <w:tr>
        <w:trPr>
          <w:trHeight w:val="223"/>
        </w:trPr>
        <w:tc>
          <w:tcPr>
            <w:tcW w:w="350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1"/>
              </w:rPr>
              <w:t>Incorporated in</w:t>
            </w:r>
          </w:p>
        </w:tc>
        <w:tc>
          <w:tcPr>
            <w:tcW w:w="77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7"/>
              </w:rPr>
              <w:t>January 2018</w:t>
            </w:r>
          </w:p>
        </w:tc>
      </w:tr>
      <w:tr>
        <w:trPr>
          <w:trHeight w:val="223"/>
        </w:trPr>
        <w:tc>
          <w:tcPr>
            <w:tcW w:w="350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0"/>
              </w:rPr>
              <w:t>Registered Capital</w:t>
            </w:r>
          </w:p>
        </w:tc>
        <w:tc>
          <w:tcPr>
            <w:tcW w:w="77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8"/>
              </w:rPr>
              <w:t>HK$1.0 million</w:t>
            </w:r>
          </w:p>
        </w:tc>
      </w:tr>
      <w:tr>
        <w:trPr>
          <w:trHeight w:val="223"/>
        </w:trPr>
        <w:tc>
          <w:tcPr>
            <w:tcW w:w="350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8"/>
              </w:rPr>
              <w:t>Registered Address</w:t>
            </w:r>
          </w:p>
        </w:tc>
        <w:tc>
          <w:tcPr>
            <w:tcW w:w="77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3"/>
              </w:rPr>
              <w:t>Hong Kong</w:t>
            </w:r>
          </w:p>
        </w:tc>
      </w:tr>
      <w:tr>
        <w:trPr>
          <w:trHeight w:val="223"/>
        </w:trPr>
        <w:tc>
          <w:tcPr>
            <w:tcW w:w="350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9"/>
              </w:rPr>
              <w:t>Legal Representative</w:t>
            </w:r>
          </w:p>
        </w:tc>
        <w:tc>
          <w:tcPr>
            <w:tcW w:w="77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BEIYI WANG</w:t>
            </w:r>
          </w:p>
        </w:tc>
      </w:tr>
      <w:tr>
        <w:trPr>
          <w:trHeight w:val="223"/>
        </w:trPr>
        <w:tc>
          <w:tcPr>
            <w:tcW w:w="350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0"/>
              </w:rPr>
              <w:t>Main Business</w:t>
            </w:r>
          </w:p>
        </w:tc>
        <w:tc>
          <w:tcPr>
            <w:tcW w:w="77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9"/>
              </w:rPr>
              <w:t>Sales agent of semiconductor materials, semiconductor equipment and semiconductor parts</w:t>
            </w:r>
          </w:p>
        </w:tc>
      </w:tr>
      <w:tr>
        <w:trPr>
          <w:trHeight w:val="223"/>
        </w:trPr>
        <w:tc>
          <w:tcPr>
            <w:tcW w:w="350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0"/>
              </w:rPr>
              <w:t>Shareholder Name/Shareholding</w:t>
            </w:r>
          </w:p>
        </w:tc>
        <w:tc>
          <w:tcPr>
            <w:tcW w:w="77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6"/>
              </w:rPr>
              <w:t>BEIYI WANG/100%</w:t>
            </w:r>
          </w:p>
        </w:tc>
      </w:tr>
    </w:tbl>
    <w:p>
      <w:pPr>
        <w:spacing w:after="0" w:line="229"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LIDA TECHNOLOGY CO., LIMITED (“LIDA HK”) was incorporated in the Hong Kong Special Administrative Region in January 2018. Its business predecessor was LIDA TECHNOLOGY CO., LTD (“LIDA UK”), which was incorporated in the U.K. in June 2013, and was dissolved in August 2018, at which time its agency sales business with the Issuer was undertaken by LIDA HK. The details are as follows:</w:t>
      </w:r>
    </w:p>
    <w:p>
      <w:pPr>
        <w:spacing w:after="0" w:line="21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1. Equity of LIDA UK</w:t>
      </w:r>
    </w:p>
    <w:p>
      <w:pPr>
        <w:spacing w:after="0" w:line="252"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From its establishment in 2013 to its dissolution in 2018, LIDA UK had 80,000 shares of stock capital in total. Since its establishment to May 2017, it had three shareholders, with BEIYI WANG holding 26,672 shares and ZHENG LIU and MEIXIN XU each holding 26,664 shares. There was a change of equity in May 2017. After the change, BEIYI WANG held 40,000 shares and MEIXIN XU held 40,000 shares. There were no equity changes other than the one mentioned in LIDA UK.</w:t>
      </w:r>
    </w:p>
    <w:p>
      <w:pPr>
        <w:spacing w:after="0" w:line="214" w:lineRule="exact"/>
        <w:rPr>
          <w:sz w:val="20"/>
          <w:szCs w:val="20"/>
          <w:color w:val="auto"/>
        </w:rPr>
      </w:pPr>
    </w:p>
    <w:p>
      <w:pPr>
        <w:jc w:val="both"/>
        <w:ind w:firstLine="324"/>
        <w:spacing w:after="0" w:line="311" w:lineRule="auto"/>
        <w:rPr>
          <w:sz w:val="20"/>
          <w:szCs w:val="20"/>
          <w:color w:val="auto"/>
        </w:rPr>
      </w:pPr>
      <w:r>
        <w:rPr>
          <w:rFonts w:ascii="Arial" w:cs="Arial" w:eastAsia="Arial" w:hAnsi="Arial"/>
          <w:sz w:val="16"/>
          <w:szCs w:val="16"/>
          <w:color w:val="auto"/>
        </w:rPr>
        <w:t>BEIYI WANG has no related-party relationship with the Issuer, its controlling shareholder, de facto controller, existing employees and former employees. However, BEIYI WANG holds 85% of the equity in Shengyi Technology, of whom the Issuer is a non-controlling shareholder, 14.56% of the property in Xinwei Consulting, a shareholder of the Issuer, and 2.32% of the partnership share in Shengxin Shanghai, a former shareholder of ACMR.</w:t>
      </w:r>
    </w:p>
    <w:p>
      <w:pPr>
        <w:spacing w:after="0" w:line="34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8-4-1-33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7" w:name="page38"/>
    <w:bookmarkEnd w:id="37"/>
    <w:p>
      <w:pPr>
        <w:ind w:left="340"/>
        <w:spacing w:after="0"/>
        <w:rPr>
          <w:sz w:val="20"/>
          <w:szCs w:val="20"/>
          <w:color w:val="auto"/>
        </w:rPr>
      </w:pPr>
      <w:r>
        <w:rPr>
          <w:rFonts w:ascii="Arial" w:cs="Arial" w:eastAsia="Arial" w:hAnsi="Arial"/>
          <w:sz w:val="18"/>
          <w:szCs w:val="18"/>
          <w:color w:val="auto"/>
        </w:rPr>
        <w:t>2. ZHENG LIU has never worked for ACMR or its subsidiaries</w:t>
      </w:r>
    </w:p>
    <w:p>
      <w:pPr>
        <w:spacing w:after="0" w:line="252" w:lineRule="exact"/>
        <w:rPr>
          <w:sz w:val="20"/>
          <w:szCs w:val="20"/>
          <w:color w:val="auto"/>
        </w:rPr>
      </w:pPr>
    </w:p>
    <w:p>
      <w:pPr>
        <w:ind w:left="340"/>
        <w:spacing w:after="0"/>
        <w:rPr>
          <w:sz w:val="20"/>
          <w:szCs w:val="20"/>
          <w:color w:val="auto"/>
        </w:rPr>
      </w:pPr>
      <w:r>
        <w:rPr>
          <w:rFonts w:ascii="Arial" w:cs="Arial" w:eastAsia="Arial" w:hAnsi="Arial"/>
          <w:sz w:val="17"/>
          <w:szCs w:val="17"/>
          <w:color w:val="auto"/>
        </w:rPr>
        <w:t>ZHENG LIU and MEIXIN XU have never worked for ACMR, and no employee of ACMR has the same name as ZHENG LIU or MEIXIN XU.</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During the Reporting Period, the Company’s sales director was FUPING CHEN.</w:t>
      </w:r>
    </w:p>
    <w:p>
      <w:pPr>
        <w:spacing w:after="0" w:line="238" w:lineRule="exact"/>
        <w:rPr>
          <w:sz w:val="20"/>
          <w:szCs w:val="20"/>
          <w:color w:val="auto"/>
        </w:rPr>
      </w:pPr>
    </w:p>
    <w:p>
      <w:pPr>
        <w:jc w:val="both"/>
        <w:ind w:firstLine="332"/>
        <w:spacing w:after="0" w:line="286" w:lineRule="auto"/>
        <w:tabs>
          <w:tab w:leader="none" w:pos="514" w:val="left"/>
        </w:tabs>
        <w:numPr>
          <w:ilvl w:val="0"/>
          <w:numId w:val="31"/>
        </w:numPr>
        <w:rPr>
          <w:rFonts w:ascii="Arial" w:cs="Arial" w:eastAsia="Arial" w:hAnsi="Arial"/>
          <w:sz w:val="17"/>
          <w:szCs w:val="17"/>
          <w:color w:val="auto"/>
        </w:rPr>
      </w:pPr>
      <w:r>
        <w:rPr>
          <w:rFonts w:ascii="Arial" w:cs="Arial" w:eastAsia="Arial" w:hAnsi="Arial"/>
          <w:sz w:val="17"/>
          <w:szCs w:val="17"/>
          <w:color w:val="auto"/>
        </w:rPr>
        <w:t>There is no related-party relationship or business relationship between ZHENG LIU and the Company’s customers or suppliers. ZHENG LIU and MEIXIN XU have no kinship, related-party relationship, concerted action or other special relationship with BEIYI WANG, nor do they have any related-party relationship, business contact and potential interest arrangement with the customers and suppliers of the Issuer.</w:t>
      </w:r>
    </w:p>
    <w:p>
      <w:pPr>
        <w:spacing w:after="0" w:line="192" w:lineRule="exact"/>
        <w:rPr>
          <w:rFonts w:ascii="Arial" w:cs="Arial" w:eastAsia="Arial" w:hAnsi="Arial"/>
          <w:sz w:val="17"/>
          <w:szCs w:val="17"/>
          <w:color w:val="auto"/>
        </w:rPr>
      </w:pPr>
    </w:p>
    <w:p>
      <w:pPr>
        <w:ind w:left="520" w:hanging="188"/>
        <w:spacing w:after="0"/>
        <w:tabs>
          <w:tab w:leader="none" w:pos="520" w:val="left"/>
        </w:tabs>
        <w:numPr>
          <w:ilvl w:val="0"/>
          <w:numId w:val="31"/>
        </w:numPr>
        <w:rPr>
          <w:rFonts w:ascii="Arial" w:cs="Arial" w:eastAsia="Arial" w:hAnsi="Arial"/>
          <w:sz w:val="18"/>
          <w:szCs w:val="18"/>
          <w:color w:val="auto"/>
        </w:rPr>
      </w:pPr>
      <w:r>
        <w:rPr>
          <w:rFonts w:ascii="Arial" w:cs="Arial" w:eastAsia="Arial" w:hAnsi="Arial"/>
          <w:sz w:val="18"/>
          <w:szCs w:val="18"/>
          <w:color w:val="auto"/>
        </w:rPr>
        <w:t>BEIYI WANG and ZHENG LIU have no related-party relationship with MEIXIN XU.</w:t>
      </w:r>
    </w:p>
    <w:p>
      <w:pPr>
        <w:spacing w:after="0" w:line="252"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BEIYI WANG, ZHENG LIU and MEIXIN XU have no related-party relationship, business contact and potential interest arrangement with the Issuer, its related parties, employees or former employees.</w:t>
      </w:r>
    </w:p>
    <w:p>
      <w:pPr>
        <w:spacing w:after="0" w:line="193"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(iii) LIDA TECHNOLOGY CO., LIMITED has not skimmed money from the Company</w:t>
      </w:r>
    </w:p>
    <w:p>
      <w:pPr>
        <w:spacing w:after="0" w:line="256"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As per the agency agreement with LIDA TECHNOLOGY CO., LIMITED, the Company paid agent commissions according to the type of products sold by the agent and the sales commission proportion as agreed, without excess or short payment. The Company has no capital transactions with LIDA TECHNOLOGY CO., LIMITED except for the commission paid to the latter.</w:t>
      </w:r>
    </w:p>
    <w:p>
      <w:pPr>
        <w:spacing w:after="0" w:line="211"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For the products sold by the Company through LIDA TECHNOLOGY CO., LIMITED, the sales agreements were signed directly between the Company and the customers rather than between the agent and the customers, and the payments were made by the customers to the Company without any third-party payment collection.</w:t>
      </w:r>
    </w:p>
    <w:p>
      <w:pPr>
        <w:spacing w:after="0" w:line="211"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In addition, through interviews with LIDA TECHNOLOGY CO., LIMITED, it was confirmed that there was no tunneling, commercial bribes and unfair competition, etc., on the part of LIDA in the past business cooperation with the Company.</w:t>
      </w:r>
    </w:p>
    <w:p>
      <w:pPr>
        <w:spacing w:after="0" w:line="197"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color w:val="auto"/>
        </w:rPr>
        <w:t>Huahong Group and JCET were the key customers of the Company for the semiconductor electroplating equipment, and LIDA TECHNOLOGY CO., LIMITED was the agent for sales of semiconductor electroplating equipment, which has been disclosed by the Company in “Q14.3” of the Reply to the Letter of First Round Review-related Inquiries. The output and sales of semiconductor electroplating equipment disclosed by the Company are true and accurate. For relevant analysis, please refer to “Other Challenge 12: About Sales Quantity of Electroplating Equipment” herein.</w:t>
      </w:r>
    </w:p>
    <w:p>
      <w:pPr>
        <w:spacing w:after="0" w:line="198" w:lineRule="exact"/>
        <w:rPr>
          <w:sz w:val="20"/>
          <w:szCs w:val="20"/>
          <w:color w:val="auto"/>
        </w:rPr>
      </w:pPr>
    </w:p>
    <w:p>
      <w:pPr>
        <w:ind w:left="340"/>
        <w:spacing w:after="0"/>
        <w:rPr>
          <w:sz w:val="20"/>
          <w:szCs w:val="20"/>
          <w:color w:val="auto"/>
        </w:rPr>
      </w:pPr>
      <w:r>
        <w:rPr>
          <w:rFonts w:ascii="Arial" w:cs="Arial" w:eastAsia="Arial" w:hAnsi="Arial"/>
          <w:sz w:val="17"/>
          <w:szCs w:val="17"/>
          <w:color w:val="auto"/>
        </w:rPr>
        <w:t>In sum, LIDA TECHNOLOGY CO., LIMITED has never skimmed money from the Company or booked part of the sales into its own account.</w:t>
      </w:r>
    </w:p>
    <w:p>
      <w:pPr>
        <w:spacing w:after="0" w:line="260"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(iv) Transactions between the Company and Shengyi Technology</w:t>
      </w:r>
    </w:p>
    <w:p>
      <w:pPr>
        <w:spacing w:after="0" w:line="256"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In order to improve the industrial chain supporting, reduce product costs and enhance product competitiveness, the Company has followed the international industry practice by seeking to cooperate with some suppliers of parts in Mainland China. Shengyi Technology is the first parts supplier in Mainland China of whom the Company took shares. Cooperation between semiconductor equipment manufacturers and local supporting suppliers is not uncommon within the industry. International well-known equipment enterprises such as ASML, Applied Materials and TEL have also cooperated with a series of supporting parts suppliers in the United States, Japan, Korea and Europe. In the future, the Issuer will continue to cooperate with international and local suppliers to create higher value for customers.</w:t>
      </w:r>
    </w:p>
    <w:p>
      <w:pPr>
        <w:spacing w:after="0" w:line="39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8-4-1-34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8" w:name="page39"/>
    <w:bookmarkEnd w:id="38"/>
    <w:p>
      <w:pPr>
        <w:jc w:val="both"/>
        <w:ind w:firstLine="324"/>
        <w:spacing w:after="0" w:line="257" w:lineRule="auto"/>
        <w:rPr>
          <w:sz w:val="20"/>
          <w:szCs w:val="20"/>
          <w:color w:val="auto"/>
        </w:rPr>
      </w:pPr>
      <w:r>
        <w:rPr>
          <w:rFonts w:ascii="Arial" w:cs="Arial" w:eastAsia="Arial" w:hAnsi="Arial"/>
          <w:sz w:val="18"/>
          <w:szCs w:val="18"/>
          <w:color w:val="auto"/>
        </w:rPr>
        <w:t>The allegation in the Short-sell Report that “ACMR makes the ridiculous claim that Wang (BEIYI WANG)’s company, Shengyi Semiconductor Technology (Wuxi) Co., Ltd., sells them filters - a commodity product that is super abundant in China - for 62% less than competitors” is inconsistent with the facts. The filters sold by Shengyi Technology are produced in Mainland China, competing against those produced by foreign suppliers. JCAP apparently misread the contents and replies to the Company’s Prospectus in Chinese, and mistakenly concluded that the filters sold by Shengyi Technology were purchased from abroad, rather than produced in Mainland China.</w:t>
      </w:r>
    </w:p>
    <w:p>
      <w:pPr>
        <w:spacing w:after="0" w:line="215"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The information about transactions between the Company and Shengyi Technology has been disclosed in “Q7” of the Reply to the Letter of Second Round Review-related Inquiries. The details are as follows:</w:t>
      </w:r>
    </w:p>
    <w:p>
      <w:pPr>
        <w:spacing w:after="0" w:line="197" w:lineRule="exact"/>
        <w:rPr>
          <w:sz w:val="20"/>
          <w:szCs w:val="20"/>
          <w:color w:val="auto"/>
        </w:rPr>
      </w:pPr>
    </w:p>
    <w:p>
      <w:pPr>
        <w:ind w:left="340"/>
        <w:spacing w:after="0"/>
        <w:rPr>
          <w:sz w:val="20"/>
          <w:szCs w:val="20"/>
          <w:color w:val="auto"/>
        </w:rPr>
      </w:pPr>
      <w:r>
        <w:rPr>
          <w:rFonts w:ascii="Arial" w:cs="Arial" w:eastAsia="Arial" w:hAnsi="Arial"/>
          <w:sz w:val="16"/>
          <w:szCs w:val="16"/>
          <w:color w:val="auto"/>
        </w:rPr>
        <w:t>During 2019 and the period from January to June in 2020, the Issuer purchased raw materials such as filters from Shengyi Technology as follows:</w:t>
      </w:r>
    </w:p>
    <w:p>
      <w:pPr>
        <w:spacing w:after="0" w:line="248" w:lineRule="exact"/>
        <w:rPr>
          <w:sz w:val="20"/>
          <w:szCs w:val="20"/>
          <w:color w:val="auto"/>
        </w:rPr>
      </w:pPr>
    </w:p>
    <w:tbl>
      <w:tblPr>
        <w:tblLayout w:type="fixed"/>
        <w:tblInd w:w="10" w:type="dxa"/>
        <w:tblCellMar>
          <w:top w:w="0" w:type="dxa"/>
          <w:left w:w="0" w:type="dxa"/>
          <w:bottom w:w="0" w:type="dxa"/>
          <w:right w:w="0" w:type="dxa"/>
        </w:tblCellMar>
      </w:tblPr>
      <w:tr>
        <w:trPr>
          <w:trHeight w:val="230"/>
        </w:trPr>
        <w:tc>
          <w:tcPr>
            <w:tcW w:w="2460" w:type="dxa"/>
            <w:vAlign w:val="bottom"/>
          </w:tcPr>
          <w:p>
            <w:pPr>
              <w:spacing w:after="0"/>
              <w:rPr>
                <w:sz w:val="20"/>
                <w:szCs w:val="20"/>
                <w:color w:val="auto"/>
              </w:rPr>
            </w:pPr>
          </w:p>
        </w:tc>
        <w:tc>
          <w:tcPr>
            <w:tcW w:w="162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040" w:type="dxa"/>
            <w:vAlign w:val="bottom"/>
          </w:tcPr>
          <w:p>
            <w:pPr>
              <w:spacing w:after="0"/>
              <w:rPr>
                <w:sz w:val="20"/>
                <w:szCs w:val="20"/>
                <w:color w:val="auto"/>
              </w:rPr>
            </w:pPr>
          </w:p>
        </w:tc>
        <w:tc>
          <w:tcPr>
            <w:tcW w:w="3200" w:type="dxa"/>
            <w:vAlign w:val="bottom"/>
          </w:tcPr>
          <w:p>
            <w:pPr>
              <w:jc w:val="right"/>
              <w:spacing w:after="0"/>
              <w:rPr>
                <w:sz w:val="20"/>
                <w:szCs w:val="20"/>
                <w:color w:val="auto"/>
              </w:rPr>
            </w:pPr>
            <w:r>
              <w:rPr>
                <w:rFonts w:ascii="Arial" w:cs="Arial" w:eastAsia="Arial" w:hAnsi="Arial"/>
                <w:sz w:val="18"/>
                <w:szCs w:val="18"/>
                <w:color w:val="auto"/>
              </w:rPr>
              <w:t>Unit: RMB10,000</w:t>
            </w:r>
          </w:p>
        </w:tc>
        <w:tc>
          <w:tcPr>
            <w:tcW w:w="0" w:type="dxa"/>
            <w:vAlign w:val="bottom"/>
          </w:tcPr>
          <w:p>
            <w:pPr>
              <w:spacing w:after="0"/>
              <w:rPr>
                <w:sz w:val="1"/>
                <w:szCs w:val="1"/>
                <w:color w:val="auto"/>
              </w:rPr>
            </w:pPr>
          </w:p>
        </w:tc>
      </w:tr>
      <w:tr>
        <w:trPr>
          <w:trHeight w:val="223"/>
        </w:trPr>
        <w:tc>
          <w:tcPr>
            <w:tcW w:w="2460" w:type="dxa"/>
            <w:vAlign w:val="bottom"/>
            <w:tcBorders>
              <w:bottom w:val="single" w:sz="8" w:color="auto"/>
            </w:tcBorders>
          </w:tcPr>
          <w:p>
            <w:pPr>
              <w:spacing w:after="0"/>
              <w:rPr>
                <w:sz w:val="19"/>
                <w:szCs w:val="19"/>
                <w:color w:val="auto"/>
              </w:rPr>
            </w:pPr>
          </w:p>
        </w:tc>
        <w:tc>
          <w:tcPr>
            <w:tcW w:w="1620" w:type="dxa"/>
            <w:vAlign w:val="bottom"/>
            <w:tcBorders>
              <w:bottom w:val="single" w:sz="8" w:color="auto"/>
            </w:tcBorders>
          </w:tcPr>
          <w:p>
            <w:pPr>
              <w:spacing w:after="0"/>
              <w:rPr>
                <w:sz w:val="19"/>
                <w:szCs w:val="19"/>
                <w:color w:val="auto"/>
              </w:rPr>
            </w:pPr>
          </w:p>
        </w:tc>
        <w:tc>
          <w:tcPr>
            <w:tcW w:w="3960" w:type="dxa"/>
            <w:vAlign w:val="bottom"/>
            <w:tcBorders>
              <w:bottom w:val="single" w:sz="8" w:color="auto"/>
            </w:tcBorders>
            <w:gridSpan w:val="4"/>
          </w:tcPr>
          <w:p>
            <w:pPr>
              <w:spacing w:after="0"/>
              <w:rPr>
                <w:sz w:val="19"/>
                <w:szCs w:val="19"/>
                <w:color w:val="auto"/>
              </w:rPr>
            </w:pPr>
          </w:p>
        </w:tc>
        <w:tc>
          <w:tcPr>
            <w:tcW w:w="320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460" w:type="dxa"/>
            <w:vAlign w:val="bottom"/>
            <w:tcBorders>
              <w:left w:val="single" w:sz="8" w:color="auto"/>
              <w:bottom w:val="single" w:sz="8" w:color="auto"/>
            </w:tcBorders>
          </w:tcPr>
          <w:p>
            <w:pPr>
              <w:spacing w:after="0"/>
              <w:rPr>
                <w:sz w:val="19"/>
                <w:szCs w:val="19"/>
                <w:color w:val="auto"/>
              </w:rPr>
            </w:pPr>
          </w:p>
        </w:tc>
        <w:tc>
          <w:tcPr>
            <w:tcW w:w="1620" w:type="dxa"/>
            <w:vAlign w:val="bottom"/>
            <w:tcBorders>
              <w:bottom w:val="single" w:sz="8" w:color="auto"/>
            </w:tcBorders>
          </w:tcPr>
          <w:p>
            <w:pPr>
              <w:spacing w:after="0"/>
              <w:rPr>
                <w:sz w:val="19"/>
                <w:szCs w:val="19"/>
                <w:color w:val="auto"/>
              </w:rPr>
            </w:pPr>
          </w:p>
        </w:tc>
        <w:tc>
          <w:tcPr>
            <w:tcW w:w="3960" w:type="dxa"/>
            <w:vAlign w:val="bottom"/>
            <w:tcBorders>
              <w:bottom w:val="single" w:sz="8" w:color="auto"/>
            </w:tcBorders>
            <w:gridSpan w:val="4"/>
          </w:tcPr>
          <w:p>
            <w:pPr>
              <w:jc w:val="right"/>
              <w:ind w:right="1790"/>
              <w:spacing w:after="0"/>
              <w:rPr>
                <w:sz w:val="20"/>
                <w:szCs w:val="20"/>
                <w:color w:val="auto"/>
              </w:rPr>
            </w:pPr>
            <w:r>
              <w:rPr>
                <w:rFonts w:ascii="Arial" w:cs="Arial" w:eastAsia="Arial" w:hAnsi="Arial"/>
                <w:sz w:val="18"/>
                <w:szCs w:val="18"/>
                <w:b w:val="1"/>
                <w:bCs w:val="1"/>
                <w:color w:val="auto"/>
              </w:rPr>
              <w:t>Jan-Jun. 2020</w:t>
            </w:r>
          </w:p>
        </w:tc>
        <w:tc>
          <w:tcPr>
            <w:tcW w:w="3200" w:type="dxa"/>
            <w:vAlign w:val="bottom"/>
            <w:tcBorders>
              <w:bottom w:val="single" w:sz="8" w:color="auto"/>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98"/>
        </w:trPr>
        <w:tc>
          <w:tcPr>
            <w:tcW w:w="2460" w:type="dxa"/>
            <w:vAlign w:val="bottom"/>
            <w:tcBorders>
              <w:left w:val="single" w:sz="8" w:color="auto"/>
              <w:right w:val="single" w:sz="8" w:color="auto"/>
            </w:tcBorders>
          </w:tcPr>
          <w:p>
            <w:pPr>
              <w:spacing w:after="0"/>
              <w:rPr>
                <w:sz w:val="17"/>
                <w:szCs w:val="17"/>
                <w:color w:val="auto"/>
              </w:rPr>
            </w:pPr>
          </w:p>
        </w:tc>
        <w:tc>
          <w:tcPr>
            <w:tcW w:w="2780" w:type="dxa"/>
            <w:vAlign w:val="bottom"/>
            <w:gridSpan w:val="2"/>
            <w:vMerge w:val="restart"/>
          </w:tcPr>
          <w:p>
            <w:pPr>
              <w:ind w:left="600"/>
              <w:spacing w:after="0"/>
              <w:rPr>
                <w:sz w:val="20"/>
                <w:szCs w:val="20"/>
                <w:color w:val="auto"/>
              </w:rPr>
            </w:pPr>
            <w:r>
              <w:rPr>
                <w:rFonts w:ascii="Arial" w:cs="Arial" w:eastAsia="Arial" w:hAnsi="Arial"/>
                <w:sz w:val="18"/>
                <w:szCs w:val="18"/>
                <w:b w:val="1"/>
                <w:bCs w:val="1"/>
                <w:color w:val="auto"/>
                <w:w w:val="95"/>
              </w:rPr>
              <w:t>From Shengyi Technology</w:t>
            </w:r>
          </w:p>
        </w:tc>
        <w:tc>
          <w:tcPr>
            <w:tcW w:w="440" w:type="dxa"/>
            <w:vAlign w:val="bottom"/>
            <w:tcBorders>
              <w:right w:val="single" w:sz="8" w:color="auto"/>
            </w:tcBorders>
          </w:tcPr>
          <w:p>
            <w:pPr>
              <w:spacing w:after="0"/>
              <w:rPr>
                <w:sz w:val="17"/>
                <w:szCs w:val="17"/>
                <w:color w:val="auto"/>
              </w:rPr>
            </w:pPr>
          </w:p>
        </w:tc>
        <w:tc>
          <w:tcPr>
            <w:tcW w:w="320" w:type="dxa"/>
            <w:vAlign w:val="bottom"/>
          </w:tcPr>
          <w:p>
            <w:pPr>
              <w:spacing w:after="0"/>
              <w:rPr>
                <w:sz w:val="17"/>
                <w:szCs w:val="17"/>
                <w:color w:val="auto"/>
              </w:rPr>
            </w:pPr>
          </w:p>
        </w:tc>
        <w:tc>
          <w:tcPr>
            <w:tcW w:w="2040" w:type="dxa"/>
            <w:vAlign w:val="bottom"/>
            <w:tcBorders>
              <w:right w:val="single" w:sz="8" w:color="auto"/>
            </w:tcBorders>
          </w:tcPr>
          <w:p>
            <w:pPr>
              <w:jc w:val="center"/>
              <w:ind w:right="270"/>
              <w:spacing w:after="0" w:line="198" w:lineRule="exact"/>
              <w:rPr>
                <w:sz w:val="20"/>
                <w:szCs w:val="20"/>
                <w:color w:val="auto"/>
              </w:rPr>
            </w:pPr>
            <w:r>
              <w:rPr>
                <w:rFonts w:ascii="Arial" w:cs="Arial" w:eastAsia="Arial" w:hAnsi="Arial"/>
                <w:sz w:val="18"/>
                <w:szCs w:val="18"/>
                <w:b w:val="1"/>
                <w:bCs w:val="1"/>
                <w:color w:val="auto"/>
                <w:w w:val="92"/>
              </w:rPr>
              <w:t>From other</w:t>
            </w:r>
          </w:p>
        </w:tc>
        <w:tc>
          <w:tcPr>
            <w:tcW w:w="320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26"/>
        </w:trPr>
        <w:tc>
          <w:tcPr>
            <w:tcW w:w="246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18"/>
                <w:szCs w:val="18"/>
                <w:b w:val="1"/>
                <w:bCs w:val="1"/>
                <w:color w:val="auto"/>
                <w:w w:val="89"/>
              </w:rPr>
              <w:t>Type of raw</w:t>
            </w:r>
          </w:p>
        </w:tc>
        <w:tc>
          <w:tcPr>
            <w:tcW w:w="2780" w:type="dxa"/>
            <w:vAlign w:val="bottom"/>
            <w:gridSpan w:val="2"/>
            <w:vMerge w:val="continue"/>
          </w:tcPr>
          <w:p>
            <w:pPr>
              <w:spacing w:after="0"/>
              <w:rPr>
                <w:sz w:val="10"/>
                <w:szCs w:val="10"/>
                <w:color w:val="auto"/>
              </w:rPr>
            </w:pPr>
          </w:p>
        </w:tc>
        <w:tc>
          <w:tcPr>
            <w:tcW w:w="440" w:type="dxa"/>
            <w:vAlign w:val="bottom"/>
            <w:tcBorders>
              <w:right w:val="single" w:sz="8" w:color="auto"/>
            </w:tcBorders>
          </w:tcPr>
          <w:p>
            <w:pPr>
              <w:spacing w:after="0"/>
              <w:rPr>
                <w:sz w:val="10"/>
                <w:szCs w:val="10"/>
                <w:color w:val="auto"/>
              </w:rPr>
            </w:pPr>
          </w:p>
        </w:tc>
        <w:tc>
          <w:tcPr>
            <w:tcW w:w="320" w:type="dxa"/>
            <w:vAlign w:val="bottom"/>
          </w:tcPr>
          <w:p>
            <w:pPr>
              <w:spacing w:after="0"/>
              <w:rPr>
                <w:sz w:val="10"/>
                <w:szCs w:val="10"/>
                <w:color w:val="auto"/>
              </w:rPr>
            </w:pPr>
          </w:p>
        </w:tc>
        <w:tc>
          <w:tcPr>
            <w:tcW w:w="2040" w:type="dxa"/>
            <w:vAlign w:val="bottom"/>
            <w:tcBorders>
              <w:right w:val="single" w:sz="8" w:color="auto"/>
            </w:tcBorders>
            <w:vMerge w:val="restart"/>
          </w:tcPr>
          <w:p>
            <w:pPr>
              <w:jc w:val="center"/>
              <w:ind w:right="250"/>
              <w:spacing w:after="0"/>
              <w:rPr>
                <w:sz w:val="20"/>
                <w:szCs w:val="20"/>
                <w:color w:val="auto"/>
              </w:rPr>
            </w:pPr>
            <w:r>
              <w:rPr>
                <w:rFonts w:ascii="Arial" w:cs="Arial" w:eastAsia="Arial" w:hAnsi="Arial"/>
                <w:sz w:val="18"/>
                <w:szCs w:val="18"/>
                <w:b w:val="1"/>
                <w:bCs w:val="1"/>
                <w:color w:val="auto"/>
                <w:w w:val="87"/>
              </w:rPr>
              <w:t>suppliers</w:t>
            </w:r>
          </w:p>
        </w:tc>
        <w:tc>
          <w:tcPr>
            <w:tcW w:w="32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b w:val="1"/>
                <w:bCs w:val="1"/>
                <w:color w:val="auto"/>
                <w:w w:val="90"/>
              </w:rPr>
              <w:t>Average unit price</w:t>
            </w:r>
          </w:p>
        </w:tc>
        <w:tc>
          <w:tcPr>
            <w:tcW w:w="0" w:type="dxa"/>
            <w:vAlign w:val="bottom"/>
          </w:tcPr>
          <w:p>
            <w:pPr>
              <w:spacing w:after="0"/>
              <w:rPr>
                <w:sz w:val="1"/>
                <w:szCs w:val="1"/>
                <w:color w:val="auto"/>
              </w:rPr>
            </w:pPr>
          </w:p>
        </w:tc>
      </w:tr>
      <w:tr>
        <w:trPr>
          <w:trHeight w:val="115"/>
        </w:trPr>
        <w:tc>
          <w:tcPr>
            <w:tcW w:w="2460" w:type="dxa"/>
            <w:vAlign w:val="bottom"/>
            <w:tcBorders>
              <w:left w:val="single" w:sz="8" w:color="auto"/>
              <w:right w:val="single" w:sz="8" w:color="auto"/>
            </w:tcBorders>
            <w:vMerge w:val="continue"/>
          </w:tcPr>
          <w:p>
            <w:pPr>
              <w:spacing w:after="0"/>
              <w:rPr>
                <w:sz w:val="10"/>
                <w:szCs w:val="10"/>
                <w:color w:val="auto"/>
              </w:rPr>
            </w:pPr>
          </w:p>
        </w:tc>
        <w:tc>
          <w:tcPr>
            <w:tcW w:w="1620" w:type="dxa"/>
            <w:vAlign w:val="bottom"/>
            <w:tcBorders>
              <w:bottom w:val="single" w:sz="8" w:color="auto"/>
            </w:tcBorders>
          </w:tcPr>
          <w:p>
            <w:pPr>
              <w:spacing w:after="0"/>
              <w:rPr>
                <w:sz w:val="10"/>
                <w:szCs w:val="10"/>
                <w:color w:val="auto"/>
              </w:rPr>
            </w:pPr>
          </w:p>
        </w:tc>
        <w:tc>
          <w:tcPr>
            <w:tcW w:w="1160" w:type="dxa"/>
            <w:vAlign w:val="bottom"/>
            <w:tcBorders>
              <w:bottom w:val="single" w:sz="8" w:color="auto"/>
            </w:tcBorders>
          </w:tcPr>
          <w:p>
            <w:pPr>
              <w:spacing w:after="0"/>
              <w:rPr>
                <w:sz w:val="10"/>
                <w:szCs w:val="10"/>
                <w:color w:val="auto"/>
              </w:rPr>
            </w:pPr>
          </w:p>
        </w:tc>
        <w:tc>
          <w:tcPr>
            <w:tcW w:w="440" w:type="dxa"/>
            <w:vAlign w:val="bottom"/>
            <w:tcBorders>
              <w:bottom w:val="single" w:sz="8" w:color="auto"/>
              <w:right w:val="single" w:sz="8" w:color="auto"/>
            </w:tcBorders>
          </w:tcPr>
          <w:p>
            <w:pPr>
              <w:spacing w:after="0"/>
              <w:rPr>
                <w:sz w:val="10"/>
                <w:szCs w:val="10"/>
                <w:color w:val="auto"/>
              </w:rPr>
            </w:pPr>
          </w:p>
        </w:tc>
        <w:tc>
          <w:tcPr>
            <w:tcW w:w="320" w:type="dxa"/>
            <w:vAlign w:val="bottom"/>
            <w:tcBorders>
              <w:bottom w:val="single" w:sz="8" w:color="auto"/>
            </w:tcBorders>
          </w:tcPr>
          <w:p>
            <w:pPr>
              <w:spacing w:after="0"/>
              <w:rPr>
                <w:sz w:val="10"/>
                <w:szCs w:val="10"/>
                <w:color w:val="auto"/>
              </w:rPr>
            </w:pPr>
          </w:p>
        </w:tc>
        <w:tc>
          <w:tcPr>
            <w:tcW w:w="2040" w:type="dxa"/>
            <w:vAlign w:val="bottom"/>
            <w:tcBorders>
              <w:bottom w:val="single" w:sz="8" w:color="auto"/>
              <w:right w:val="single" w:sz="8" w:color="auto"/>
            </w:tcBorders>
            <w:vMerge w:val="continue"/>
          </w:tcPr>
          <w:p>
            <w:pPr>
              <w:spacing w:after="0"/>
              <w:rPr>
                <w:sz w:val="10"/>
                <w:szCs w:val="10"/>
                <w:color w:val="auto"/>
              </w:rPr>
            </w:pPr>
          </w:p>
        </w:tc>
        <w:tc>
          <w:tcPr>
            <w:tcW w:w="3200" w:type="dxa"/>
            <w:vAlign w:val="bottom"/>
            <w:tcBorders>
              <w:right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98"/>
        </w:trPr>
        <w:tc>
          <w:tcPr>
            <w:tcW w:w="2460" w:type="dxa"/>
            <w:vAlign w:val="bottom"/>
            <w:tcBorders>
              <w:left w:val="single" w:sz="8" w:color="auto"/>
              <w:right w:val="single" w:sz="8" w:color="auto"/>
            </w:tcBorders>
          </w:tcPr>
          <w:p>
            <w:pPr>
              <w:jc w:val="center"/>
              <w:spacing w:after="0" w:line="198" w:lineRule="exact"/>
              <w:rPr>
                <w:sz w:val="20"/>
                <w:szCs w:val="20"/>
                <w:color w:val="auto"/>
              </w:rPr>
            </w:pPr>
            <w:r>
              <w:rPr>
                <w:rFonts w:ascii="Arial" w:cs="Arial" w:eastAsia="Arial" w:hAnsi="Arial"/>
                <w:sz w:val="18"/>
                <w:szCs w:val="18"/>
                <w:b w:val="1"/>
                <w:bCs w:val="1"/>
                <w:color w:val="auto"/>
                <w:w w:val="88"/>
              </w:rPr>
              <w:t>materials</w:t>
            </w:r>
          </w:p>
        </w:tc>
        <w:tc>
          <w:tcPr>
            <w:tcW w:w="1620" w:type="dxa"/>
            <w:vAlign w:val="bottom"/>
            <w:tcBorders>
              <w:right w:val="single" w:sz="8" w:color="auto"/>
            </w:tcBorders>
            <w:vMerge w:val="restart"/>
          </w:tcPr>
          <w:p>
            <w:pPr>
              <w:jc w:val="right"/>
              <w:ind w:right="390"/>
              <w:spacing w:after="0"/>
              <w:rPr>
                <w:sz w:val="20"/>
                <w:szCs w:val="20"/>
                <w:color w:val="auto"/>
              </w:rPr>
            </w:pPr>
            <w:r>
              <w:rPr>
                <w:rFonts w:ascii="Arial" w:cs="Arial" w:eastAsia="Arial" w:hAnsi="Arial"/>
                <w:sz w:val="18"/>
                <w:szCs w:val="18"/>
                <w:b w:val="1"/>
                <w:bCs w:val="1"/>
                <w:color w:val="auto"/>
              </w:rPr>
              <w:t>Quantity</w:t>
            </w:r>
          </w:p>
        </w:tc>
        <w:tc>
          <w:tcPr>
            <w:tcW w:w="1160" w:type="dxa"/>
            <w:vAlign w:val="bottom"/>
          </w:tcPr>
          <w:p>
            <w:pPr>
              <w:jc w:val="center"/>
              <w:ind w:left="330"/>
              <w:spacing w:after="0" w:line="198" w:lineRule="exact"/>
              <w:rPr>
                <w:sz w:val="20"/>
                <w:szCs w:val="20"/>
                <w:color w:val="auto"/>
              </w:rPr>
            </w:pPr>
            <w:r>
              <w:rPr>
                <w:rFonts w:ascii="Arial" w:cs="Arial" w:eastAsia="Arial" w:hAnsi="Arial"/>
                <w:sz w:val="18"/>
                <w:szCs w:val="18"/>
                <w:b w:val="1"/>
                <w:bCs w:val="1"/>
                <w:color w:val="auto"/>
                <w:w w:val="87"/>
              </w:rPr>
              <w:t>Average</w:t>
            </w:r>
          </w:p>
        </w:tc>
        <w:tc>
          <w:tcPr>
            <w:tcW w:w="440" w:type="dxa"/>
            <w:vAlign w:val="bottom"/>
            <w:tcBorders>
              <w:right w:val="single" w:sz="8" w:color="auto"/>
            </w:tcBorders>
          </w:tcPr>
          <w:p>
            <w:pPr>
              <w:spacing w:after="0"/>
              <w:rPr>
                <w:sz w:val="17"/>
                <w:szCs w:val="17"/>
                <w:color w:val="auto"/>
              </w:rPr>
            </w:pPr>
          </w:p>
        </w:tc>
        <w:tc>
          <w:tcPr>
            <w:tcW w:w="320" w:type="dxa"/>
            <w:vAlign w:val="bottom"/>
          </w:tcPr>
          <w:p>
            <w:pPr>
              <w:spacing w:after="0"/>
              <w:rPr>
                <w:sz w:val="17"/>
                <w:szCs w:val="17"/>
                <w:color w:val="auto"/>
              </w:rPr>
            </w:pPr>
          </w:p>
        </w:tc>
        <w:tc>
          <w:tcPr>
            <w:tcW w:w="2040" w:type="dxa"/>
            <w:vAlign w:val="bottom"/>
            <w:tcBorders>
              <w:right w:val="single" w:sz="8" w:color="auto"/>
            </w:tcBorders>
            <w:vMerge w:val="restart"/>
          </w:tcPr>
          <w:p>
            <w:pPr>
              <w:jc w:val="center"/>
              <w:ind w:right="250"/>
              <w:spacing w:after="0"/>
              <w:rPr>
                <w:sz w:val="20"/>
                <w:szCs w:val="20"/>
                <w:color w:val="auto"/>
              </w:rPr>
            </w:pPr>
            <w:r>
              <w:rPr>
                <w:rFonts w:ascii="Arial" w:cs="Arial" w:eastAsia="Arial" w:hAnsi="Arial"/>
                <w:sz w:val="18"/>
                <w:szCs w:val="18"/>
                <w:b w:val="1"/>
                <w:bCs w:val="1"/>
                <w:color w:val="auto"/>
                <w:w w:val="90"/>
              </w:rPr>
              <w:t>Average unit price</w:t>
            </w:r>
          </w:p>
        </w:tc>
        <w:tc>
          <w:tcPr>
            <w:tcW w:w="3200" w:type="dxa"/>
            <w:vAlign w:val="bottom"/>
            <w:tcBorders>
              <w:right w:val="single" w:sz="8" w:color="auto"/>
            </w:tcBorders>
          </w:tcPr>
          <w:p>
            <w:pPr>
              <w:jc w:val="center"/>
              <w:spacing w:after="0" w:line="198" w:lineRule="exact"/>
              <w:rPr>
                <w:sz w:val="20"/>
                <w:szCs w:val="20"/>
                <w:color w:val="auto"/>
              </w:rPr>
            </w:pPr>
            <w:r>
              <w:rPr>
                <w:rFonts w:ascii="Arial" w:cs="Arial" w:eastAsia="Arial" w:hAnsi="Arial"/>
                <w:sz w:val="18"/>
                <w:szCs w:val="18"/>
                <w:b w:val="1"/>
                <w:bCs w:val="1"/>
                <w:color w:val="auto"/>
                <w:w w:val="88"/>
              </w:rPr>
              <w:t>difference</w:t>
            </w:r>
          </w:p>
        </w:tc>
        <w:tc>
          <w:tcPr>
            <w:tcW w:w="0" w:type="dxa"/>
            <w:vAlign w:val="bottom"/>
          </w:tcPr>
          <w:p>
            <w:pPr>
              <w:spacing w:after="0"/>
              <w:rPr>
                <w:sz w:val="1"/>
                <w:szCs w:val="1"/>
                <w:color w:val="auto"/>
              </w:rPr>
            </w:pPr>
          </w:p>
        </w:tc>
      </w:tr>
      <w:tr>
        <w:trPr>
          <w:trHeight w:val="126"/>
        </w:trPr>
        <w:tc>
          <w:tcPr>
            <w:tcW w:w="2460" w:type="dxa"/>
            <w:vAlign w:val="bottom"/>
            <w:tcBorders>
              <w:left w:val="single" w:sz="8" w:color="auto"/>
              <w:right w:val="single" w:sz="8" w:color="auto"/>
            </w:tcBorders>
          </w:tcPr>
          <w:p>
            <w:pPr>
              <w:spacing w:after="0"/>
              <w:rPr>
                <w:sz w:val="10"/>
                <w:szCs w:val="10"/>
                <w:color w:val="auto"/>
              </w:rPr>
            </w:pPr>
          </w:p>
        </w:tc>
        <w:tc>
          <w:tcPr>
            <w:tcW w:w="1620" w:type="dxa"/>
            <w:vAlign w:val="bottom"/>
            <w:tcBorders>
              <w:right w:val="single" w:sz="8" w:color="auto"/>
            </w:tcBorders>
            <w:vMerge w:val="continue"/>
          </w:tcPr>
          <w:p>
            <w:pPr>
              <w:spacing w:after="0"/>
              <w:rPr>
                <w:sz w:val="10"/>
                <w:szCs w:val="10"/>
                <w:color w:val="auto"/>
              </w:rPr>
            </w:pPr>
          </w:p>
        </w:tc>
        <w:tc>
          <w:tcPr>
            <w:tcW w:w="1160" w:type="dxa"/>
            <w:vAlign w:val="bottom"/>
            <w:vMerge w:val="restart"/>
          </w:tcPr>
          <w:p>
            <w:pPr>
              <w:jc w:val="center"/>
              <w:ind w:left="330"/>
              <w:spacing w:after="0"/>
              <w:rPr>
                <w:sz w:val="20"/>
                <w:szCs w:val="20"/>
                <w:color w:val="auto"/>
              </w:rPr>
            </w:pPr>
            <w:r>
              <w:rPr>
                <w:rFonts w:ascii="Arial" w:cs="Arial" w:eastAsia="Arial" w:hAnsi="Arial"/>
                <w:sz w:val="18"/>
                <w:szCs w:val="18"/>
                <w:b w:val="1"/>
                <w:bCs w:val="1"/>
                <w:color w:val="auto"/>
                <w:w w:val="91"/>
              </w:rPr>
              <w:t>unit price</w:t>
            </w:r>
          </w:p>
        </w:tc>
        <w:tc>
          <w:tcPr>
            <w:tcW w:w="440" w:type="dxa"/>
            <w:vAlign w:val="bottom"/>
            <w:tcBorders>
              <w:right w:val="single" w:sz="8" w:color="auto"/>
            </w:tcBorders>
          </w:tcPr>
          <w:p>
            <w:pPr>
              <w:spacing w:after="0"/>
              <w:rPr>
                <w:sz w:val="10"/>
                <w:szCs w:val="10"/>
                <w:color w:val="auto"/>
              </w:rPr>
            </w:pPr>
          </w:p>
        </w:tc>
        <w:tc>
          <w:tcPr>
            <w:tcW w:w="320" w:type="dxa"/>
            <w:vAlign w:val="bottom"/>
          </w:tcPr>
          <w:p>
            <w:pPr>
              <w:spacing w:after="0"/>
              <w:rPr>
                <w:sz w:val="10"/>
                <w:szCs w:val="10"/>
                <w:color w:val="auto"/>
              </w:rPr>
            </w:pPr>
          </w:p>
        </w:tc>
        <w:tc>
          <w:tcPr>
            <w:tcW w:w="2040" w:type="dxa"/>
            <w:vAlign w:val="bottom"/>
            <w:tcBorders>
              <w:right w:val="single" w:sz="8" w:color="auto"/>
            </w:tcBorders>
            <w:vMerge w:val="continue"/>
          </w:tcPr>
          <w:p>
            <w:pPr>
              <w:spacing w:after="0"/>
              <w:rPr>
                <w:sz w:val="10"/>
                <w:szCs w:val="10"/>
                <w:color w:val="auto"/>
              </w:rPr>
            </w:pPr>
          </w:p>
        </w:tc>
        <w:tc>
          <w:tcPr>
            <w:tcW w:w="3200" w:type="dxa"/>
            <w:vAlign w:val="bottom"/>
            <w:tcBorders>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15"/>
        </w:trPr>
        <w:tc>
          <w:tcPr>
            <w:tcW w:w="2460" w:type="dxa"/>
            <w:vAlign w:val="bottom"/>
            <w:tcBorders>
              <w:left w:val="single" w:sz="8" w:color="auto"/>
              <w:bottom w:val="single" w:sz="8" w:color="auto"/>
              <w:right w:val="single" w:sz="8" w:color="auto"/>
            </w:tcBorders>
          </w:tcPr>
          <w:p>
            <w:pPr>
              <w:spacing w:after="0"/>
              <w:rPr>
                <w:sz w:val="10"/>
                <w:szCs w:val="10"/>
                <w:color w:val="auto"/>
              </w:rPr>
            </w:pPr>
          </w:p>
        </w:tc>
        <w:tc>
          <w:tcPr>
            <w:tcW w:w="1620" w:type="dxa"/>
            <w:vAlign w:val="bottom"/>
            <w:tcBorders>
              <w:bottom w:val="single" w:sz="8" w:color="auto"/>
              <w:right w:val="single" w:sz="8" w:color="auto"/>
            </w:tcBorders>
          </w:tcPr>
          <w:p>
            <w:pPr>
              <w:spacing w:after="0"/>
              <w:rPr>
                <w:sz w:val="10"/>
                <w:szCs w:val="10"/>
                <w:color w:val="auto"/>
              </w:rPr>
            </w:pPr>
          </w:p>
        </w:tc>
        <w:tc>
          <w:tcPr>
            <w:tcW w:w="1160" w:type="dxa"/>
            <w:vAlign w:val="bottom"/>
            <w:tcBorders>
              <w:bottom w:val="single" w:sz="8" w:color="auto"/>
            </w:tcBorders>
            <w:vMerge w:val="continue"/>
          </w:tcPr>
          <w:p>
            <w:pPr>
              <w:spacing w:after="0"/>
              <w:rPr>
                <w:sz w:val="10"/>
                <w:szCs w:val="10"/>
                <w:color w:val="auto"/>
              </w:rPr>
            </w:pPr>
          </w:p>
        </w:tc>
        <w:tc>
          <w:tcPr>
            <w:tcW w:w="440" w:type="dxa"/>
            <w:vAlign w:val="bottom"/>
            <w:tcBorders>
              <w:bottom w:val="single" w:sz="8" w:color="auto"/>
              <w:right w:val="single" w:sz="8" w:color="auto"/>
            </w:tcBorders>
          </w:tcPr>
          <w:p>
            <w:pPr>
              <w:spacing w:after="0"/>
              <w:rPr>
                <w:sz w:val="10"/>
                <w:szCs w:val="10"/>
                <w:color w:val="auto"/>
              </w:rPr>
            </w:pPr>
          </w:p>
        </w:tc>
        <w:tc>
          <w:tcPr>
            <w:tcW w:w="320" w:type="dxa"/>
            <w:vAlign w:val="bottom"/>
            <w:tcBorders>
              <w:bottom w:val="single" w:sz="8" w:color="auto"/>
            </w:tcBorders>
          </w:tcPr>
          <w:p>
            <w:pPr>
              <w:spacing w:after="0"/>
              <w:rPr>
                <w:sz w:val="10"/>
                <w:szCs w:val="10"/>
                <w:color w:val="auto"/>
              </w:rPr>
            </w:pPr>
          </w:p>
        </w:tc>
        <w:tc>
          <w:tcPr>
            <w:tcW w:w="2040" w:type="dxa"/>
            <w:vAlign w:val="bottom"/>
            <w:tcBorders>
              <w:bottom w:val="single" w:sz="8" w:color="auto"/>
              <w:right w:val="single" w:sz="8" w:color="auto"/>
            </w:tcBorders>
          </w:tcPr>
          <w:p>
            <w:pPr>
              <w:spacing w:after="0"/>
              <w:rPr>
                <w:sz w:val="10"/>
                <w:szCs w:val="10"/>
                <w:color w:val="auto"/>
              </w:rPr>
            </w:pPr>
          </w:p>
        </w:tc>
        <w:tc>
          <w:tcPr>
            <w:tcW w:w="3200" w:type="dxa"/>
            <w:vAlign w:val="bottom"/>
            <w:tcBorders>
              <w:bottom w:val="single" w:sz="8" w:color="auto"/>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223"/>
        </w:trPr>
        <w:tc>
          <w:tcPr>
            <w:tcW w:w="246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Filter</w:t>
            </w:r>
          </w:p>
        </w:tc>
        <w:tc>
          <w:tcPr>
            <w:tcW w:w="162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125.00</w:t>
            </w:r>
          </w:p>
        </w:tc>
        <w:tc>
          <w:tcPr>
            <w:tcW w:w="1160" w:type="dxa"/>
            <w:vAlign w:val="bottom"/>
            <w:tcBorders>
              <w:bottom w:val="single" w:sz="8" w:color="auto"/>
            </w:tcBorders>
          </w:tcPr>
          <w:p>
            <w:pPr>
              <w:spacing w:after="0"/>
              <w:rPr>
                <w:sz w:val="19"/>
                <w:szCs w:val="19"/>
                <w:color w:val="auto"/>
              </w:rPr>
            </w:pPr>
          </w:p>
        </w:tc>
        <w:tc>
          <w:tcPr>
            <w:tcW w:w="44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0.95</w:t>
            </w:r>
          </w:p>
        </w:tc>
        <w:tc>
          <w:tcPr>
            <w:tcW w:w="320" w:type="dxa"/>
            <w:vAlign w:val="bottom"/>
            <w:tcBorders>
              <w:bottom w:val="single" w:sz="8" w:color="auto"/>
            </w:tcBorders>
          </w:tcPr>
          <w:p>
            <w:pPr>
              <w:spacing w:after="0"/>
              <w:rPr>
                <w:sz w:val="19"/>
                <w:szCs w:val="19"/>
                <w:color w:val="auto"/>
              </w:rPr>
            </w:pPr>
          </w:p>
        </w:tc>
        <w:tc>
          <w:tcPr>
            <w:tcW w:w="204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1.91</w:t>
            </w:r>
          </w:p>
        </w:tc>
        <w:tc>
          <w:tcPr>
            <w:tcW w:w="320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-50.26%</w:t>
            </w:r>
          </w:p>
        </w:tc>
        <w:tc>
          <w:tcPr>
            <w:tcW w:w="0" w:type="dxa"/>
            <w:vAlign w:val="bottom"/>
          </w:tcPr>
          <w:p>
            <w:pPr>
              <w:spacing w:after="0"/>
              <w:rPr>
                <w:sz w:val="1"/>
                <w:szCs w:val="1"/>
                <w:color w:val="auto"/>
              </w:rPr>
            </w:pPr>
          </w:p>
        </w:tc>
      </w:tr>
      <w:tr>
        <w:trPr>
          <w:trHeight w:val="223"/>
        </w:trPr>
        <w:tc>
          <w:tcPr>
            <w:tcW w:w="246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Cooler</w:t>
            </w:r>
          </w:p>
        </w:tc>
        <w:tc>
          <w:tcPr>
            <w:tcW w:w="162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3.00</w:t>
            </w:r>
          </w:p>
        </w:tc>
        <w:tc>
          <w:tcPr>
            <w:tcW w:w="1160" w:type="dxa"/>
            <w:vAlign w:val="bottom"/>
            <w:tcBorders>
              <w:bottom w:val="single" w:sz="8" w:color="auto"/>
            </w:tcBorders>
          </w:tcPr>
          <w:p>
            <w:pPr>
              <w:spacing w:after="0"/>
              <w:rPr>
                <w:sz w:val="19"/>
                <w:szCs w:val="19"/>
                <w:color w:val="auto"/>
              </w:rPr>
            </w:pPr>
          </w:p>
        </w:tc>
        <w:tc>
          <w:tcPr>
            <w:tcW w:w="44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color w:val="auto"/>
                <w:w w:val="88"/>
              </w:rPr>
              <w:t>81.00</w:t>
            </w:r>
          </w:p>
        </w:tc>
        <w:tc>
          <w:tcPr>
            <w:tcW w:w="320" w:type="dxa"/>
            <w:vAlign w:val="bottom"/>
            <w:tcBorders>
              <w:bottom w:val="single" w:sz="8" w:color="auto"/>
            </w:tcBorders>
          </w:tcPr>
          <w:p>
            <w:pPr>
              <w:spacing w:after="0"/>
              <w:rPr>
                <w:sz w:val="19"/>
                <w:szCs w:val="19"/>
                <w:color w:val="auto"/>
              </w:rPr>
            </w:pPr>
          </w:p>
        </w:tc>
        <w:tc>
          <w:tcPr>
            <w:tcW w:w="204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160.94</w:t>
            </w:r>
          </w:p>
        </w:tc>
        <w:tc>
          <w:tcPr>
            <w:tcW w:w="320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-49.67%</w:t>
            </w:r>
          </w:p>
        </w:tc>
        <w:tc>
          <w:tcPr>
            <w:tcW w:w="0" w:type="dxa"/>
            <w:vAlign w:val="bottom"/>
          </w:tcPr>
          <w:p>
            <w:pPr>
              <w:spacing w:after="0"/>
              <w:rPr>
                <w:sz w:val="1"/>
                <w:szCs w:val="1"/>
                <w:color w:val="auto"/>
              </w:rPr>
            </w:pPr>
          </w:p>
        </w:tc>
      </w:tr>
      <w:tr>
        <w:trPr>
          <w:trHeight w:val="223"/>
        </w:trPr>
        <w:tc>
          <w:tcPr>
            <w:tcW w:w="2460" w:type="dxa"/>
            <w:vAlign w:val="bottom"/>
            <w:tcBorders>
              <w:left w:val="single" w:sz="8" w:color="auto"/>
              <w:bottom w:val="single" w:sz="8" w:color="auto"/>
            </w:tcBorders>
          </w:tcPr>
          <w:p>
            <w:pPr>
              <w:spacing w:after="0"/>
              <w:rPr>
                <w:sz w:val="19"/>
                <w:szCs w:val="19"/>
                <w:color w:val="auto"/>
              </w:rPr>
            </w:pPr>
          </w:p>
        </w:tc>
        <w:tc>
          <w:tcPr>
            <w:tcW w:w="162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gridSpan w:val="2"/>
          </w:tcPr>
          <w:p>
            <w:pPr>
              <w:jc w:val="right"/>
              <w:ind w:right="200"/>
              <w:spacing w:after="0"/>
              <w:rPr>
                <w:sz w:val="20"/>
                <w:szCs w:val="20"/>
                <w:color w:val="auto"/>
              </w:rPr>
            </w:pPr>
            <w:r>
              <w:rPr>
                <w:rFonts w:ascii="Arial" w:cs="Arial" w:eastAsia="Arial" w:hAnsi="Arial"/>
                <w:sz w:val="18"/>
                <w:szCs w:val="18"/>
                <w:b w:val="1"/>
                <w:bCs w:val="1"/>
                <w:color w:val="auto"/>
              </w:rPr>
              <w:t>2019</w:t>
            </w:r>
          </w:p>
        </w:tc>
        <w:tc>
          <w:tcPr>
            <w:tcW w:w="2040" w:type="dxa"/>
            <w:vAlign w:val="bottom"/>
            <w:tcBorders>
              <w:bottom w:val="single" w:sz="8" w:color="auto"/>
            </w:tcBorders>
          </w:tcPr>
          <w:p>
            <w:pPr>
              <w:spacing w:after="0"/>
              <w:rPr>
                <w:sz w:val="19"/>
                <w:szCs w:val="19"/>
                <w:color w:val="auto"/>
              </w:rPr>
            </w:pPr>
          </w:p>
        </w:tc>
        <w:tc>
          <w:tcPr>
            <w:tcW w:w="3200" w:type="dxa"/>
            <w:vAlign w:val="bottom"/>
            <w:tcBorders>
              <w:bottom w:val="single" w:sz="8" w:color="auto"/>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98"/>
        </w:trPr>
        <w:tc>
          <w:tcPr>
            <w:tcW w:w="2460" w:type="dxa"/>
            <w:vAlign w:val="bottom"/>
            <w:tcBorders>
              <w:left w:val="single" w:sz="8" w:color="auto"/>
              <w:right w:val="single" w:sz="8" w:color="auto"/>
            </w:tcBorders>
          </w:tcPr>
          <w:p>
            <w:pPr>
              <w:spacing w:after="0"/>
              <w:rPr>
                <w:sz w:val="17"/>
                <w:szCs w:val="17"/>
                <w:color w:val="auto"/>
              </w:rPr>
            </w:pPr>
          </w:p>
        </w:tc>
        <w:tc>
          <w:tcPr>
            <w:tcW w:w="2780" w:type="dxa"/>
            <w:vAlign w:val="bottom"/>
            <w:gridSpan w:val="2"/>
            <w:vMerge w:val="restart"/>
          </w:tcPr>
          <w:p>
            <w:pPr>
              <w:ind w:left="600"/>
              <w:spacing w:after="0"/>
              <w:rPr>
                <w:sz w:val="20"/>
                <w:szCs w:val="20"/>
                <w:color w:val="auto"/>
              </w:rPr>
            </w:pPr>
            <w:r>
              <w:rPr>
                <w:rFonts w:ascii="Arial" w:cs="Arial" w:eastAsia="Arial" w:hAnsi="Arial"/>
                <w:sz w:val="18"/>
                <w:szCs w:val="18"/>
                <w:b w:val="1"/>
                <w:bCs w:val="1"/>
                <w:color w:val="auto"/>
                <w:w w:val="95"/>
              </w:rPr>
              <w:t>From Shengyi Technology</w:t>
            </w:r>
          </w:p>
        </w:tc>
        <w:tc>
          <w:tcPr>
            <w:tcW w:w="440" w:type="dxa"/>
            <w:vAlign w:val="bottom"/>
            <w:tcBorders>
              <w:right w:val="single" w:sz="8" w:color="auto"/>
            </w:tcBorders>
          </w:tcPr>
          <w:p>
            <w:pPr>
              <w:spacing w:after="0"/>
              <w:rPr>
                <w:sz w:val="17"/>
                <w:szCs w:val="17"/>
                <w:color w:val="auto"/>
              </w:rPr>
            </w:pPr>
          </w:p>
        </w:tc>
        <w:tc>
          <w:tcPr>
            <w:tcW w:w="320" w:type="dxa"/>
            <w:vAlign w:val="bottom"/>
          </w:tcPr>
          <w:p>
            <w:pPr>
              <w:spacing w:after="0"/>
              <w:rPr>
                <w:sz w:val="17"/>
                <w:szCs w:val="17"/>
                <w:color w:val="auto"/>
              </w:rPr>
            </w:pPr>
          </w:p>
        </w:tc>
        <w:tc>
          <w:tcPr>
            <w:tcW w:w="2040" w:type="dxa"/>
            <w:vAlign w:val="bottom"/>
            <w:tcBorders>
              <w:right w:val="single" w:sz="8" w:color="auto"/>
            </w:tcBorders>
          </w:tcPr>
          <w:p>
            <w:pPr>
              <w:jc w:val="center"/>
              <w:ind w:right="270"/>
              <w:spacing w:after="0" w:line="198" w:lineRule="exact"/>
              <w:rPr>
                <w:sz w:val="20"/>
                <w:szCs w:val="20"/>
                <w:color w:val="auto"/>
              </w:rPr>
            </w:pPr>
            <w:r>
              <w:rPr>
                <w:rFonts w:ascii="Arial" w:cs="Arial" w:eastAsia="Arial" w:hAnsi="Arial"/>
                <w:sz w:val="18"/>
                <w:szCs w:val="18"/>
                <w:b w:val="1"/>
                <w:bCs w:val="1"/>
                <w:color w:val="auto"/>
                <w:w w:val="92"/>
              </w:rPr>
              <w:t>From other</w:t>
            </w:r>
          </w:p>
        </w:tc>
        <w:tc>
          <w:tcPr>
            <w:tcW w:w="320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26"/>
        </w:trPr>
        <w:tc>
          <w:tcPr>
            <w:tcW w:w="246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18"/>
                <w:szCs w:val="18"/>
                <w:b w:val="1"/>
                <w:bCs w:val="1"/>
                <w:color w:val="auto"/>
                <w:w w:val="93"/>
              </w:rPr>
              <w:t>Type pf raw</w:t>
            </w:r>
          </w:p>
        </w:tc>
        <w:tc>
          <w:tcPr>
            <w:tcW w:w="2780" w:type="dxa"/>
            <w:vAlign w:val="bottom"/>
            <w:gridSpan w:val="2"/>
            <w:vMerge w:val="continue"/>
          </w:tcPr>
          <w:p>
            <w:pPr>
              <w:spacing w:after="0"/>
              <w:rPr>
                <w:sz w:val="10"/>
                <w:szCs w:val="10"/>
                <w:color w:val="auto"/>
              </w:rPr>
            </w:pPr>
          </w:p>
        </w:tc>
        <w:tc>
          <w:tcPr>
            <w:tcW w:w="440" w:type="dxa"/>
            <w:vAlign w:val="bottom"/>
            <w:tcBorders>
              <w:right w:val="single" w:sz="8" w:color="auto"/>
            </w:tcBorders>
          </w:tcPr>
          <w:p>
            <w:pPr>
              <w:spacing w:after="0"/>
              <w:rPr>
                <w:sz w:val="10"/>
                <w:szCs w:val="10"/>
                <w:color w:val="auto"/>
              </w:rPr>
            </w:pPr>
          </w:p>
        </w:tc>
        <w:tc>
          <w:tcPr>
            <w:tcW w:w="320" w:type="dxa"/>
            <w:vAlign w:val="bottom"/>
          </w:tcPr>
          <w:p>
            <w:pPr>
              <w:spacing w:after="0"/>
              <w:rPr>
                <w:sz w:val="10"/>
                <w:szCs w:val="10"/>
                <w:color w:val="auto"/>
              </w:rPr>
            </w:pPr>
          </w:p>
        </w:tc>
        <w:tc>
          <w:tcPr>
            <w:tcW w:w="2040" w:type="dxa"/>
            <w:vAlign w:val="bottom"/>
            <w:tcBorders>
              <w:right w:val="single" w:sz="8" w:color="auto"/>
            </w:tcBorders>
            <w:vMerge w:val="restart"/>
          </w:tcPr>
          <w:p>
            <w:pPr>
              <w:jc w:val="center"/>
              <w:ind w:right="250"/>
              <w:spacing w:after="0"/>
              <w:rPr>
                <w:sz w:val="20"/>
                <w:szCs w:val="20"/>
                <w:color w:val="auto"/>
              </w:rPr>
            </w:pPr>
            <w:r>
              <w:rPr>
                <w:rFonts w:ascii="Arial" w:cs="Arial" w:eastAsia="Arial" w:hAnsi="Arial"/>
                <w:sz w:val="18"/>
                <w:szCs w:val="18"/>
                <w:b w:val="1"/>
                <w:bCs w:val="1"/>
                <w:color w:val="auto"/>
                <w:w w:val="87"/>
              </w:rPr>
              <w:t>suppliers</w:t>
            </w:r>
          </w:p>
        </w:tc>
        <w:tc>
          <w:tcPr>
            <w:tcW w:w="32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b w:val="1"/>
                <w:bCs w:val="1"/>
                <w:color w:val="auto"/>
                <w:w w:val="90"/>
              </w:rPr>
              <w:t>Average unit price</w:t>
            </w:r>
          </w:p>
        </w:tc>
        <w:tc>
          <w:tcPr>
            <w:tcW w:w="0" w:type="dxa"/>
            <w:vAlign w:val="bottom"/>
          </w:tcPr>
          <w:p>
            <w:pPr>
              <w:spacing w:after="0"/>
              <w:rPr>
                <w:sz w:val="1"/>
                <w:szCs w:val="1"/>
                <w:color w:val="auto"/>
              </w:rPr>
            </w:pPr>
          </w:p>
        </w:tc>
      </w:tr>
      <w:tr>
        <w:trPr>
          <w:trHeight w:val="115"/>
        </w:trPr>
        <w:tc>
          <w:tcPr>
            <w:tcW w:w="2460" w:type="dxa"/>
            <w:vAlign w:val="bottom"/>
            <w:tcBorders>
              <w:left w:val="single" w:sz="8" w:color="auto"/>
              <w:right w:val="single" w:sz="8" w:color="auto"/>
            </w:tcBorders>
            <w:vMerge w:val="continue"/>
          </w:tcPr>
          <w:p>
            <w:pPr>
              <w:spacing w:after="0"/>
              <w:rPr>
                <w:sz w:val="10"/>
                <w:szCs w:val="10"/>
                <w:color w:val="auto"/>
              </w:rPr>
            </w:pPr>
          </w:p>
        </w:tc>
        <w:tc>
          <w:tcPr>
            <w:tcW w:w="1620" w:type="dxa"/>
            <w:vAlign w:val="bottom"/>
            <w:tcBorders>
              <w:bottom w:val="single" w:sz="8" w:color="auto"/>
            </w:tcBorders>
          </w:tcPr>
          <w:p>
            <w:pPr>
              <w:spacing w:after="0"/>
              <w:rPr>
                <w:sz w:val="10"/>
                <w:szCs w:val="10"/>
                <w:color w:val="auto"/>
              </w:rPr>
            </w:pPr>
          </w:p>
        </w:tc>
        <w:tc>
          <w:tcPr>
            <w:tcW w:w="1160" w:type="dxa"/>
            <w:vAlign w:val="bottom"/>
            <w:tcBorders>
              <w:bottom w:val="single" w:sz="8" w:color="auto"/>
            </w:tcBorders>
          </w:tcPr>
          <w:p>
            <w:pPr>
              <w:spacing w:after="0"/>
              <w:rPr>
                <w:sz w:val="10"/>
                <w:szCs w:val="10"/>
                <w:color w:val="auto"/>
              </w:rPr>
            </w:pPr>
          </w:p>
        </w:tc>
        <w:tc>
          <w:tcPr>
            <w:tcW w:w="440" w:type="dxa"/>
            <w:vAlign w:val="bottom"/>
            <w:tcBorders>
              <w:bottom w:val="single" w:sz="8" w:color="auto"/>
              <w:right w:val="single" w:sz="8" w:color="auto"/>
            </w:tcBorders>
          </w:tcPr>
          <w:p>
            <w:pPr>
              <w:spacing w:after="0"/>
              <w:rPr>
                <w:sz w:val="10"/>
                <w:szCs w:val="10"/>
                <w:color w:val="auto"/>
              </w:rPr>
            </w:pPr>
          </w:p>
        </w:tc>
        <w:tc>
          <w:tcPr>
            <w:tcW w:w="320" w:type="dxa"/>
            <w:vAlign w:val="bottom"/>
            <w:tcBorders>
              <w:bottom w:val="single" w:sz="8" w:color="auto"/>
            </w:tcBorders>
          </w:tcPr>
          <w:p>
            <w:pPr>
              <w:spacing w:after="0"/>
              <w:rPr>
                <w:sz w:val="10"/>
                <w:szCs w:val="10"/>
                <w:color w:val="auto"/>
              </w:rPr>
            </w:pPr>
          </w:p>
        </w:tc>
        <w:tc>
          <w:tcPr>
            <w:tcW w:w="2040" w:type="dxa"/>
            <w:vAlign w:val="bottom"/>
            <w:tcBorders>
              <w:bottom w:val="single" w:sz="8" w:color="auto"/>
              <w:right w:val="single" w:sz="8" w:color="auto"/>
            </w:tcBorders>
            <w:vMerge w:val="continue"/>
          </w:tcPr>
          <w:p>
            <w:pPr>
              <w:spacing w:after="0"/>
              <w:rPr>
                <w:sz w:val="10"/>
                <w:szCs w:val="10"/>
                <w:color w:val="auto"/>
              </w:rPr>
            </w:pPr>
          </w:p>
        </w:tc>
        <w:tc>
          <w:tcPr>
            <w:tcW w:w="3200" w:type="dxa"/>
            <w:vAlign w:val="bottom"/>
            <w:tcBorders>
              <w:right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98"/>
        </w:trPr>
        <w:tc>
          <w:tcPr>
            <w:tcW w:w="2460" w:type="dxa"/>
            <w:vAlign w:val="bottom"/>
            <w:tcBorders>
              <w:left w:val="single" w:sz="8" w:color="auto"/>
              <w:right w:val="single" w:sz="8" w:color="auto"/>
            </w:tcBorders>
          </w:tcPr>
          <w:p>
            <w:pPr>
              <w:jc w:val="center"/>
              <w:spacing w:after="0" w:line="198" w:lineRule="exact"/>
              <w:rPr>
                <w:sz w:val="20"/>
                <w:szCs w:val="20"/>
                <w:color w:val="auto"/>
              </w:rPr>
            </w:pPr>
            <w:r>
              <w:rPr>
                <w:rFonts w:ascii="Arial" w:cs="Arial" w:eastAsia="Arial" w:hAnsi="Arial"/>
                <w:sz w:val="18"/>
                <w:szCs w:val="18"/>
                <w:b w:val="1"/>
                <w:bCs w:val="1"/>
                <w:color w:val="auto"/>
                <w:w w:val="88"/>
              </w:rPr>
              <w:t>materials</w:t>
            </w:r>
          </w:p>
        </w:tc>
        <w:tc>
          <w:tcPr>
            <w:tcW w:w="1620" w:type="dxa"/>
            <w:vAlign w:val="bottom"/>
            <w:tcBorders>
              <w:right w:val="single" w:sz="8" w:color="auto"/>
            </w:tcBorders>
            <w:vMerge w:val="restart"/>
          </w:tcPr>
          <w:p>
            <w:pPr>
              <w:jc w:val="right"/>
              <w:ind w:right="390"/>
              <w:spacing w:after="0"/>
              <w:rPr>
                <w:sz w:val="20"/>
                <w:szCs w:val="20"/>
                <w:color w:val="auto"/>
              </w:rPr>
            </w:pPr>
            <w:r>
              <w:rPr>
                <w:rFonts w:ascii="Arial" w:cs="Arial" w:eastAsia="Arial" w:hAnsi="Arial"/>
                <w:sz w:val="18"/>
                <w:szCs w:val="18"/>
                <w:b w:val="1"/>
                <w:bCs w:val="1"/>
                <w:color w:val="auto"/>
              </w:rPr>
              <w:t>Quantity</w:t>
            </w:r>
          </w:p>
        </w:tc>
        <w:tc>
          <w:tcPr>
            <w:tcW w:w="1160" w:type="dxa"/>
            <w:vAlign w:val="bottom"/>
          </w:tcPr>
          <w:p>
            <w:pPr>
              <w:jc w:val="center"/>
              <w:ind w:left="330"/>
              <w:spacing w:after="0" w:line="198" w:lineRule="exact"/>
              <w:rPr>
                <w:sz w:val="20"/>
                <w:szCs w:val="20"/>
                <w:color w:val="auto"/>
              </w:rPr>
            </w:pPr>
            <w:r>
              <w:rPr>
                <w:rFonts w:ascii="Arial" w:cs="Arial" w:eastAsia="Arial" w:hAnsi="Arial"/>
                <w:sz w:val="18"/>
                <w:szCs w:val="18"/>
                <w:b w:val="1"/>
                <w:bCs w:val="1"/>
                <w:color w:val="auto"/>
                <w:w w:val="87"/>
              </w:rPr>
              <w:t>Average</w:t>
            </w:r>
          </w:p>
        </w:tc>
        <w:tc>
          <w:tcPr>
            <w:tcW w:w="440" w:type="dxa"/>
            <w:vAlign w:val="bottom"/>
            <w:tcBorders>
              <w:right w:val="single" w:sz="8" w:color="auto"/>
            </w:tcBorders>
          </w:tcPr>
          <w:p>
            <w:pPr>
              <w:spacing w:after="0"/>
              <w:rPr>
                <w:sz w:val="17"/>
                <w:szCs w:val="17"/>
                <w:color w:val="auto"/>
              </w:rPr>
            </w:pPr>
          </w:p>
        </w:tc>
        <w:tc>
          <w:tcPr>
            <w:tcW w:w="320" w:type="dxa"/>
            <w:vAlign w:val="bottom"/>
          </w:tcPr>
          <w:p>
            <w:pPr>
              <w:spacing w:after="0"/>
              <w:rPr>
                <w:sz w:val="17"/>
                <w:szCs w:val="17"/>
                <w:color w:val="auto"/>
              </w:rPr>
            </w:pPr>
          </w:p>
        </w:tc>
        <w:tc>
          <w:tcPr>
            <w:tcW w:w="2040" w:type="dxa"/>
            <w:vAlign w:val="bottom"/>
            <w:tcBorders>
              <w:right w:val="single" w:sz="8" w:color="auto"/>
            </w:tcBorders>
            <w:vMerge w:val="restart"/>
          </w:tcPr>
          <w:p>
            <w:pPr>
              <w:jc w:val="center"/>
              <w:ind w:right="250"/>
              <w:spacing w:after="0"/>
              <w:rPr>
                <w:sz w:val="20"/>
                <w:szCs w:val="20"/>
                <w:color w:val="auto"/>
              </w:rPr>
            </w:pPr>
            <w:r>
              <w:rPr>
                <w:rFonts w:ascii="Arial" w:cs="Arial" w:eastAsia="Arial" w:hAnsi="Arial"/>
                <w:sz w:val="18"/>
                <w:szCs w:val="18"/>
                <w:b w:val="1"/>
                <w:bCs w:val="1"/>
                <w:color w:val="auto"/>
                <w:w w:val="90"/>
              </w:rPr>
              <w:t>Average unit price</w:t>
            </w:r>
          </w:p>
        </w:tc>
        <w:tc>
          <w:tcPr>
            <w:tcW w:w="3200" w:type="dxa"/>
            <w:vAlign w:val="bottom"/>
            <w:tcBorders>
              <w:right w:val="single" w:sz="8" w:color="auto"/>
            </w:tcBorders>
          </w:tcPr>
          <w:p>
            <w:pPr>
              <w:jc w:val="center"/>
              <w:spacing w:after="0" w:line="198" w:lineRule="exact"/>
              <w:rPr>
                <w:sz w:val="20"/>
                <w:szCs w:val="20"/>
                <w:color w:val="auto"/>
              </w:rPr>
            </w:pPr>
            <w:r>
              <w:rPr>
                <w:rFonts w:ascii="Arial" w:cs="Arial" w:eastAsia="Arial" w:hAnsi="Arial"/>
                <w:sz w:val="18"/>
                <w:szCs w:val="18"/>
                <w:b w:val="1"/>
                <w:bCs w:val="1"/>
                <w:color w:val="auto"/>
                <w:w w:val="88"/>
              </w:rPr>
              <w:t>difference</w:t>
            </w:r>
          </w:p>
        </w:tc>
        <w:tc>
          <w:tcPr>
            <w:tcW w:w="0" w:type="dxa"/>
            <w:vAlign w:val="bottom"/>
          </w:tcPr>
          <w:p>
            <w:pPr>
              <w:spacing w:after="0"/>
              <w:rPr>
                <w:sz w:val="1"/>
                <w:szCs w:val="1"/>
                <w:color w:val="auto"/>
              </w:rPr>
            </w:pPr>
          </w:p>
        </w:tc>
      </w:tr>
      <w:tr>
        <w:trPr>
          <w:trHeight w:val="126"/>
        </w:trPr>
        <w:tc>
          <w:tcPr>
            <w:tcW w:w="2460" w:type="dxa"/>
            <w:vAlign w:val="bottom"/>
            <w:tcBorders>
              <w:left w:val="single" w:sz="8" w:color="auto"/>
              <w:right w:val="single" w:sz="8" w:color="auto"/>
            </w:tcBorders>
          </w:tcPr>
          <w:p>
            <w:pPr>
              <w:spacing w:after="0"/>
              <w:rPr>
                <w:sz w:val="10"/>
                <w:szCs w:val="10"/>
                <w:color w:val="auto"/>
              </w:rPr>
            </w:pPr>
          </w:p>
        </w:tc>
        <w:tc>
          <w:tcPr>
            <w:tcW w:w="1620" w:type="dxa"/>
            <w:vAlign w:val="bottom"/>
            <w:tcBorders>
              <w:right w:val="single" w:sz="8" w:color="auto"/>
            </w:tcBorders>
            <w:vMerge w:val="continue"/>
          </w:tcPr>
          <w:p>
            <w:pPr>
              <w:spacing w:after="0"/>
              <w:rPr>
                <w:sz w:val="10"/>
                <w:szCs w:val="10"/>
                <w:color w:val="auto"/>
              </w:rPr>
            </w:pPr>
          </w:p>
        </w:tc>
        <w:tc>
          <w:tcPr>
            <w:tcW w:w="1160" w:type="dxa"/>
            <w:vAlign w:val="bottom"/>
            <w:vMerge w:val="restart"/>
          </w:tcPr>
          <w:p>
            <w:pPr>
              <w:jc w:val="center"/>
              <w:ind w:left="330"/>
              <w:spacing w:after="0"/>
              <w:rPr>
                <w:sz w:val="20"/>
                <w:szCs w:val="20"/>
                <w:color w:val="auto"/>
              </w:rPr>
            </w:pPr>
            <w:r>
              <w:rPr>
                <w:rFonts w:ascii="Arial" w:cs="Arial" w:eastAsia="Arial" w:hAnsi="Arial"/>
                <w:sz w:val="18"/>
                <w:szCs w:val="18"/>
                <w:b w:val="1"/>
                <w:bCs w:val="1"/>
                <w:color w:val="auto"/>
                <w:w w:val="91"/>
              </w:rPr>
              <w:t>unit price</w:t>
            </w:r>
          </w:p>
        </w:tc>
        <w:tc>
          <w:tcPr>
            <w:tcW w:w="440" w:type="dxa"/>
            <w:vAlign w:val="bottom"/>
            <w:tcBorders>
              <w:right w:val="single" w:sz="8" w:color="auto"/>
            </w:tcBorders>
          </w:tcPr>
          <w:p>
            <w:pPr>
              <w:spacing w:after="0"/>
              <w:rPr>
                <w:sz w:val="10"/>
                <w:szCs w:val="10"/>
                <w:color w:val="auto"/>
              </w:rPr>
            </w:pPr>
          </w:p>
        </w:tc>
        <w:tc>
          <w:tcPr>
            <w:tcW w:w="320" w:type="dxa"/>
            <w:vAlign w:val="bottom"/>
          </w:tcPr>
          <w:p>
            <w:pPr>
              <w:spacing w:after="0"/>
              <w:rPr>
                <w:sz w:val="10"/>
                <w:szCs w:val="10"/>
                <w:color w:val="auto"/>
              </w:rPr>
            </w:pPr>
          </w:p>
        </w:tc>
        <w:tc>
          <w:tcPr>
            <w:tcW w:w="2040" w:type="dxa"/>
            <w:vAlign w:val="bottom"/>
            <w:tcBorders>
              <w:right w:val="single" w:sz="8" w:color="auto"/>
            </w:tcBorders>
            <w:vMerge w:val="continue"/>
          </w:tcPr>
          <w:p>
            <w:pPr>
              <w:spacing w:after="0"/>
              <w:rPr>
                <w:sz w:val="10"/>
                <w:szCs w:val="10"/>
                <w:color w:val="auto"/>
              </w:rPr>
            </w:pPr>
          </w:p>
        </w:tc>
        <w:tc>
          <w:tcPr>
            <w:tcW w:w="3200" w:type="dxa"/>
            <w:vAlign w:val="bottom"/>
            <w:tcBorders>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15"/>
        </w:trPr>
        <w:tc>
          <w:tcPr>
            <w:tcW w:w="2460" w:type="dxa"/>
            <w:vAlign w:val="bottom"/>
            <w:tcBorders>
              <w:left w:val="single" w:sz="8" w:color="auto"/>
              <w:bottom w:val="single" w:sz="8" w:color="auto"/>
              <w:right w:val="single" w:sz="8" w:color="auto"/>
            </w:tcBorders>
          </w:tcPr>
          <w:p>
            <w:pPr>
              <w:spacing w:after="0"/>
              <w:rPr>
                <w:sz w:val="10"/>
                <w:szCs w:val="10"/>
                <w:color w:val="auto"/>
              </w:rPr>
            </w:pPr>
          </w:p>
        </w:tc>
        <w:tc>
          <w:tcPr>
            <w:tcW w:w="1620" w:type="dxa"/>
            <w:vAlign w:val="bottom"/>
            <w:tcBorders>
              <w:bottom w:val="single" w:sz="8" w:color="auto"/>
              <w:right w:val="single" w:sz="8" w:color="auto"/>
            </w:tcBorders>
          </w:tcPr>
          <w:p>
            <w:pPr>
              <w:spacing w:after="0"/>
              <w:rPr>
                <w:sz w:val="10"/>
                <w:szCs w:val="10"/>
                <w:color w:val="auto"/>
              </w:rPr>
            </w:pPr>
          </w:p>
        </w:tc>
        <w:tc>
          <w:tcPr>
            <w:tcW w:w="1160" w:type="dxa"/>
            <w:vAlign w:val="bottom"/>
            <w:tcBorders>
              <w:bottom w:val="single" w:sz="8" w:color="auto"/>
            </w:tcBorders>
            <w:vMerge w:val="continue"/>
          </w:tcPr>
          <w:p>
            <w:pPr>
              <w:spacing w:after="0"/>
              <w:rPr>
                <w:sz w:val="10"/>
                <w:szCs w:val="10"/>
                <w:color w:val="auto"/>
              </w:rPr>
            </w:pPr>
          </w:p>
        </w:tc>
        <w:tc>
          <w:tcPr>
            <w:tcW w:w="440" w:type="dxa"/>
            <w:vAlign w:val="bottom"/>
            <w:tcBorders>
              <w:bottom w:val="single" w:sz="8" w:color="auto"/>
              <w:right w:val="single" w:sz="8" w:color="auto"/>
            </w:tcBorders>
          </w:tcPr>
          <w:p>
            <w:pPr>
              <w:spacing w:after="0"/>
              <w:rPr>
                <w:sz w:val="10"/>
                <w:szCs w:val="10"/>
                <w:color w:val="auto"/>
              </w:rPr>
            </w:pPr>
          </w:p>
        </w:tc>
        <w:tc>
          <w:tcPr>
            <w:tcW w:w="320" w:type="dxa"/>
            <w:vAlign w:val="bottom"/>
            <w:tcBorders>
              <w:bottom w:val="single" w:sz="8" w:color="auto"/>
            </w:tcBorders>
          </w:tcPr>
          <w:p>
            <w:pPr>
              <w:spacing w:after="0"/>
              <w:rPr>
                <w:sz w:val="10"/>
                <w:szCs w:val="10"/>
                <w:color w:val="auto"/>
              </w:rPr>
            </w:pPr>
          </w:p>
        </w:tc>
        <w:tc>
          <w:tcPr>
            <w:tcW w:w="2040" w:type="dxa"/>
            <w:vAlign w:val="bottom"/>
            <w:tcBorders>
              <w:bottom w:val="single" w:sz="8" w:color="auto"/>
              <w:right w:val="single" w:sz="8" w:color="auto"/>
            </w:tcBorders>
          </w:tcPr>
          <w:p>
            <w:pPr>
              <w:spacing w:after="0"/>
              <w:rPr>
                <w:sz w:val="10"/>
                <w:szCs w:val="10"/>
                <w:color w:val="auto"/>
              </w:rPr>
            </w:pPr>
          </w:p>
        </w:tc>
        <w:tc>
          <w:tcPr>
            <w:tcW w:w="3200" w:type="dxa"/>
            <w:vAlign w:val="bottom"/>
            <w:tcBorders>
              <w:bottom w:val="single" w:sz="8" w:color="auto"/>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223"/>
        </w:trPr>
        <w:tc>
          <w:tcPr>
            <w:tcW w:w="246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Filter</w:t>
            </w:r>
          </w:p>
        </w:tc>
        <w:tc>
          <w:tcPr>
            <w:tcW w:w="162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51.00</w:t>
            </w:r>
          </w:p>
        </w:tc>
        <w:tc>
          <w:tcPr>
            <w:tcW w:w="1160" w:type="dxa"/>
            <w:vAlign w:val="bottom"/>
            <w:tcBorders>
              <w:bottom w:val="single" w:sz="8" w:color="auto"/>
            </w:tcBorders>
          </w:tcPr>
          <w:p>
            <w:pPr>
              <w:spacing w:after="0"/>
              <w:rPr>
                <w:sz w:val="19"/>
                <w:szCs w:val="19"/>
                <w:color w:val="auto"/>
              </w:rPr>
            </w:pPr>
          </w:p>
        </w:tc>
        <w:tc>
          <w:tcPr>
            <w:tcW w:w="44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1.28</w:t>
            </w:r>
          </w:p>
        </w:tc>
        <w:tc>
          <w:tcPr>
            <w:tcW w:w="320" w:type="dxa"/>
            <w:vAlign w:val="bottom"/>
            <w:tcBorders>
              <w:bottom w:val="single" w:sz="8" w:color="auto"/>
            </w:tcBorders>
          </w:tcPr>
          <w:p>
            <w:pPr>
              <w:spacing w:after="0"/>
              <w:rPr>
                <w:sz w:val="19"/>
                <w:szCs w:val="19"/>
                <w:color w:val="auto"/>
              </w:rPr>
            </w:pPr>
          </w:p>
        </w:tc>
        <w:tc>
          <w:tcPr>
            <w:tcW w:w="204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3.35</w:t>
            </w:r>
          </w:p>
        </w:tc>
        <w:tc>
          <w:tcPr>
            <w:tcW w:w="320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-61.79%</w:t>
            </w:r>
          </w:p>
        </w:tc>
        <w:tc>
          <w:tcPr>
            <w:tcW w:w="0" w:type="dxa"/>
            <w:vAlign w:val="bottom"/>
          </w:tcPr>
          <w:p>
            <w:pPr>
              <w:spacing w:after="0"/>
              <w:rPr>
                <w:sz w:val="1"/>
                <w:szCs w:val="1"/>
                <w:color w:val="auto"/>
              </w:rPr>
            </w:pPr>
          </w:p>
        </w:tc>
      </w:tr>
      <w:tr>
        <w:trPr>
          <w:trHeight w:val="223"/>
        </w:trPr>
        <w:tc>
          <w:tcPr>
            <w:tcW w:w="246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Wafer handling platform</w:t>
            </w:r>
          </w:p>
        </w:tc>
        <w:tc>
          <w:tcPr>
            <w:tcW w:w="162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8.00</w:t>
            </w:r>
          </w:p>
        </w:tc>
        <w:tc>
          <w:tcPr>
            <w:tcW w:w="1160" w:type="dxa"/>
            <w:vAlign w:val="bottom"/>
            <w:tcBorders>
              <w:bottom w:val="single" w:sz="8" w:color="auto"/>
            </w:tcBorders>
          </w:tcPr>
          <w:p>
            <w:pPr>
              <w:spacing w:after="0"/>
              <w:rPr>
                <w:sz w:val="19"/>
                <w:szCs w:val="19"/>
                <w:color w:val="auto"/>
              </w:rPr>
            </w:pPr>
          </w:p>
        </w:tc>
        <w:tc>
          <w:tcPr>
            <w:tcW w:w="44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color w:val="auto"/>
                <w:w w:val="88"/>
              </w:rPr>
              <w:t>33.52</w:t>
            </w:r>
          </w:p>
        </w:tc>
        <w:tc>
          <w:tcPr>
            <w:tcW w:w="320" w:type="dxa"/>
            <w:vAlign w:val="bottom"/>
            <w:tcBorders>
              <w:bottom w:val="single" w:sz="8" w:color="auto"/>
            </w:tcBorders>
          </w:tcPr>
          <w:p>
            <w:pPr>
              <w:spacing w:after="0"/>
              <w:rPr>
                <w:sz w:val="19"/>
                <w:szCs w:val="19"/>
                <w:color w:val="auto"/>
              </w:rPr>
            </w:pPr>
          </w:p>
        </w:tc>
        <w:tc>
          <w:tcPr>
            <w:tcW w:w="204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41.78</w:t>
            </w:r>
          </w:p>
        </w:tc>
        <w:tc>
          <w:tcPr>
            <w:tcW w:w="320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-19.77%</w:t>
            </w:r>
          </w:p>
        </w:tc>
        <w:tc>
          <w:tcPr>
            <w:tcW w:w="0" w:type="dxa"/>
            <w:vAlign w:val="bottom"/>
          </w:tcPr>
          <w:p>
            <w:pPr>
              <w:spacing w:after="0"/>
              <w:rPr>
                <w:sz w:val="1"/>
                <w:szCs w:val="1"/>
                <w:color w:val="auto"/>
              </w:rPr>
            </w:pPr>
          </w:p>
        </w:tc>
      </w:tr>
      <w:tr>
        <w:trPr>
          <w:trHeight w:val="223"/>
        </w:trPr>
        <w:tc>
          <w:tcPr>
            <w:tcW w:w="246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Cooler</w:t>
            </w:r>
          </w:p>
        </w:tc>
        <w:tc>
          <w:tcPr>
            <w:tcW w:w="162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3.00</w:t>
            </w:r>
          </w:p>
        </w:tc>
        <w:tc>
          <w:tcPr>
            <w:tcW w:w="1160" w:type="dxa"/>
            <w:vAlign w:val="bottom"/>
            <w:tcBorders>
              <w:bottom w:val="single" w:sz="8" w:color="auto"/>
            </w:tcBorders>
          </w:tcPr>
          <w:p>
            <w:pPr>
              <w:spacing w:after="0"/>
              <w:rPr>
                <w:sz w:val="19"/>
                <w:szCs w:val="19"/>
                <w:color w:val="auto"/>
              </w:rPr>
            </w:pPr>
          </w:p>
        </w:tc>
        <w:tc>
          <w:tcPr>
            <w:tcW w:w="44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color w:val="auto"/>
                <w:w w:val="88"/>
              </w:rPr>
              <w:t>83.00</w:t>
            </w:r>
          </w:p>
        </w:tc>
        <w:tc>
          <w:tcPr>
            <w:tcW w:w="320" w:type="dxa"/>
            <w:vAlign w:val="bottom"/>
            <w:tcBorders>
              <w:bottom w:val="single" w:sz="8" w:color="auto"/>
            </w:tcBorders>
          </w:tcPr>
          <w:p>
            <w:pPr>
              <w:spacing w:after="0"/>
              <w:rPr>
                <w:sz w:val="19"/>
                <w:szCs w:val="19"/>
                <w:color w:val="auto"/>
              </w:rPr>
            </w:pPr>
          </w:p>
        </w:tc>
        <w:tc>
          <w:tcPr>
            <w:tcW w:w="204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160.94</w:t>
            </w:r>
          </w:p>
        </w:tc>
        <w:tc>
          <w:tcPr>
            <w:tcW w:w="320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-48.43%</w:t>
            </w:r>
          </w:p>
        </w:tc>
        <w:tc>
          <w:tcPr>
            <w:tcW w:w="0" w:type="dxa"/>
            <w:vAlign w:val="bottom"/>
          </w:tcPr>
          <w:p>
            <w:pPr>
              <w:spacing w:after="0"/>
              <w:rPr>
                <w:sz w:val="1"/>
                <w:szCs w:val="1"/>
                <w:color w:val="auto"/>
              </w:rPr>
            </w:pPr>
          </w:p>
        </w:tc>
      </w:tr>
      <w:tr>
        <w:trPr>
          <w:trHeight w:val="223"/>
        </w:trPr>
        <w:tc>
          <w:tcPr>
            <w:tcW w:w="246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CO2 hybrid generator</w:t>
            </w:r>
          </w:p>
        </w:tc>
        <w:tc>
          <w:tcPr>
            <w:tcW w:w="162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1.00</w:t>
            </w:r>
          </w:p>
        </w:tc>
        <w:tc>
          <w:tcPr>
            <w:tcW w:w="1160" w:type="dxa"/>
            <w:vAlign w:val="bottom"/>
            <w:tcBorders>
              <w:bottom w:val="single" w:sz="8" w:color="auto"/>
            </w:tcBorders>
          </w:tcPr>
          <w:p>
            <w:pPr>
              <w:spacing w:after="0"/>
              <w:rPr>
                <w:sz w:val="19"/>
                <w:szCs w:val="19"/>
                <w:color w:val="auto"/>
              </w:rPr>
            </w:pPr>
          </w:p>
        </w:tc>
        <w:tc>
          <w:tcPr>
            <w:tcW w:w="44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color w:val="auto"/>
                <w:w w:val="88"/>
              </w:rPr>
              <w:t>10.80</w:t>
            </w:r>
          </w:p>
        </w:tc>
        <w:tc>
          <w:tcPr>
            <w:tcW w:w="320" w:type="dxa"/>
            <w:vAlign w:val="bottom"/>
            <w:tcBorders>
              <w:bottom w:val="single" w:sz="8" w:color="auto"/>
            </w:tcBorders>
          </w:tcPr>
          <w:p>
            <w:pPr>
              <w:spacing w:after="0"/>
              <w:rPr>
                <w:sz w:val="19"/>
                <w:szCs w:val="19"/>
                <w:color w:val="auto"/>
              </w:rPr>
            </w:pPr>
          </w:p>
        </w:tc>
        <w:tc>
          <w:tcPr>
            <w:tcW w:w="204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14.78</w:t>
            </w:r>
          </w:p>
        </w:tc>
        <w:tc>
          <w:tcPr>
            <w:tcW w:w="320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-26.93%</w:t>
            </w:r>
          </w:p>
        </w:tc>
        <w:tc>
          <w:tcPr>
            <w:tcW w:w="0" w:type="dxa"/>
            <w:vAlign w:val="bottom"/>
          </w:tcPr>
          <w:p>
            <w:pPr>
              <w:spacing w:after="0"/>
              <w:rPr>
                <w:sz w:val="1"/>
                <w:szCs w:val="1"/>
                <w:color w:val="auto"/>
              </w:rPr>
            </w:pPr>
          </w:p>
        </w:tc>
      </w:tr>
      <w:tr>
        <w:trPr>
          <w:trHeight w:val="582"/>
        </w:trPr>
        <w:tc>
          <w:tcPr>
            <w:tcW w:w="246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760" w:type="dxa"/>
            <w:vAlign w:val="bottom"/>
            <w:gridSpan w:val="2"/>
          </w:tcPr>
          <w:p>
            <w:pPr>
              <w:jc w:val="right"/>
              <w:ind w:right="120"/>
              <w:spacing w:after="0"/>
              <w:rPr>
                <w:sz w:val="20"/>
                <w:szCs w:val="20"/>
                <w:color w:val="auto"/>
              </w:rPr>
            </w:pPr>
            <w:r>
              <w:rPr>
                <w:rFonts w:ascii="Arial" w:cs="Arial" w:eastAsia="Arial" w:hAnsi="Arial"/>
                <w:sz w:val="14"/>
                <w:szCs w:val="14"/>
                <w:color w:val="auto"/>
              </w:rPr>
              <w:t>8-4-1-35</w:t>
            </w:r>
          </w:p>
        </w:tc>
        <w:tc>
          <w:tcPr>
            <w:tcW w:w="2040" w:type="dxa"/>
            <w:vAlign w:val="bottom"/>
          </w:tcPr>
          <w:p>
            <w:pPr>
              <w:spacing w:after="0"/>
              <w:rPr>
                <w:sz w:val="24"/>
                <w:szCs w:val="24"/>
                <w:color w:val="auto"/>
              </w:rPr>
            </w:pPr>
          </w:p>
        </w:tc>
        <w:tc>
          <w:tcPr>
            <w:tcW w:w="3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6"/>
        </w:trPr>
        <w:tc>
          <w:tcPr>
            <w:tcW w:w="2460" w:type="dxa"/>
            <w:vAlign w:val="bottom"/>
            <w:tcBorders>
              <w:bottom w:val="single" w:sz="8" w:color="auto"/>
            </w:tcBorders>
          </w:tcPr>
          <w:p>
            <w:pPr>
              <w:spacing w:after="0"/>
              <w:rPr>
                <w:sz w:val="4"/>
                <w:szCs w:val="4"/>
                <w:color w:val="auto"/>
              </w:rPr>
            </w:pPr>
          </w:p>
        </w:tc>
        <w:tc>
          <w:tcPr>
            <w:tcW w:w="1620" w:type="dxa"/>
            <w:vAlign w:val="bottom"/>
            <w:tcBorders>
              <w:bottom w:val="single" w:sz="8" w:color="auto"/>
            </w:tcBorders>
          </w:tcPr>
          <w:p>
            <w:pPr>
              <w:spacing w:after="0"/>
              <w:rPr>
                <w:sz w:val="4"/>
                <w:szCs w:val="4"/>
                <w:color w:val="auto"/>
              </w:rPr>
            </w:pPr>
          </w:p>
        </w:tc>
        <w:tc>
          <w:tcPr>
            <w:tcW w:w="1160" w:type="dxa"/>
            <w:vAlign w:val="bottom"/>
            <w:tcBorders>
              <w:bottom w:val="single" w:sz="8" w:color="auto"/>
            </w:tcBorders>
          </w:tcPr>
          <w:p>
            <w:pPr>
              <w:spacing w:after="0"/>
              <w:rPr>
                <w:sz w:val="4"/>
                <w:szCs w:val="4"/>
                <w:color w:val="auto"/>
              </w:rPr>
            </w:pPr>
          </w:p>
        </w:tc>
        <w:tc>
          <w:tcPr>
            <w:tcW w:w="440" w:type="dxa"/>
            <w:vAlign w:val="bottom"/>
            <w:tcBorders>
              <w:bottom w:val="single" w:sz="8" w:color="auto"/>
            </w:tcBorders>
          </w:tcPr>
          <w:p>
            <w:pPr>
              <w:spacing w:after="0"/>
              <w:rPr>
                <w:sz w:val="4"/>
                <w:szCs w:val="4"/>
                <w:color w:val="auto"/>
              </w:rPr>
            </w:pPr>
          </w:p>
        </w:tc>
        <w:tc>
          <w:tcPr>
            <w:tcW w:w="320" w:type="dxa"/>
            <w:vAlign w:val="bottom"/>
            <w:tcBorders>
              <w:bottom w:val="single" w:sz="8" w:color="auto"/>
            </w:tcBorders>
          </w:tcPr>
          <w:p>
            <w:pPr>
              <w:spacing w:after="0"/>
              <w:rPr>
                <w:sz w:val="4"/>
                <w:szCs w:val="4"/>
                <w:color w:val="auto"/>
              </w:rPr>
            </w:pPr>
          </w:p>
        </w:tc>
        <w:tc>
          <w:tcPr>
            <w:tcW w:w="2040" w:type="dxa"/>
            <w:vAlign w:val="bottom"/>
            <w:tcBorders>
              <w:bottom w:val="single" w:sz="8" w:color="auto"/>
            </w:tcBorders>
          </w:tcPr>
          <w:p>
            <w:pPr>
              <w:spacing w:after="0"/>
              <w:rPr>
                <w:sz w:val="4"/>
                <w:szCs w:val="4"/>
                <w:color w:val="auto"/>
              </w:rPr>
            </w:pPr>
          </w:p>
        </w:tc>
        <w:tc>
          <w:tcPr>
            <w:tcW w:w="320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125" w:right="339" w:bottom="1440" w:gutter="0" w:footer="0" w:header="0"/>
        </w:sectPr>
      </w:pPr>
    </w:p>
    <w:bookmarkStart w:id="39" w:name="page40"/>
    <w:bookmarkEnd w:id="39"/>
    <w:p>
      <w:pPr>
        <w:jc w:val="both"/>
        <w:ind w:firstLine="324"/>
        <w:spacing w:after="0" w:line="277" w:lineRule="auto"/>
        <w:rPr>
          <w:sz w:val="20"/>
          <w:szCs w:val="20"/>
          <w:color w:val="auto"/>
        </w:rPr>
      </w:pPr>
      <w:r>
        <w:rPr>
          <w:rFonts w:ascii="Arial" w:cs="Arial" w:eastAsia="Arial" w:hAnsi="Arial"/>
          <w:sz w:val="18"/>
          <w:szCs w:val="18"/>
          <w:color w:val="auto"/>
        </w:rPr>
        <w:t>If all raw materials purchased by the Company from Shengyi Technology were sourced from other overseas suppliers, the impact on the Company’s operating cost, total profit and net profit would be insignificant, as detailed below:</w:t>
      </w:r>
    </w:p>
    <w:p>
      <w:pPr>
        <w:spacing w:after="0" w:line="346" w:lineRule="exact"/>
        <w:rPr>
          <w:sz w:val="20"/>
          <w:szCs w:val="20"/>
          <w:color w:val="auto"/>
        </w:rPr>
      </w:pPr>
    </w:p>
    <w:tbl>
      <w:tblPr>
        <w:tblLayout w:type="fixed"/>
        <w:tblInd w:w="10" w:type="dxa"/>
        <w:tblCellMar>
          <w:top w:w="0" w:type="dxa"/>
          <w:left w:w="0" w:type="dxa"/>
          <w:bottom w:w="0" w:type="dxa"/>
          <w:right w:w="0" w:type="dxa"/>
        </w:tblCellMar>
      </w:tblPr>
      <w:tr>
        <w:trPr>
          <w:trHeight w:val="230"/>
        </w:trPr>
        <w:tc>
          <w:tcPr>
            <w:tcW w:w="1820" w:type="dxa"/>
            <w:vAlign w:val="bottom"/>
          </w:tcPr>
          <w:p>
            <w:pPr>
              <w:spacing w:after="0"/>
              <w:rPr>
                <w:sz w:val="20"/>
                <w:szCs w:val="20"/>
                <w:color w:val="auto"/>
              </w:rPr>
            </w:pPr>
          </w:p>
        </w:tc>
        <w:tc>
          <w:tcPr>
            <w:tcW w:w="2620" w:type="dxa"/>
            <w:vAlign w:val="bottom"/>
          </w:tcPr>
          <w:p>
            <w:pPr>
              <w:spacing w:after="0"/>
              <w:rPr>
                <w:sz w:val="20"/>
                <w:szCs w:val="20"/>
                <w:color w:val="auto"/>
              </w:rPr>
            </w:pPr>
          </w:p>
        </w:tc>
        <w:tc>
          <w:tcPr>
            <w:tcW w:w="2240" w:type="dxa"/>
            <w:vAlign w:val="bottom"/>
          </w:tcPr>
          <w:p>
            <w:pPr>
              <w:spacing w:after="0"/>
              <w:rPr>
                <w:sz w:val="20"/>
                <w:szCs w:val="20"/>
                <w:color w:val="auto"/>
              </w:rPr>
            </w:pPr>
          </w:p>
        </w:tc>
        <w:tc>
          <w:tcPr>
            <w:tcW w:w="2280" w:type="dxa"/>
            <w:vAlign w:val="bottom"/>
          </w:tcPr>
          <w:p>
            <w:pPr>
              <w:spacing w:after="0"/>
              <w:rPr>
                <w:sz w:val="20"/>
                <w:szCs w:val="20"/>
                <w:color w:val="auto"/>
              </w:rPr>
            </w:pPr>
          </w:p>
        </w:tc>
        <w:tc>
          <w:tcPr>
            <w:tcW w:w="2280" w:type="dxa"/>
            <w:vAlign w:val="bottom"/>
          </w:tcPr>
          <w:p>
            <w:pPr>
              <w:jc w:val="right"/>
              <w:spacing w:after="0"/>
              <w:rPr>
                <w:sz w:val="20"/>
                <w:szCs w:val="20"/>
                <w:color w:val="auto"/>
              </w:rPr>
            </w:pPr>
            <w:r>
              <w:rPr>
                <w:rFonts w:ascii="Arial" w:cs="Arial" w:eastAsia="Arial" w:hAnsi="Arial"/>
                <w:sz w:val="18"/>
                <w:szCs w:val="18"/>
                <w:color w:val="auto"/>
              </w:rPr>
              <w:t>Unit: RMB10,000</w:t>
            </w:r>
          </w:p>
        </w:tc>
        <w:tc>
          <w:tcPr>
            <w:tcW w:w="0" w:type="dxa"/>
            <w:vAlign w:val="bottom"/>
          </w:tcPr>
          <w:p>
            <w:pPr>
              <w:spacing w:after="0"/>
              <w:rPr>
                <w:sz w:val="1"/>
                <w:szCs w:val="1"/>
                <w:color w:val="auto"/>
              </w:rPr>
            </w:pPr>
          </w:p>
        </w:tc>
      </w:tr>
      <w:tr>
        <w:trPr>
          <w:trHeight w:val="196"/>
        </w:trPr>
        <w:tc>
          <w:tcPr>
            <w:tcW w:w="1820" w:type="dxa"/>
            <w:vAlign w:val="bottom"/>
            <w:tcBorders>
              <w:bottom w:val="single" w:sz="8" w:color="auto"/>
            </w:tcBorders>
          </w:tcPr>
          <w:p>
            <w:pPr>
              <w:spacing w:after="0"/>
              <w:rPr>
                <w:sz w:val="17"/>
                <w:szCs w:val="17"/>
                <w:color w:val="auto"/>
              </w:rPr>
            </w:pPr>
          </w:p>
        </w:tc>
        <w:tc>
          <w:tcPr>
            <w:tcW w:w="2620" w:type="dxa"/>
            <w:vAlign w:val="bottom"/>
            <w:tcBorders>
              <w:bottom w:val="single" w:sz="8" w:color="auto"/>
            </w:tcBorders>
          </w:tcPr>
          <w:p>
            <w:pPr>
              <w:spacing w:after="0"/>
              <w:rPr>
                <w:sz w:val="17"/>
                <w:szCs w:val="17"/>
                <w:color w:val="auto"/>
              </w:rPr>
            </w:pPr>
          </w:p>
        </w:tc>
        <w:tc>
          <w:tcPr>
            <w:tcW w:w="2240" w:type="dxa"/>
            <w:vAlign w:val="bottom"/>
            <w:tcBorders>
              <w:bottom w:val="single" w:sz="8" w:color="auto"/>
            </w:tcBorders>
          </w:tcPr>
          <w:p>
            <w:pPr>
              <w:spacing w:after="0"/>
              <w:rPr>
                <w:sz w:val="17"/>
                <w:szCs w:val="17"/>
                <w:color w:val="auto"/>
              </w:rPr>
            </w:pPr>
          </w:p>
        </w:tc>
        <w:tc>
          <w:tcPr>
            <w:tcW w:w="2280" w:type="dxa"/>
            <w:vAlign w:val="bottom"/>
            <w:tcBorders>
              <w:bottom w:val="single" w:sz="8" w:color="auto"/>
            </w:tcBorders>
          </w:tcPr>
          <w:p>
            <w:pPr>
              <w:spacing w:after="0"/>
              <w:rPr>
                <w:sz w:val="17"/>
                <w:szCs w:val="17"/>
                <w:color w:val="auto"/>
              </w:rPr>
            </w:pPr>
          </w:p>
        </w:tc>
        <w:tc>
          <w:tcPr>
            <w:tcW w:w="228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1820" w:type="dxa"/>
            <w:vAlign w:val="bottom"/>
            <w:tcBorders>
              <w:left w:val="single" w:sz="8" w:color="auto"/>
              <w:bottom w:val="single" w:sz="8" w:color="auto"/>
            </w:tcBorders>
          </w:tcPr>
          <w:p>
            <w:pPr>
              <w:spacing w:after="0"/>
              <w:rPr>
                <w:sz w:val="19"/>
                <w:szCs w:val="19"/>
                <w:color w:val="auto"/>
              </w:rPr>
            </w:pPr>
          </w:p>
        </w:tc>
        <w:tc>
          <w:tcPr>
            <w:tcW w:w="2620" w:type="dxa"/>
            <w:vAlign w:val="bottom"/>
            <w:tcBorders>
              <w:bottom w:val="single" w:sz="8" w:color="auto"/>
            </w:tcBorders>
          </w:tcPr>
          <w:p>
            <w:pPr>
              <w:spacing w:after="0"/>
              <w:rPr>
                <w:sz w:val="19"/>
                <w:szCs w:val="19"/>
                <w:color w:val="auto"/>
              </w:rPr>
            </w:pPr>
          </w:p>
        </w:tc>
        <w:tc>
          <w:tcPr>
            <w:tcW w:w="224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Jan.-Jun. 2020</w:t>
            </w:r>
          </w:p>
        </w:tc>
        <w:tc>
          <w:tcPr>
            <w:tcW w:w="2280" w:type="dxa"/>
            <w:vAlign w:val="bottom"/>
            <w:tcBorders>
              <w:bottom w:val="single" w:sz="8" w:color="auto"/>
            </w:tcBorders>
          </w:tcPr>
          <w:p>
            <w:pPr>
              <w:spacing w:after="0"/>
              <w:rPr>
                <w:sz w:val="19"/>
                <w:szCs w:val="19"/>
                <w:color w:val="auto"/>
              </w:rPr>
            </w:pPr>
          </w:p>
        </w:tc>
        <w:tc>
          <w:tcPr>
            <w:tcW w:w="2280" w:type="dxa"/>
            <w:vAlign w:val="bottom"/>
            <w:tcBorders>
              <w:bottom w:val="single" w:sz="8" w:color="auto"/>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98"/>
        </w:trPr>
        <w:tc>
          <w:tcPr>
            <w:tcW w:w="182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18"/>
                <w:szCs w:val="18"/>
                <w:b w:val="1"/>
                <w:bCs w:val="1"/>
                <w:color w:val="auto"/>
                <w:w w:val="97"/>
              </w:rPr>
              <w:t>Item</w:t>
            </w:r>
          </w:p>
        </w:tc>
        <w:tc>
          <w:tcPr>
            <w:tcW w:w="2620" w:type="dxa"/>
            <w:vAlign w:val="bottom"/>
            <w:tcBorders>
              <w:right w:val="single" w:sz="8" w:color="auto"/>
            </w:tcBorders>
            <w:vMerge w:val="restart"/>
          </w:tcPr>
          <w:p>
            <w:pPr>
              <w:jc w:val="right"/>
              <w:ind w:right="650"/>
              <w:spacing w:after="0"/>
              <w:rPr>
                <w:sz w:val="20"/>
                <w:szCs w:val="20"/>
                <w:color w:val="auto"/>
              </w:rPr>
            </w:pPr>
            <w:r>
              <w:rPr>
                <w:rFonts w:ascii="Arial" w:cs="Arial" w:eastAsia="Arial" w:hAnsi="Arial"/>
                <w:sz w:val="18"/>
                <w:szCs w:val="18"/>
                <w:b w:val="1"/>
                <w:bCs w:val="1"/>
                <w:color w:val="auto"/>
              </w:rPr>
              <w:t>Actual amount</w:t>
            </w:r>
          </w:p>
        </w:tc>
        <w:tc>
          <w:tcPr>
            <w:tcW w:w="2240" w:type="dxa"/>
            <w:vAlign w:val="bottom"/>
            <w:tcBorders>
              <w:right w:val="single" w:sz="8" w:color="auto"/>
            </w:tcBorders>
            <w:vMerge w:val="restart"/>
          </w:tcPr>
          <w:p>
            <w:pPr>
              <w:jc w:val="right"/>
              <w:ind w:right="450"/>
              <w:spacing w:after="0"/>
              <w:rPr>
                <w:sz w:val="20"/>
                <w:szCs w:val="20"/>
                <w:color w:val="auto"/>
              </w:rPr>
            </w:pPr>
            <w:r>
              <w:rPr>
                <w:rFonts w:ascii="Arial" w:cs="Arial" w:eastAsia="Arial" w:hAnsi="Arial"/>
                <w:sz w:val="18"/>
                <w:szCs w:val="18"/>
                <w:b w:val="1"/>
                <w:bCs w:val="1"/>
                <w:color w:val="auto"/>
              </w:rPr>
              <w:t>Analog amount</w:t>
            </w:r>
          </w:p>
        </w:tc>
        <w:tc>
          <w:tcPr>
            <w:tcW w:w="2280" w:type="dxa"/>
            <w:vAlign w:val="bottom"/>
            <w:tcBorders>
              <w:right w:val="single" w:sz="8" w:color="auto"/>
            </w:tcBorders>
          </w:tcPr>
          <w:p>
            <w:pPr>
              <w:jc w:val="center"/>
              <w:spacing w:after="0" w:line="198" w:lineRule="exact"/>
              <w:rPr>
                <w:sz w:val="20"/>
                <w:szCs w:val="20"/>
                <w:color w:val="auto"/>
              </w:rPr>
            </w:pPr>
            <w:r>
              <w:rPr>
                <w:rFonts w:ascii="Arial" w:cs="Arial" w:eastAsia="Arial" w:hAnsi="Arial"/>
                <w:sz w:val="18"/>
                <w:szCs w:val="18"/>
                <w:b w:val="1"/>
                <w:bCs w:val="1"/>
                <w:color w:val="auto"/>
                <w:w w:val="87"/>
              </w:rPr>
              <w:t>Discrepancy</w:t>
            </w:r>
          </w:p>
        </w:tc>
        <w:tc>
          <w:tcPr>
            <w:tcW w:w="2280" w:type="dxa"/>
            <w:vAlign w:val="bottom"/>
            <w:tcBorders>
              <w:right w:val="single" w:sz="8" w:color="auto"/>
            </w:tcBorders>
            <w:vMerge w:val="restart"/>
          </w:tcPr>
          <w:p>
            <w:pPr>
              <w:jc w:val="right"/>
              <w:ind w:right="410"/>
              <w:spacing w:after="0"/>
              <w:rPr>
                <w:sz w:val="20"/>
                <w:szCs w:val="20"/>
                <w:color w:val="auto"/>
              </w:rPr>
            </w:pPr>
            <w:r>
              <w:rPr>
                <w:rFonts w:ascii="Arial" w:cs="Arial" w:eastAsia="Arial" w:hAnsi="Arial"/>
                <w:sz w:val="18"/>
                <w:szCs w:val="18"/>
                <w:b w:val="1"/>
                <w:bCs w:val="1"/>
                <w:color w:val="auto"/>
              </w:rPr>
              <w:t>Discrepancy rate</w:t>
            </w:r>
          </w:p>
        </w:tc>
        <w:tc>
          <w:tcPr>
            <w:tcW w:w="0" w:type="dxa"/>
            <w:vAlign w:val="bottom"/>
          </w:tcPr>
          <w:p>
            <w:pPr>
              <w:spacing w:after="0"/>
              <w:rPr>
                <w:sz w:val="1"/>
                <w:szCs w:val="1"/>
                <w:color w:val="auto"/>
              </w:rPr>
            </w:pPr>
          </w:p>
        </w:tc>
      </w:tr>
      <w:tr>
        <w:trPr>
          <w:trHeight w:val="126"/>
        </w:trPr>
        <w:tc>
          <w:tcPr>
            <w:tcW w:w="1820" w:type="dxa"/>
            <w:vAlign w:val="bottom"/>
            <w:tcBorders>
              <w:left w:val="single" w:sz="8" w:color="auto"/>
              <w:right w:val="single" w:sz="8" w:color="auto"/>
            </w:tcBorders>
            <w:vMerge w:val="continue"/>
          </w:tcPr>
          <w:p>
            <w:pPr>
              <w:spacing w:after="0"/>
              <w:rPr>
                <w:sz w:val="10"/>
                <w:szCs w:val="10"/>
                <w:color w:val="auto"/>
              </w:rPr>
            </w:pPr>
          </w:p>
        </w:tc>
        <w:tc>
          <w:tcPr>
            <w:tcW w:w="2620" w:type="dxa"/>
            <w:vAlign w:val="bottom"/>
            <w:tcBorders>
              <w:right w:val="single" w:sz="8" w:color="auto"/>
            </w:tcBorders>
            <w:vMerge w:val="continue"/>
          </w:tcPr>
          <w:p>
            <w:pPr>
              <w:spacing w:after="0"/>
              <w:rPr>
                <w:sz w:val="10"/>
                <w:szCs w:val="10"/>
                <w:color w:val="auto"/>
              </w:rPr>
            </w:pPr>
          </w:p>
        </w:tc>
        <w:tc>
          <w:tcPr>
            <w:tcW w:w="2240" w:type="dxa"/>
            <w:vAlign w:val="bottom"/>
            <w:tcBorders>
              <w:right w:val="single" w:sz="8" w:color="auto"/>
            </w:tcBorders>
            <w:vMerge w:val="continue"/>
          </w:tcPr>
          <w:p>
            <w:pPr>
              <w:spacing w:after="0"/>
              <w:rPr>
                <w:sz w:val="10"/>
                <w:szCs w:val="10"/>
                <w:color w:val="auto"/>
              </w:rPr>
            </w:pPr>
          </w:p>
        </w:tc>
        <w:tc>
          <w:tcPr>
            <w:tcW w:w="22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b w:val="1"/>
                <w:bCs w:val="1"/>
                <w:color w:val="auto"/>
                <w:w w:val="92"/>
              </w:rPr>
              <w:t>amount</w:t>
            </w:r>
          </w:p>
        </w:tc>
        <w:tc>
          <w:tcPr>
            <w:tcW w:w="2280" w:type="dxa"/>
            <w:vAlign w:val="bottom"/>
            <w:tcBorders>
              <w:right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15"/>
        </w:trPr>
        <w:tc>
          <w:tcPr>
            <w:tcW w:w="1820" w:type="dxa"/>
            <w:vAlign w:val="bottom"/>
            <w:tcBorders>
              <w:left w:val="single" w:sz="8" w:color="auto"/>
              <w:bottom w:val="single" w:sz="8" w:color="auto"/>
              <w:right w:val="single" w:sz="8" w:color="auto"/>
            </w:tcBorders>
          </w:tcPr>
          <w:p>
            <w:pPr>
              <w:spacing w:after="0"/>
              <w:rPr>
                <w:sz w:val="10"/>
                <w:szCs w:val="10"/>
                <w:color w:val="auto"/>
              </w:rPr>
            </w:pPr>
          </w:p>
        </w:tc>
        <w:tc>
          <w:tcPr>
            <w:tcW w:w="2620" w:type="dxa"/>
            <w:vAlign w:val="bottom"/>
            <w:tcBorders>
              <w:bottom w:val="single" w:sz="8" w:color="auto"/>
              <w:right w:val="single" w:sz="8" w:color="auto"/>
            </w:tcBorders>
          </w:tcPr>
          <w:p>
            <w:pPr>
              <w:spacing w:after="0"/>
              <w:rPr>
                <w:sz w:val="10"/>
                <w:szCs w:val="10"/>
                <w:color w:val="auto"/>
              </w:rPr>
            </w:pPr>
          </w:p>
        </w:tc>
        <w:tc>
          <w:tcPr>
            <w:tcW w:w="2240" w:type="dxa"/>
            <w:vAlign w:val="bottom"/>
            <w:tcBorders>
              <w:bottom w:val="single" w:sz="8" w:color="auto"/>
              <w:right w:val="single" w:sz="8" w:color="auto"/>
            </w:tcBorders>
          </w:tcPr>
          <w:p>
            <w:pPr>
              <w:spacing w:after="0"/>
              <w:rPr>
                <w:sz w:val="10"/>
                <w:szCs w:val="10"/>
                <w:color w:val="auto"/>
              </w:rPr>
            </w:pPr>
          </w:p>
        </w:tc>
        <w:tc>
          <w:tcPr>
            <w:tcW w:w="2280" w:type="dxa"/>
            <w:vAlign w:val="bottom"/>
            <w:tcBorders>
              <w:bottom w:val="single" w:sz="8" w:color="auto"/>
              <w:right w:val="single" w:sz="8" w:color="auto"/>
            </w:tcBorders>
            <w:vMerge w:val="continue"/>
          </w:tcPr>
          <w:p>
            <w:pPr>
              <w:spacing w:after="0"/>
              <w:rPr>
                <w:sz w:val="10"/>
                <w:szCs w:val="10"/>
                <w:color w:val="auto"/>
              </w:rPr>
            </w:pPr>
          </w:p>
        </w:tc>
        <w:tc>
          <w:tcPr>
            <w:tcW w:w="2280" w:type="dxa"/>
            <w:vAlign w:val="bottom"/>
            <w:tcBorders>
              <w:bottom w:val="single" w:sz="8" w:color="auto"/>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223"/>
        </w:trPr>
        <w:tc>
          <w:tcPr>
            <w:tcW w:w="182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Operating cost</w:t>
            </w:r>
          </w:p>
        </w:tc>
        <w:tc>
          <w:tcPr>
            <w:tcW w:w="262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19,483.72</w:t>
            </w:r>
          </w:p>
        </w:tc>
        <w:tc>
          <w:tcPr>
            <w:tcW w:w="224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19,843.73</w:t>
            </w:r>
          </w:p>
        </w:tc>
        <w:tc>
          <w:tcPr>
            <w:tcW w:w="228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360.02</w:t>
            </w:r>
          </w:p>
        </w:tc>
        <w:tc>
          <w:tcPr>
            <w:tcW w:w="228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1.85%</w:t>
            </w:r>
          </w:p>
        </w:tc>
        <w:tc>
          <w:tcPr>
            <w:tcW w:w="0" w:type="dxa"/>
            <w:vAlign w:val="bottom"/>
          </w:tcPr>
          <w:p>
            <w:pPr>
              <w:spacing w:after="0"/>
              <w:rPr>
                <w:sz w:val="1"/>
                <w:szCs w:val="1"/>
                <w:color w:val="auto"/>
              </w:rPr>
            </w:pPr>
          </w:p>
        </w:tc>
      </w:tr>
      <w:tr>
        <w:trPr>
          <w:trHeight w:val="223"/>
        </w:trPr>
        <w:tc>
          <w:tcPr>
            <w:tcW w:w="182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91"/>
              </w:rPr>
              <w:t>Total profit</w:t>
            </w:r>
          </w:p>
        </w:tc>
        <w:tc>
          <w:tcPr>
            <w:tcW w:w="262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4,272.93</w:t>
            </w:r>
          </w:p>
        </w:tc>
        <w:tc>
          <w:tcPr>
            <w:tcW w:w="224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3,912.91</w:t>
            </w:r>
          </w:p>
        </w:tc>
        <w:tc>
          <w:tcPr>
            <w:tcW w:w="228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-360.02</w:t>
            </w:r>
          </w:p>
        </w:tc>
        <w:tc>
          <w:tcPr>
            <w:tcW w:w="228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-8.43%</w:t>
            </w:r>
          </w:p>
        </w:tc>
        <w:tc>
          <w:tcPr>
            <w:tcW w:w="0" w:type="dxa"/>
            <w:vAlign w:val="bottom"/>
          </w:tcPr>
          <w:p>
            <w:pPr>
              <w:spacing w:after="0"/>
              <w:rPr>
                <w:sz w:val="1"/>
                <w:szCs w:val="1"/>
                <w:color w:val="auto"/>
              </w:rPr>
            </w:pPr>
          </w:p>
        </w:tc>
      </w:tr>
      <w:tr>
        <w:trPr>
          <w:trHeight w:val="223"/>
        </w:trPr>
        <w:tc>
          <w:tcPr>
            <w:tcW w:w="182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92"/>
              </w:rPr>
              <w:t>Net profit</w:t>
            </w:r>
          </w:p>
        </w:tc>
        <w:tc>
          <w:tcPr>
            <w:tcW w:w="262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3,754.95</w:t>
            </w:r>
          </w:p>
        </w:tc>
        <w:tc>
          <w:tcPr>
            <w:tcW w:w="224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3,448.94</w:t>
            </w:r>
          </w:p>
        </w:tc>
        <w:tc>
          <w:tcPr>
            <w:tcW w:w="228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-306.01</w:t>
            </w:r>
          </w:p>
        </w:tc>
        <w:tc>
          <w:tcPr>
            <w:tcW w:w="228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-8.15%</w:t>
            </w:r>
          </w:p>
        </w:tc>
        <w:tc>
          <w:tcPr>
            <w:tcW w:w="0" w:type="dxa"/>
            <w:vAlign w:val="bottom"/>
          </w:tcPr>
          <w:p>
            <w:pPr>
              <w:spacing w:after="0"/>
              <w:rPr>
                <w:sz w:val="1"/>
                <w:szCs w:val="1"/>
                <w:color w:val="auto"/>
              </w:rPr>
            </w:pPr>
          </w:p>
        </w:tc>
      </w:tr>
      <w:tr>
        <w:trPr>
          <w:trHeight w:val="223"/>
        </w:trPr>
        <w:tc>
          <w:tcPr>
            <w:tcW w:w="1820" w:type="dxa"/>
            <w:vAlign w:val="bottom"/>
            <w:tcBorders>
              <w:left w:val="single" w:sz="8" w:color="auto"/>
              <w:bottom w:val="single" w:sz="8" w:color="auto"/>
            </w:tcBorders>
          </w:tcPr>
          <w:p>
            <w:pPr>
              <w:spacing w:after="0"/>
              <w:rPr>
                <w:sz w:val="19"/>
                <w:szCs w:val="19"/>
                <w:color w:val="auto"/>
              </w:rPr>
            </w:pPr>
          </w:p>
        </w:tc>
        <w:tc>
          <w:tcPr>
            <w:tcW w:w="2620" w:type="dxa"/>
            <w:vAlign w:val="bottom"/>
            <w:tcBorders>
              <w:bottom w:val="single" w:sz="8" w:color="auto"/>
            </w:tcBorders>
          </w:tcPr>
          <w:p>
            <w:pPr>
              <w:spacing w:after="0"/>
              <w:rPr>
                <w:sz w:val="19"/>
                <w:szCs w:val="19"/>
                <w:color w:val="auto"/>
              </w:rPr>
            </w:pPr>
          </w:p>
        </w:tc>
        <w:tc>
          <w:tcPr>
            <w:tcW w:w="2240" w:type="dxa"/>
            <w:vAlign w:val="bottom"/>
            <w:tcBorders>
              <w:bottom w:val="single" w:sz="8" w:color="auto"/>
            </w:tcBorders>
          </w:tcPr>
          <w:p>
            <w:pPr>
              <w:jc w:val="right"/>
              <w:ind w:right="790"/>
              <w:spacing w:after="0"/>
              <w:rPr>
                <w:sz w:val="20"/>
                <w:szCs w:val="20"/>
                <w:color w:val="auto"/>
              </w:rPr>
            </w:pPr>
            <w:r>
              <w:rPr>
                <w:rFonts w:ascii="Arial" w:cs="Arial" w:eastAsia="Arial" w:hAnsi="Arial"/>
                <w:sz w:val="18"/>
                <w:szCs w:val="18"/>
                <w:b w:val="1"/>
                <w:bCs w:val="1"/>
                <w:color w:val="auto"/>
              </w:rPr>
              <w:t>2019</w:t>
            </w:r>
          </w:p>
        </w:tc>
        <w:tc>
          <w:tcPr>
            <w:tcW w:w="2280" w:type="dxa"/>
            <w:vAlign w:val="bottom"/>
            <w:tcBorders>
              <w:bottom w:val="single" w:sz="8" w:color="auto"/>
            </w:tcBorders>
          </w:tcPr>
          <w:p>
            <w:pPr>
              <w:spacing w:after="0"/>
              <w:rPr>
                <w:sz w:val="19"/>
                <w:szCs w:val="19"/>
                <w:color w:val="auto"/>
              </w:rPr>
            </w:pPr>
          </w:p>
        </w:tc>
        <w:tc>
          <w:tcPr>
            <w:tcW w:w="2280" w:type="dxa"/>
            <w:vAlign w:val="bottom"/>
            <w:tcBorders>
              <w:bottom w:val="single" w:sz="8" w:color="auto"/>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98"/>
        </w:trPr>
        <w:tc>
          <w:tcPr>
            <w:tcW w:w="182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18"/>
                <w:szCs w:val="18"/>
                <w:b w:val="1"/>
                <w:bCs w:val="1"/>
                <w:color w:val="auto"/>
                <w:w w:val="97"/>
              </w:rPr>
              <w:t>Item</w:t>
            </w:r>
          </w:p>
        </w:tc>
        <w:tc>
          <w:tcPr>
            <w:tcW w:w="2620" w:type="dxa"/>
            <w:vAlign w:val="bottom"/>
            <w:tcBorders>
              <w:right w:val="single" w:sz="8" w:color="auto"/>
            </w:tcBorders>
            <w:vMerge w:val="restart"/>
          </w:tcPr>
          <w:p>
            <w:pPr>
              <w:jc w:val="right"/>
              <w:ind w:right="650"/>
              <w:spacing w:after="0"/>
              <w:rPr>
                <w:sz w:val="20"/>
                <w:szCs w:val="20"/>
                <w:color w:val="auto"/>
              </w:rPr>
            </w:pPr>
            <w:r>
              <w:rPr>
                <w:rFonts w:ascii="Arial" w:cs="Arial" w:eastAsia="Arial" w:hAnsi="Arial"/>
                <w:sz w:val="18"/>
                <w:szCs w:val="18"/>
                <w:b w:val="1"/>
                <w:bCs w:val="1"/>
                <w:color w:val="auto"/>
              </w:rPr>
              <w:t>Actual amount</w:t>
            </w:r>
          </w:p>
        </w:tc>
        <w:tc>
          <w:tcPr>
            <w:tcW w:w="2240" w:type="dxa"/>
            <w:vAlign w:val="bottom"/>
            <w:tcBorders>
              <w:right w:val="single" w:sz="8" w:color="auto"/>
            </w:tcBorders>
            <w:vMerge w:val="restart"/>
          </w:tcPr>
          <w:p>
            <w:pPr>
              <w:jc w:val="right"/>
              <w:ind w:right="450"/>
              <w:spacing w:after="0"/>
              <w:rPr>
                <w:sz w:val="20"/>
                <w:szCs w:val="20"/>
                <w:color w:val="auto"/>
              </w:rPr>
            </w:pPr>
            <w:r>
              <w:rPr>
                <w:rFonts w:ascii="Arial" w:cs="Arial" w:eastAsia="Arial" w:hAnsi="Arial"/>
                <w:sz w:val="18"/>
                <w:szCs w:val="18"/>
                <w:b w:val="1"/>
                <w:bCs w:val="1"/>
                <w:color w:val="auto"/>
              </w:rPr>
              <w:t>Analog amount</w:t>
            </w:r>
          </w:p>
        </w:tc>
        <w:tc>
          <w:tcPr>
            <w:tcW w:w="2280" w:type="dxa"/>
            <w:vAlign w:val="bottom"/>
            <w:tcBorders>
              <w:right w:val="single" w:sz="8" w:color="auto"/>
            </w:tcBorders>
          </w:tcPr>
          <w:p>
            <w:pPr>
              <w:jc w:val="center"/>
              <w:spacing w:after="0" w:line="198" w:lineRule="exact"/>
              <w:rPr>
                <w:sz w:val="20"/>
                <w:szCs w:val="20"/>
                <w:color w:val="auto"/>
              </w:rPr>
            </w:pPr>
            <w:r>
              <w:rPr>
                <w:rFonts w:ascii="Arial" w:cs="Arial" w:eastAsia="Arial" w:hAnsi="Arial"/>
                <w:sz w:val="18"/>
                <w:szCs w:val="18"/>
                <w:b w:val="1"/>
                <w:bCs w:val="1"/>
                <w:color w:val="auto"/>
                <w:w w:val="87"/>
              </w:rPr>
              <w:t>Discrepancy</w:t>
            </w:r>
          </w:p>
        </w:tc>
        <w:tc>
          <w:tcPr>
            <w:tcW w:w="2280" w:type="dxa"/>
            <w:vAlign w:val="bottom"/>
            <w:tcBorders>
              <w:right w:val="single" w:sz="8" w:color="auto"/>
            </w:tcBorders>
            <w:vMerge w:val="restart"/>
          </w:tcPr>
          <w:p>
            <w:pPr>
              <w:jc w:val="right"/>
              <w:ind w:right="410"/>
              <w:spacing w:after="0"/>
              <w:rPr>
                <w:sz w:val="20"/>
                <w:szCs w:val="20"/>
                <w:color w:val="auto"/>
              </w:rPr>
            </w:pPr>
            <w:r>
              <w:rPr>
                <w:rFonts w:ascii="Arial" w:cs="Arial" w:eastAsia="Arial" w:hAnsi="Arial"/>
                <w:sz w:val="18"/>
                <w:szCs w:val="18"/>
                <w:b w:val="1"/>
                <w:bCs w:val="1"/>
                <w:color w:val="auto"/>
              </w:rPr>
              <w:t>Discrepancy rate</w:t>
            </w:r>
          </w:p>
        </w:tc>
        <w:tc>
          <w:tcPr>
            <w:tcW w:w="0" w:type="dxa"/>
            <w:vAlign w:val="bottom"/>
          </w:tcPr>
          <w:p>
            <w:pPr>
              <w:spacing w:after="0"/>
              <w:rPr>
                <w:sz w:val="1"/>
                <w:szCs w:val="1"/>
                <w:color w:val="auto"/>
              </w:rPr>
            </w:pPr>
          </w:p>
        </w:tc>
      </w:tr>
      <w:tr>
        <w:trPr>
          <w:trHeight w:val="126"/>
        </w:trPr>
        <w:tc>
          <w:tcPr>
            <w:tcW w:w="1820" w:type="dxa"/>
            <w:vAlign w:val="bottom"/>
            <w:tcBorders>
              <w:left w:val="single" w:sz="8" w:color="auto"/>
              <w:right w:val="single" w:sz="8" w:color="auto"/>
            </w:tcBorders>
            <w:vMerge w:val="continue"/>
          </w:tcPr>
          <w:p>
            <w:pPr>
              <w:spacing w:after="0"/>
              <w:rPr>
                <w:sz w:val="10"/>
                <w:szCs w:val="10"/>
                <w:color w:val="auto"/>
              </w:rPr>
            </w:pPr>
          </w:p>
        </w:tc>
        <w:tc>
          <w:tcPr>
            <w:tcW w:w="2620" w:type="dxa"/>
            <w:vAlign w:val="bottom"/>
            <w:tcBorders>
              <w:right w:val="single" w:sz="8" w:color="auto"/>
            </w:tcBorders>
            <w:vMerge w:val="continue"/>
          </w:tcPr>
          <w:p>
            <w:pPr>
              <w:spacing w:after="0"/>
              <w:rPr>
                <w:sz w:val="10"/>
                <w:szCs w:val="10"/>
                <w:color w:val="auto"/>
              </w:rPr>
            </w:pPr>
          </w:p>
        </w:tc>
        <w:tc>
          <w:tcPr>
            <w:tcW w:w="2240" w:type="dxa"/>
            <w:vAlign w:val="bottom"/>
            <w:tcBorders>
              <w:right w:val="single" w:sz="8" w:color="auto"/>
            </w:tcBorders>
            <w:vMerge w:val="continue"/>
          </w:tcPr>
          <w:p>
            <w:pPr>
              <w:spacing w:after="0"/>
              <w:rPr>
                <w:sz w:val="10"/>
                <w:szCs w:val="10"/>
                <w:color w:val="auto"/>
              </w:rPr>
            </w:pPr>
          </w:p>
        </w:tc>
        <w:tc>
          <w:tcPr>
            <w:tcW w:w="22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b w:val="1"/>
                <w:bCs w:val="1"/>
                <w:color w:val="auto"/>
                <w:w w:val="92"/>
              </w:rPr>
              <w:t>amount</w:t>
            </w:r>
          </w:p>
        </w:tc>
        <w:tc>
          <w:tcPr>
            <w:tcW w:w="2280" w:type="dxa"/>
            <w:vAlign w:val="bottom"/>
            <w:tcBorders>
              <w:right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15"/>
        </w:trPr>
        <w:tc>
          <w:tcPr>
            <w:tcW w:w="1820" w:type="dxa"/>
            <w:vAlign w:val="bottom"/>
            <w:tcBorders>
              <w:left w:val="single" w:sz="8" w:color="auto"/>
              <w:bottom w:val="single" w:sz="8" w:color="auto"/>
              <w:right w:val="single" w:sz="8" w:color="auto"/>
            </w:tcBorders>
          </w:tcPr>
          <w:p>
            <w:pPr>
              <w:spacing w:after="0"/>
              <w:rPr>
                <w:sz w:val="10"/>
                <w:szCs w:val="10"/>
                <w:color w:val="auto"/>
              </w:rPr>
            </w:pPr>
          </w:p>
        </w:tc>
        <w:tc>
          <w:tcPr>
            <w:tcW w:w="2620" w:type="dxa"/>
            <w:vAlign w:val="bottom"/>
            <w:tcBorders>
              <w:bottom w:val="single" w:sz="8" w:color="auto"/>
              <w:right w:val="single" w:sz="8" w:color="auto"/>
            </w:tcBorders>
          </w:tcPr>
          <w:p>
            <w:pPr>
              <w:spacing w:after="0"/>
              <w:rPr>
                <w:sz w:val="10"/>
                <w:szCs w:val="10"/>
                <w:color w:val="auto"/>
              </w:rPr>
            </w:pPr>
          </w:p>
        </w:tc>
        <w:tc>
          <w:tcPr>
            <w:tcW w:w="2240" w:type="dxa"/>
            <w:vAlign w:val="bottom"/>
            <w:tcBorders>
              <w:bottom w:val="single" w:sz="8" w:color="auto"/>
              <w:right w:val="single" w:sz="8" w:color="auto"/>
            </w:tcBorders>
          </w:tcPr>
          <w:p>
            <w:pPr>
              <w:spacing w:after="0"/>
              <w:rPr>
                <w:sz w:val="10"/>
                <w:szCs w:val="10"/>
                <w:color w:val="auto"/>
              </w:rPr>
            </w:pPr>
          </w:p>
        </w:tc>
        <w:tc>
          <w:tcPr>
            <w:tcW w:w="2280" w:type="dxa"/>
            <w:vAlign w:val="bottom"/>
            <w:tcBorders>
              <w:bottom w:val="single" w:sz="8" w:color="auto"/>
              <w:right w:val="single" w:sz="8" w:color="auto"/>
            </w:tcBorders>
            <w:vMerge w:val="continue"/>
          </w:tcPr>
          <w:p>
            <w:pPr>
              <w:spacing w:after="0"/>
              <w:rPr>
                <w:sz w:val="10"/>
                <w:szCs w:val="10"/>
                <w:color w:val="auto"/>
              </w:rPr>
            </w:pPr>
          </w:p>
        </w:tc>
        <w:tc>
          <w:tcPr>
            <w:tcW w:w="2280" w:type="dxa"/>
            <w:vAlign w:val="bottom"/>
            <w:tcBorders>
              <w:bottom w:val="single" w:sz="8" w:color="auto"/>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223"/>
        </w:trPr>
        <w:tc>
          <w:tcPr>
            <w:tcW w:w="182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Operating cost</w:t>
            </w:r>
          </w:p>
        </w:tc>
        <w:tc>
          <w:tcPr>
            <w:tcW w:w="262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41,515.84</w:t>
            </w:r>
          </w:p>
        </w:tc>
        <w:tc>
          <w:tcPr>
            <w:tcW w:w="224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41,925.29</w:t>
            </w:r>
          </w:p>
        </w:tc>
        <w:tc>
          <w:tcPr>
            <w:tcW w:w="228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409.45</w:t>
            </w:r>
          </w:p>
        </w:tc>
        <w:tc>
          <w:tcPr>
            <w:tcW w:w="228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0.99%</w:t>
            </w:r>
          </w:p>
        </w:tc>
        <w:tc>
          <w:tcPr>
            <w:tcW w:w="0" w:type="dxa"/>
            <w:vAlign w:val="bottom"/>
          </w:tcPr>
          <w:p>
            <w:pPr>
              <w:spacing w:after="0"/>
              <w:rPr>
                <w:sz w:val="1"/>
                <w:szCs w:val="1"/>
                <w:color w:val="auto"/>
              </w:rPr>
            </w:pPr>
          </w:p>
        </w:tc>
      </w:tr>
      <w:tr>
        <w:trPr>
          <w:trHeight w:val="223"/>
        </w:trPr>
        <w:tc>
          <w:tcPr>
            <w:tcW w:w="182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91"/>
              </w:rPr>
              <w:t>Total profit</w:t>
            </w:r>
          </w:p>
        </w:tc>
        <w:tc>
          <w:tcPr>
            <w:tcW w:w="262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15,311.91</w:t>
            </w:r>
          </w:p>
        </w:tc>
        <w:tc>
          <w:tcPr>
            <w:tcW w:w="224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14,902.46</w:t>
            </w:r>
          </w:p>
        </w:tc>
        <w:tc>
          <w:tcPr>
            <w:tcW w:w="228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-409.45</w:t>
            </w:r>
          </w:p>
        </w:tc>
        <w:tc>
          <w:tcPr>
            <w:tcW w:w="228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-2.67%</w:t>
            </w:r>
          </w:p>
        </w:tc>
        <w:tc>
          <w:tcPr>
            <w:tcW w:w="0" w:type="dxa"/>
            <w:vAlign w:val="bottom"/>
          </w:tcPr>
          <w:p>
            <w:pPr>
              <w:spacing w:after="0"/>
              <w:rPr>
                <w:sz w:val="1"/>
                <w:szCs w:val="1"/>
                <w:color w:val="auto"/>
              </w:rPr>
            </w:pPr>
          </w:p>
        </w:tc>
      </w:tr>
      <w:tr>
        <w:trPr>
          <w:trHeight w:val="223"/>
        </w:trPr>
        <w:tc>
          <w:tcPr>
            <w:tcW w:w="182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92"/>
              </w:rPr>
              <w:t>Net profit</w:t>
            </w:r>
          </w:p>
        </w:tc>
        <w:tc>
          <w:tcPr>
            <w:tcW w:w="262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13,488.73</w:t>
            </w:r>
          </w:p>
        </w:tc>
        <w:tc>
          <w:tcPr>
            <w:tcW w:w="224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13,140.70</w:t>
            </w:r>
          </w:p>
        </w:tc>
        <w:tc>
          <w:tcPr>
            <w:tcW w:w="228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-348.03</w:t>
            </w:r>
          </w:p>
        </w:tc>
        <w:tc>
          <w:tcPr>
            <w:tcW w:w="228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-2.58%</w:t>
            </w:r>
          </w:p>
        </w:tc>
        <w:tc>
          <w:tcPr>
            <w:tcW w:w="0" w:type="dxa"/>
            <w:vAlign w:val="bottom"/>
          </w:tcPr>
          <w:p>
            <w:pPr>
              <w:spacing w:after="0"/>
              <w:rPr>
                <w:sz w:val="1"/>
                <w:szCs w:val="1"/>
                <w:color w:val="auto"/>
              </w:rPr>
            </w:pPr>
          </w:p>
        </w:tc>
      </w:tr>
    </w:tbl>
    <w:p>
      <w:pPr>
        <w:spacing w:after="0" w:line="202" w:lineRule="exact"/>
        <w:rPr>
          <w:sz w:val="20"/>
          <w:szCs w:val="20"/>
          <w:color w:val="auto"/>
        </w:rPr>
      </w:pPr>
    </w:p>
    <w:p>
      <w:pPr>
        <w:jc w:val="both"/>
        <w:ind w:firstLine="324"/>
        <w:spacing w:after="0" w:line="272" w:lineRule="auto"/>
        <w:rPr>
          <w:sz w:val="20"/>
          <w:szCs w:val="20"/>
          <w:color w:val="auto"/>
        </w:rPr>
      </w:pPr>
      <w:r>
        <w:rPr>
          <w:rFonts w:ascii="Arial" w:cs="Arial" w:eastAsia="Arial" w:hAnsi="Arial"/>
          <w:sz w:val="17"/>
          <w:szCs w:val="17"/>
          <w:color w:val="auto"/>
        </w:rPr>
        <w:t>As shown above, for the same type of raw materials, the Company’s purchase price from Shengyi Technology is relatively lower than that from other suppliers, principally because: (1) the raw materials purchased by the Company from other suppliers are produced in developed countries and regions such as the United States, Europe, Japan and Korea, with higher costs in respect to labor, transportation and customs declaration; (2) the air filters, wafer handling platforms and coolers produced by Shengyi Technology have not been localized, with only a few domestic enterprises (including Shengyi Technology) in China capable of producing such products, and the overseas raw material suppliers have strong pricing power; and (3) a small number of liquid filters and CO2 hybrid generators, originating from Mainland China or Taiwan, were sold indirectly by Shengyi Technology, with cost and pricing lower than those of similar products in developed countries and regions.</w:t>
      </w:r>
    </w:p>
    <w:p>
      <w:pPr>
        <w:spacing w:after="0" w:line="204"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Since its establishment, Shengyi Technology has been committed to the localization of key parts of semiconductor equipment, focusing on developing the parts that have not yet been industrialized by domestic enterprises. Before the actual development of products, Shengyi Technology will conduct market research and evaluation thereon, so as to ensure: (1) the products have not been produced by domestic enterprises, with the necessity and market space for localization; and (2) Shengyi Technology can produce similar products at a price at least 30% lower than that of overseas enterprises with reasonable cost and gross profit margin to realize localization of parts through certain price superiority. Therefore, it is understandable that for similar products, Shengyi Technology’s pricing is lower than that of overseas suppliers.</w:t>
      </w:r>
    </w:p>
    <w:p>
      <w:pPr>
        <w:spacing w:after="0" w:line="39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8-4-1-36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0" w:name="page41"/>
    <w:bookmarkEnd w:id="40"/>
    <w:p>
      <w:pPr>
        <w:jc w:val="both"/>
        <w:ind w:firstLine="324"/>
        <w:spacing w:after="0" w:line="241" w:lineRule="auto"/>
        <w:rPr>
          <w:sz w:val="20"/>
          <w:szCs w:val="20"/>
          <w:color w:val="auto"/>
        </w:rPr>
      </w:pPr>
      <w:r>
        <w:rPr>
          <w:rFonts w:ascii="Arial" w:cs="Arial" w:eastAsia="Arial" w:hAnsi="Arial"/>
          <w:sz w:val="22"/>
          <w:szCs w:val="22"/>
          <w:color w:val="auto"/>
        </w:rPr>
        <w:t>By investing in Shengyi Technology, the Company also hopes to jointly develop high-quality, high-standard and cost-effective spare parts products with domestic enterprises to gradually realize the localization of some parts, and then bring the localized high-quality parts to the international market.</w:t>
      </w:r>
    </w:p>
    <w:p>
      <w:pPr>
        <w:spacing w:after="0" w:line="211" w:lineRule="exact"/>
        <w:rPr>
          <w:sz w:val="20"/>
          <w:szCs w:val="20"/>
          <w:color w:val="auto"/>
        </w:rPr>
      </w:pPr>
    </w:p>
    <w:p>
      <w:pPr>
        <w:jc w:val="both"/>
        <w:ind w:firstLine="324"/>
        <w:spacing w:after="0"/>
        <w:rPr>
          <w:sz w:val="20"/>
          <w:szCs w:val="20"/>
          <w:color w:val="auto"/>
        </w:rPr>
      </w:pPr>
      <w:r>
        <w:rPr>
          <w:rFonts w:ascii="Arial" w:cs="Arial" w:eastAsia="Arial" w:hAnsi="Arial"/>
          <w:sz w:val="22"/>
          <w:szCs w:val="22"/>
          <w:color w:val="auto"/>
        </w:rPr>
        <w:t>In 2019, Shengyi Technology did not sell products with identical specifications to other third parties, so there was no comparable data. From January to June in 2020, Shengyi Technology sold coolers of the same specification to the Company and other third-party customers, the price comparison for which is as follows:</w:t>
      </w:r>
    </w:p>
    <w:p>
      <w:pPr>
        <w:spacing w:after="0" w:line="215" w:lineRule="exact"/>
        <w:rPr>
          <w:sz w:val="20"/>
          <w:szCs w:val="20"/>
          <w:color w:val="auto"/>
        </w:rPr>
      </w:pPr>
    </w:p>
    <w:tbl>
      <w:tblPr>
        <w:tblLayout w:type="fixed"/>
        <w:tblInd w:w="10" w:type="dxa"/>
        <w:tblCellMar>
          <w:top w:w="0" w:type="dxa"/>
          <w:left w:w="0" w:type="dxa"/>
          <w:bottom w:w="0" w:type="dxa"/>
          <w:right w:w="0" w:type="dxa"/>
        </w:tblCellMar>
      </w:tblPr>
      <w:tr>
        <w:trPr>
          <w:trHeight w:val="250"/>
        </w:trPr>
        <w:tc>
          <w:tcPr>
            <w:tcW w:w="3320" w:type="dxa"/>
            <w:vAlign w:val="bottom"/>
            <w:tcBorders>
              <w:top w:val="single" w:sz="8" w:color="auto"/>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91"/>
              </w:rPr>
              <w:t>Product</w:t>
            </w:r>
          </w:p>
        </w:tc>
        <w:tc>
          <w:tcPr>
            <w:tcW w:w="370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Corresponding customer</w:t>
            </w:r>
          </w:p>
        </w:tc>
        <w:tc>
          <w:tcPr>
            <w:tcW w:w="422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91"/>
              </w:rPr>
              <w:t>Price index</w:t>
            </w:r>
          </w:p>
        </w:tc>
      </w:tr>
      <w:tr>
        <w:trPr>
          <w:trHeight w:val="223"/>
        </w:trPr>
        <w:tc>
          <w:tcPr>
            <w:tcW w:w="3320" w:type="dxa"/>
            <w:vAlign w:val="bottom"/>
            <w:tcBorders>
              <w:left w:val="single" w:sz="8" w:color="auto"/>
              <w:right w:val="single" w:sz="8" w:color="auto"/>
            </w:tcBorders>
          </w:tcPr>
          <w:p>
            <w:pPr>
              <w:spacing w:after="0"/>
              <w:rPr>
                <w:sz w:val="19"/>
                <w:szCs w:val="19"/>
                <w:color w:val="auto"/>
              </w:rPr>
            </w:pPr>
          </w:p>
        </w:tc>
        <w:tc>
          <w:tcPr>
            <w:tcW w:w="37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1"/>
              </w:rPr>
              <w:t>Other third-party customer 1</w:t>
            </w:r>
          </w:p>
        </w:tc>
        <w:tc>
          <w:tcPr>
            <w:tcW w:w="42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7"/>
              </w:rPr>
              <w:t>105.00</w:t>
            </w:r>
          </w:p>
        </w:tc>
      </w:tr>
      <w:tr>
        <w:trPr>
          <w:trHeight w:val="223"/>
        </w:trPr>
        <w:tc>
          <w:tcPr>
            <w:tcW w:w="332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4"/>
              </w:rPr>
              <w:t>Cooler</w:t>
            </w:r>
          </w:p>
        </w:tc>
        <w:tc>
          <w:tcPr>
            <w:tcW w:w="37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1"/>
              </w:rPr>
              <w:t>Other third-party customer 2</w:t>
            </w:r>
          </w:p>
        </w:tc>
        <w:tc>
          <w:tcPr>
            <w:tcW w:w="42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7"/>
              </w:rPr>
              <w:t>105.00</w:t>
            </w:r>
          </w:p>
        </w:tc>
      </w:tr>
      <w:tr>
        <w:trPr>
          <w:trHeight w:val="223"/>
        </w:trPr>
        <w:tc>
          <w:tcPr>
            <w:tcW w:w="3320" w:type="dxa"/>
            <w:vAlign w:val="bottom"/>
            <w:tcBorders>
              <w:left w:val="single" w:sz="8" w:color="auto"/>
              <w:bottom w:val="single" w:sz="8" w:color="auto"/>
              <w:right w:val="single" w:sz="8" w:color="auto"/>
            </w:tcBorders>
          </w:tcPr>
          <w:p>
            <w:pPr>
              <w:spacing w:after="0"/>
              <w:rPr>
                <w:sz w:val="19"/>
                <w:szCs w:val="19"/>
                <w:color w:val="auto"/>
              </w:rPr>
            </w:pPr>
          </w:p>
        </w:tc>
        <w:tc>
          <w:tcPr>
            <w:tcW w:w="37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0"/>
              </w:rPr>
              <w:t>Company</w:t>
            </w:r>
          </w:p>
        </w:tc>
        <w:tc>
          <w:tcPr>
            <w:tcW w:w="42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7"/>
              </w:rPr>
              <w:t>100.00</w:t>
            </w:r>
          </w:p>
        </w:tc>
      </w:tr>
    </w:tbl>
    <w:p>
      <w:pPr>
        <w:spacing w:after="0" w:line="222" w:lineRule="exact"/>
        <w:rPr>
          <w:sz w:val="20"/>
          <w:szCs w:val="20"/>
          <w:color w:val="auto"/>
        </w:rPr>
      </w:pPr>
    </w:p>
    <w:p>
      <w:pPr>
        <w:jc w:val="both"/>
        <w:ind w:firstLine="324"/>
        <w:spacing w:after="0" w:line="250" w:lineRule="auto"/>
        <w:rPr>
          <w:sz w:val="20"/>
          <w:szCs w:val="20"/>
          <w:color w:val="auto"/>
        </w:rPr>
      </w:pPr>
      <w:r>
        <w:rPr>
          <w:rFonts w:ascii="Arial" w:cs="Arial" w:eastAsia="Arial" w:hAnsi="Arial"/>
          <w:sz w:val="22"/>
          <w:szCs w:val="22"/>
          <w:color w:val="auto"/>
        </w:rPr>
        <w:t>Note: It is assumed that the price of products sold by Shengyi Technology to the Company is 100, based on which the prices to other third parties are calculated.</w:t>
      </w:r>
    </w:p>
    <w:p>
      <w:pPr>
        <w:spacing w:after="0" w:line="209"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color w:val="auto"/>
        </w:rPr>
        <w:t>There is insignificant price difference between the products of the same specification sold by Shengyi Technology to other third-party customers and those to the Company. The price of raw materials purchased by the Company from Shengyi Technology is reasonable.</w:t>
      </w:r>
    </w:p>
    <w:p>
      <w:pPr>
        <w:spacing w:after="0" w:line="197"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In 2019, when Shengyi Technology initiated its operations, its operating income from the Issuer accounted for 63.15% of its total operating income. From January to June 2020, with the expansion of Shengyi Technology’s business scale, the proportion of its operating income from the Issuer has gradually decreased.</w:t>
      </w:r>
    </w:p>
    <w:p>
      <w:pPr>
        <w:spacing w:after="0" w:line="197" w:lineRule="exact"/>
        <w:rPr>
          <w:sz w:val="20"/>
          <w:szCs w:val="20"/>
          <w:color w:val="auto"/>
        </w:rPr>
      </w:pPr>
    </w:p>
    <w:p>
      <w:pPr>
        <w:ind w:left="600" w:hanging="268"/>
        <w:spacing w:after="0"/>
        <w:tabs>
          <w:tab w:leader="none" w:pos="600" w:val="left"/>
        </w:tabs>
        <w:numPr>
          <w:ilvl w:val="0"/>
          <w:numId w:val="32"/>
        </w:numPr>
        <w:rPr>
          <w:rFonts w:ascii="Arial" w:cs="Arial" w:eastAsia="Arial" w:hAnsi="Arial"/>
          <w:sz w:val="22"/>
          <w:szCs w:val="22"/>
          <w:b w:val="1"/>
          <w:bCs w:val="1"/>
          <w:color w:val="auto"/>
        </w:rPr>
      </w:pPr>
      <w:r>
        <w:rPr>
          <w:rFonts w:ascii="Arial" w:cs="Arial" w:eastAsia="Arial" w:hAnsi="Arial"/>
          <w:sz w:val="22"/>
          <w:szCs w:val="22"/>
          <w:b w:val="1"/>
          <w:bCs w:val="1"/>
          <w:color w:val="auto"/>
        </w:rPr>
        <w:t>Verification Procedures and Opinions</w:t>
      </w:r>
    </w:p>
    <w:p>
      <w:pPr>
        <w:spacing w:after="0" w:line="233" w:lineRule="exact"/>
        <w:rPr>
          <w:rFonts w:ascii="Arial" w:cs="Arial" w:eastAsia="Arial" w:hAnsi="Arial"/>
          <w:sz w:val="22"/>
          <w:szCs w:val="22"/>
          <w:b w:val="1"/>
          <w:bCs w:val="1"/>
          <w:color w:val="auto"/>
        </w:rPr>
      </w:pPr>
    </w:p>
    <w:p>
      <w:pPr>
        <w:ind w:left="340"/>
        <w:spacing w:after="0"/>
        <w:rPr>
          <w:rFonts w:ascii="Arial" w:cs="Arial" w:eastAsia="Arial" w:hAnsi="Arial"/>
          <w:sz w:val="22"/>
          <w:szCs w:val="22"/>
          <w:b w:val="1"/>
          <w:bCs w:val="1"/>
          <w:color w:val="auto"/>
        </w:rPr>
      </w:pPr>
      <w:r>
        <w:rPr>
          <w:rFonts w:ascii="Arial" w:cs="Arial" w:eastAsia="Arial" w:hAnsi="Arial"/>
          <w:sz w:val="22"/>
          <w:szCs w:val="22"/>
          <w:b w:val="1"/>
          <w:bCs w:val="1"/>
          <w:color w:val="auto"/>
        </w:rPr>
        <w:t>(i) Verification Procedures</w:t>
      </w:r>
    </w:p>
    <w:p>
      <w:pPr>
        <w:spacing w:after="0" w:line="239" w:lineRule="exact"/>
        <w:rPr>
          <w:sz w:val="20"/>
          <w:szCs w:val="20"/>
          <w:color w:val="auto"/>
        </w:rPr>
      </w:pPr>
    </w:p>
    <w:p>
      <w:pPr>
        <w:ind w:left="340"/>
        <w:spacing w:after="0"/>
        <w:rPr>
          <w:sz w:val="20"/>
          <w:szCs w:val="20"/>
          <w:color w:val="auto"/>
        </w:rPr>
      </w:pPr>
      <w:r>
        <w:rPr>
          <w:rFonts w:ascii="Arial" w:cs="Arial" w:eastAsia="Arial" w:hAnsi="Arial"/>
          <w:sz w:val="22"/>
          <w:szCs w:val="22"/>
          <w:color w:val="auto"/>
        </w:rPr>
        <w:t>Before the release of the Short-sell Report, the Sponsor performed the following verification procedures:</w:t>
      </w:r>
    </w:p>
    <w:p>
      <w:pPr>
        <w:spacing w:after="0" w:line="233" w:lineRule="exact"/>
        <w:rPr>
          <w:sz w:val="20"/>
          <w:szCs w:val="20"/>
          <w:color w:val="auto"/>
        </w:rPr>
      </w:pPr>
    </w:p>
    <w:p>
      <w:pPr>
        <w:ind w:firstLine="332"/>
        <w:spacing w:after="0" w:line="250" w:lineRule="auto"/>
        <w:tabs>
          <w:tab w:leader="none" w:pos="606" w:val="left"/>
        </w:tabs>
        <w:numPr>
          <w:ilvl w:val="0"/>
          <w:numId w:val="33"/>
        </w:numPr>
        <w:rPr>
          <w:rFonts w:ascii="Arial" w:cs="Arial" w:eastAsia="Arial" w:hAnsi="Arial"/>
          <w:sz w:val="22"/>
          <w:szCs w:val="22"/>
          <w:color w:val="auto"/>
        </w:rPr>
      </w:pPr>
      <w:r>
        <w:rPr>
          <w:rFonts w:ascii="Arial" w:cs="Arial" w:eastAsia="Arial" w:hAnsi="Arial"/>
          <w:sz w:val="22"/>
          <w:szCs w:val="22"/>
          <w:color w:val="auto"/>
        </w:rPr>
        <w:t>Reviewing the incorporation documents and register of shareholders of LIDA UK to check the equity structure, shareholders information and equity change of LIDA UK;</w:t>
      </w:r>
    </w:p>
    <w:p>
      <w:pPr>
        <w:spacing w:after="0" w:line="201" w:lineRule="exact"/>
        <w:rPr>
          <w:rFonts w:ascii="Arial" w:cs="Arial" w:eastAsia="Arial" w:hAnsi="Arial"/>
          <w:sz w:val="22"/>
          <w:szCs w:val="22"/>
          <w:color w:val="auto"/>
        </w:rPr>
      </w:pPr>
    </w:p>
    <w:p>
      <w:pPr>
        <w:ind w:left="540" w:hanging="208"/>
        <w:spacing w:after="0"/>
        <w:tabs>
          <w:tab w:leader="none" w:pos="540" w:val="left"/>
        </w:tabs>
        <w:numPr>
          <w:ilvl w:val="0"/>
          <w:numId w:val="33"/>
        </w:numPr>
        <w:rPr>
          <w:rFonts w:ascii="Arial" w:cs="Arial" w:eastAsia="Arial" w:hAnsi="Arial"/>
          <w:sz w:val="22"/>
          <w:szCs w:val="22"/>
          <w:color w:val="auto"/>
        </w:rPr>
      </w:pPr>
      <w:r>
        <w:rPr>
          <w:rFonts w:ascii="Arial" w:cs="Arial" w:eastAsia="Arial" w:hAnsi="Arial"/>
          <w:sz w:val="22"/>
          <w:szCs w:val="22"/>
          <w:color w:val="auto"/>
        </w:rPr>
        <w:t>Interviewing BEIYI WANG to understand the operation and management of LIDA UK;</w:t>
      </w:r>
    </w:p>
    <w:p>
      <w:pPr>
        <w:spacing w:after="0" w:line="240" w:lineRule="exact"/>
        <w:rPr>
          <w:rFonts w:ascii="Arial" w:cs="Arial" w:eastAsia="Arial" w:hAnsi="Arial"/>
          <w:sz w:val="22"/>
          <w:szCs w:val="22"/>
          <w:color w:val="auto"/>
        </w:rPr>
      </w:pPr>
    </w:p>
    <w:p>
      <w:pPr>
        <w:ind w:left="520" w:hanging="188"/>
        <w:spacing w:after="0"/>
        <w:tabs>
          <w:tab w:leader="none" w:pos="520" w:val="left"/>
        </w:tabs>
        <w:numPr>
          <w:ilvl w:val="0"/>
          <w:numId w:val="33"/>
        </w:numPr>
        <w:rPr>
          <w:rFonts w:ascii="Arial" w:cs="Arial" w:eastAsia="Arial" w:hAnsi="Arial"/>
          <w:sz w:val="17"/>
          <w:szCs w:val="17"/>
          <w:color w:val="auto"/>
        </w:rPr>
      </w:pPr>
      <w:r>
        <w:rPr>
          <w:rFonts w:ascii="Arial" w:cs="Arial" w:eastAsia="Arial" w:hAnsi="Arial"/>
          <w:sz w:val="17"/>
          <w:szCs w:val="17"/>
          <w:color w:val="auto"/>
        </w:rPr>
        <w:t>Checking the registers of employees of the Issuer and ACMR to determine whether BEIYI WANG had ever worked in the Issuer and ACMR;</w:t>
      </w:r>
    </w:p>
    <w:p>
      <w:pPr>
        <w:spacing w:after="0" w:line="256" w:lineRule="exact"/>
        <w:rPr>
          <w:rFonts w:ascii="Arial" w:cs="Arial" w:eastAsia="Arial" w:hAnsi="Arial"/>
          <w:sz w:val="17"/>
          <w:szCs w:val="17"/>
          <w:color w:val="auto"/>
        </w:rPr>
      </w:pPr>
    </w:p>
    <w:p>
      <w:pPr>
        <w:ind w:firstLine="332"/>
        <w:spacing w:after="0" w:line="250" w:lineRule="auto"/>
        <w:tabs>
          <w:tab w:leader="none" w:pos="540" w:val="left"/>
        </w:tabs>
        <w:numPr>
          <w:ilvl w:val="0"/>
          <w:numId w:val="33"/>
        </w:numPr>
        <w:rPr>
          <w:rFonts w:ascii="Arial" w:cs="Arial" w:eastAsia="Arial" w:hAnsi="Arial"/>
          <w:sz w:val="22"/>
          <w:szCs w:val="22"/>
          <w:color w:val="auto"/>
        </w:rPr>
      </w:pPr>
      <w:r>
        <w:rPr>
          <w:rFonts w:ascii="Arial" w:cs="Arial" w:eastAsia="Arial" w:hAnsi="Arial"/>
          <w:sz w:val="22"/>
          <w:szCs w:val="22"/>
          <w:color w:val="auto"/>
        </w:rPr>
        <w:t>Reviewing the sales agency contracts and other relevant materials, checking the main obligations and rights thereunder, and reexamining the standards of making provisions for agency fees;</w:t>
      </w:r>
    </w:p>
    <w:p>
      <w:pPr>
        <w:spacing w:after="0" w:line="201" w:lineRule="exact"/>
        <w:rPr>
          <w:rFonts w:ascii="Arial" w:cs="Arial" w:eastAsia="Arial" w:hAnsi="Arial"/>
          <w:sz w:val="22"/>
          <w:szCs w:val="22"/>
          <w:color w:val="auto"/>
        </w:rPr>
      </w:pPr>
    </w:p>
    <w:p>
      <w:pPr>
        <w:ind w:right="20" w:firstLine="332"/>
        <w:spacing w:after="0" w:line="250" w:lineRule="auto"/>
        <w:tabs>
          <w:tab w:leader="none" w:pos="558" w:val="left"/>
        </w:tabs>
        <w:numPr>
          <w:ilvl w:val="0"/>
          <w:numId w:val="33"/>
        </w:numPr>
        <w:rPr>
          <w:rFonts w:ascii="Arial" w:cs="Arial" w:eastAsia="Arial" w:hAnsi="Arial"/>
          <w:sz w:val="22"/>
          <w:szCs w:val="22"/>
          <w:color w:val="auto"/>
        </w:rPr>
      </w:pPr>
      <w:r>
        <w:rPr>
          <w:rFonts w:ascii="Arial" w:cs="Arial" w:eastAsia="Arial" w:hAnsi="Arial"/>
          <w:sz w:val="22"/>
          <w:szCs w:val="22"/>
          <w:color w:val="auto"/>
        </w:rPr>
        <w:t>Having access to the breakdown of commissions to check the accuracy of provisions made for sales commissions in the Reporting Period;</w:t>
      </w:r>
    </w:p>
    <w:p>
      <w:pPr>
        <w:spacing w:after="0" w:line="201" w:lineRule="exact"/>
        <w:rPr>
          <w:rFonts w:ascii="Arial" w:cs="Arial" w:eastAsia="Arial" w:hAnsi="Arial"/>
          <w:sz w:val="22"/>
          <w:szCs w:val="22"/>
          <w:color w:val="auto"/>
        </w:rPr>
      </w:pPr>
    </w:p>
    <w:p>
      <w:pPr>
        <w:ind w:left="540" w:hanging="208"/>
        <w:spacing w:after="0"/>
        <w:tabs>
          <w:tab w:leader="none" w:pos="540" w:val="left"/>
        </w:tabs>
        <w:numPr>
          <w:ilvl w:val="0"/>
          <w:numId w:val="33"/>
        </w:numPr>
        <w:rPr>
          <w:rFonts w:ascii="Arial" w:cs="Arial" w:eastAsia="Arial" w:hAnsi="Arial"/>
          <w:sz w:val="22"/>
          <w:szCs w:val="22"/>
          <w:color w:val="auto"/>
        </w:rPr>
      </w:pPr>
      <w:r>
        <w:rPr>
          <w:rFonts w:ascii="Arial" w:cs="Arial" w:eastAsia="Arial" w:hAnsi="Arial"/>
          <w:sz w:val="22"/>
          <w:szCs w:val="22"/>
          <w:color w:val="auto"/>
        </w:rPr>
        <w:t>Checking the sales contracts between the Company and its customers and the payment collection situation;</w:t>
      </w: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8-4-1-37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41" w:name="page42"/>
    <w:bookmarkEnd w:id="41"/>
    <w:p>
      <w:pPr>
        <w:ind w:firstLine="332"/>
        <w:spacing w:after="0" w:line="251" w:lineRule="auto"/>
        <w:tabs>
          <w:tab w:leader="none" w:pos="588" w:val="left"/>
        </w:tabs>
        <w:numPr>
          <w:ilvl w:val="0"/>
          <w:numId w:val="34"/>
        </w:numPr>
        <w:rPr>
          <w:rFonts w:ascii="Arial" w:cs="Arial" w:eastAsia="Arial" w:hAnsi="Arial"/>
          <w:sz w:val="22"/>
          <w:szCs w:val="22"/>
          <w:color w:val="auto"/>
        </w:rPr>
      </w:pPr>
      <w:r>
        <w:rPr>
          <w:rFonts w:ascii="Arial" w:cs="Arial" w:eastAsia="Arial" w:hAnsi="Arial"/>
          <w:sz w:val="22"/>
          <w:szCs w:val="22"/>
          <w:color w:val="auto"/>
        </w:rPr>
        <w:t>Interviewing the Company’s key customers to understand their purchases of the Company’s products and payments therefor;</w:t>
      </w:r>
    </w:p>
    <w:p>
      <w:pPr>
        <w:spacing w:after="0" w:line="207" w:lineRule="exact"/>
        <w:rPr>
          <w:rFonts w:ascii="Arial" w:cs="Arial" w:eastAsia="Arial" w:hAnsi="Arial"/>
          <w:sz w:val="22"/>
          <w:szCs w:val="22"/>
          <w:color w:val="auto"/>
        </w:rPr>
      </w:pPr>
    </w:p>
    <w:p>
      <w:pPr>
        <w:ind w:left="520" w:hanging="188"/>
        <w:spacing w:after="0"/>
        <w:tabs>
          <w:tab w:leader="none" w:pos="520" w:val="left"/>
        </w:tabs>
        <w:numPr>
          <w:ilvl w:val="0"/>
          <w:numId w:val="34"/>
        </w:numPr>
        <w:rPr>
          <w:rFonts w:ascii="Arial" w:cs="Arial" w:eastAsia="Arial" w:hAnsi="Arial"/>
          <w:sz w:val="16"/>
          <w:szCs w:val="16"/>
          <w:color w:val="auto"/>
        </w:rPr>
      </w:pPr>
      <w:r>
        <w:rPr>
          <w:rFonts w:ascii="Arial" w:cs="Arial" w:eastAsia="Arial" w:hAnsi="Arial"/>
          <w:sz w:val="16"/>
          <w:szCs w:val="16"/>
          <w:color w:val="auto"/>
        </w:rPr>
        <w:t>Having access to the purchase details of the Issuer from Shengyi Technology, comparing the unit price of raw materials purchased from Shengyi</w:t>
      </w:r>
    </w:p>
    <w:p>
      <w:pPr>
        <w:spacing w:after="0" w:line="46" w:lineRule="exact"/>
        <w:rPr>
          <w:sz w:val="20"/>
          <w:szCs w:val="20"/>
          <w:color w:val="auto"/>
        </w:rPr>
      </w:pPr>
    </w:p>
    <w:p>
      <w:pPr>
        <w:spacing w:after="0" w:line="260" w:lineRule="auto"/>
        <w:rPr>
          <w:sz w:val="20"/>
          <w:szCs w:val="20"/>
          <w:color w:val="auto"/>
        </w:rPr>
      </w:pPr>
      <w:r>
        <w:rPr>
          <w:rFonts w:ascii="Arial" w:cs="Arial" w:eastAsia="Arial" w:hAnsi="Arial"/>
          <w:sz w:val="18"/>
          <w:szCs w:val="18"/>
          <w:color w:val="auto"/>
        </w:rPr>
        <w:t>Technology with that from other suppliers for analysis, and reexamining the fairness of the purchase price; checking the price level of products with the same specification sold by Shengyi Technology to other third parties to reexamine the fairness of the sales price; and</w:t>
      </w:r>
    </w:p>
    <w:p>
      <w:pPr>
        <w:spacing w:after="0" w:line="212" w:lineRule="exact"/>
        <w:rPr>
          <w:sz w:val="20"/>
          <w:szCs w:val="20"/>
          <w:color w:val="auto"/>
        </w:rPr>
      </w:pPr>
    </w:p>
    <w:p>
      <w:pPr>
        <w:ind w:firstLine="332"/>
        <w:spacing w:after="0" w:line="308" w:lineRule="auto"/>
        <w:tabs>
          <w:tab w:leader="none" w:pos="504" w:val="left"/>
        </w:tabs>
        <w:numPr>
          <w:ilvl w:val="0"/>
          <w:numId w:val="35"/>
        </w:numPr>
        <w:rPr>
          <w:rFonts w:ascii="Arial" w:cs="Arial" w:eastAsia="Arial" w:hAnsi="Arial"/>
          <w:sz w:val="17"/>
          <w:szCs w:val="17"/>
          <w:color w:val="auto"/>
        </w:rPr>
      </w:pPr>
      <w:r>
        <w:rPr>
          <w:rFonts w:ascii="Arial" w:cs="Arial" w:eastAsia="Arial" w:hAnsi="Arial"/>
          <w:sz w:val="17"/>
          <w:szCs w:val="17"/>
          <w:color w:val="auto"/>
        </w:rPr>
        <w:t>Having access to the financial statements of Shengyi Technology in 2019 to analyze the composition and sales prices of its key customers generating its operating incomes; checking the sales situation and key customers composition of Shengyi Technology from January to June 2020.</w:t>
      </w:r>
    </w:p>
    <w:p>
      <w:pPr>
        <w:spacing w:after="0" w:line="173" w:lineRule="exact"/>
        <w:rPr>
          <w:sz w:val="20"/>
          <w:szCs w:val="20"/>
          <w:color w:val="auto"/>
        </w:rPr>
      </w:pPr>
    </w:p>
    <w:p>
      <w:pPr>
        <w:ind w:left="340"/>
        <w:spacing w:after="0"/>
        <w:rPr>
          <w:sz w:val="20"/>
          <w:szCs w:val="20"/>
          <w:color w:val="auto"/>
        </w:rPr>
      </w:pPr>
      <w:r>
        <w:rPr>
          <w:rFonts w:ascii="Arial" w:cs="Arial" w:eastAsia="Arial" w:hAnsi="Arial"/>
          <w:sz w:val="17"/>
          <w:szCs w:val="17"/>
          <w:color w:val="auto"/>
        </w:rPr>
        <w:t>After the release of the Short-sell Report, the Sponsor performed the following further procedures with respect to the Company’s agent LIDA:</w:t>
      </w:r>
    </w:p>
    <w:p>
      <w:pPr>
        <w:spacing w:after="0" w:line="264" w:lineRule="exact"/>
        <w:rPr>
          <w:sz w:val="20"/>
          <w:szCs w:val="20"/>
          <w:color w:val="auto"/>
        </w:rPr>
      </w:pPr>
    </w:p>
    <w:p>
      <w:pPr>
        <w:ind w:firstLine="332"/>
        <w:spacing w:after="0" w:line="277" w:lineRule="auto"/>
        <w:tabs>
          <w:tab w:leader="none" w:pos="530" w:val="left"/>
        </w:tabs>
        <w:numPr>
          <w:ilvl w:val="0"/>
          <w:numId w:val="36"/>
        </w:numPr>
        <w:rPr>
          <w:rFonts w:ascii="Arial" w:cs="Arial" w:eastAsia="Arial" w:hAnsi="Arial"/>
          <w:sz w:val="18"/>
          <w:szCs w:val="18"/>
          <w:color w:val="auto"/>
        </w:rPr>
      </w:pPr>
      <w:r>
        <w:rPr>
          <w:rFonts w:ascii="Arial" w:cs="Arial" w:eastAsia="Arial" w:hAnsi="Arial"/>
          <w:sz w:val="18"/>
          <w:szCs w:val="18"/>
          <w:color w:val="auto"/>
        </w:rPr>
        <w:t>Interviewing BEIYI WANG again to see whether there is any kinship, related-party relationship, concerted action or other special relationship between ZHENG LIU and MEIXIN XU, shareholders of LIDA UK, and BEIYI WANG;</w:t>
      </w:r>
    </w:p>
    <w:p>
      <w:pPr>
        <w:spacing w:after="0" w:line="197" w:lineRule="exact"/>
        <w:rPr>
          <w:rFonts w:ascii="Arial" w:cs="Arial" w:eastAsia="Arial" w:hAnsi="Arial"/>
          <w:sz w:val="18"/>
          <w:szCs w:val="18"/>
          <w:color w:val="auto"/>
        </w:rPr>
      </w:pPr>
    </w:p>
    <w:p>
      <w:pPr>
        <w:ind w:firstLine="332"/>
        <w:spacing w:after="0" w:line="277" w:lineRule="auto"/>
        <w:tabs>
          <w:tab w:leader="none" w:pos="511" w:val="left"/>
        </w:tabs>
        <w:numPr>
          <w:ilvl w:val="0"/>
          <w:numId w:val="36"/>
        </w:numPr>
        <w:rPr>
          <w:rFonts w:ascii="Arial" w:cs="Arial" w:eastAsia="Arial" w:hAnsi="Arial"/>
          <w:sz w:val="18"/>
          <w:szCs w:val="18"/>
          <w:color w:val="auto"/>
        </w:rPr>
      </w:pPr>
      <w:r>
        <w:rPr>
          <w:rFonts w:ascii="Arial" w:cs="Arial" w:eastAsia="Arial" w:hAnsi="Arial"/>
          <w:sz w:val="18"/>
          <w:szCs w:val="18"/>
          <w:color w:val="auto"/>
        </w:rPr>
        <w:t>Rechecking the registers of employees of ACMR and the Issuer to see whether there is a person named ZHENG LIU who holds or has ever held a position in ACMR or the Issuer; and</w:t>
      </w:r>
    </w:p>
    <w:p>
      <w:pPr>
        <w:spacing w:after="0" w:line="197" w:lineRule="exact"/>
        <w:rPr>
          <w:rFonts w:ascii="Arial" w:cs="Arial" w:eastAsia="Arial" w:hAnsi="Arial"/>
          <w:sz w:val="18"/>
          <w:szCs w:val="18"/>
          <w:color w:val="auto"/>
        </w:rPr>
      </w:pPr>
    </w:p>
    <w:p>
      <w:pPr>
        <w:ind w:firstLine="332"/>
        <w:spacing w:after="0" w:line="277" w:lineRule="auto"/>
        <w:tabs>
          <w:tab w:leader="none" w:pos="525" w:val="left"/>
        </w:tabs>
        <w:numPr>
          <w:ilvl w:val="0"/>
          <w:numId w:val="36"/>
        </w:numPr>
        <w:rPr>
          <w:rFonts w:ascii="Arial" w:cs="Arial" w:eastAsia="Arial" w:hAnsi="Arial"/>
          <w:sz w:val="18"/>
          <w:szCs w:val="18"/>
          <w:color w:val="auto"/>
        </w:rPr>
      </w:pPr>
      <w:r>
        <w:rPr>
          <w:rFonts w:ascii="Arial" w:cs="Arial" w:eastAsia="Arial" w:hAnsi="Arial"/>
          <w:sz w:val="18"/>
          <w:szCs w:val="18"/>
          <w:color w:val="auto"/>
        </w:rPr>
        <w:t>Interviewing FUPING CHEN, sales director of the Company, to understand the sales staff of ACMR and whether LIDA TECHNOLOGY CO., LIMITED had skimmed money from the Company and booked some of the sales into its own account.</w:t>
      </w:r>
    </w:p>
    <w:p>
      <w:pPr>
        <w:spacing w:after="0" w:line="193"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(ii) Verification Opinions</w:t>
      </w:r>
    </w:p>
    <w:p>
      <w:pPr>
        <w:spacing w:after="0" w:line="256" w:lineRule="exact"/>
        <w:rPr>
          <w:sz w:val="20"/>
          <w:szCs w:val="20"/>
          <w:color w:val="auto"/>
        </w:rPr>
      </w:pPr>
    </w:p>
    <w:p>
      <w:pPr>
        <w:ind w:left="340"/>
        <w:spacing w:after="0"/>
        <w:rPr>
          <w:sz w:val="20"/>
          <w:szCs w:val="20"/>
          <w:color w:val="auto"/>
        </w:rPr>
      </w:pPr>
      <w:r>
        <w:rPr>
          <w:rFonts w:ascii="Arial" w:cs="Arial" w:eastAsia="Arial" w:hAnsi="Arial"/>
          <w:sz w:val="18"/>
          <w:szCs w:val="18"/>
          <w:color w:val="auto"/>
        </w:rPr>
        <w:t>Upon verification, the Sponsor opines that:</w:t>
      </w:r>
    </w:p>
    <w:p>
      <w:pPr>
        <w:spacing w:after="0" w:line="252" w:lineRule="exact"/>
        <w:rPr>
          <w:sz w:val="20"/>
          <w:szCs w:val="20"/>
          <w:color w:val="auto"/>
        </w:rPr>
      </w:pPr>
    </w:p>
    <w:p>
      <w:pPr>
        <w:ind w:left="520" w:hanging="188"/>
        <w:spacing w:after="0"/>
        <w:tabs>
          <w:tab w:leader="none" w:pos="520" w:val="left"/>
        </w:tabs>
        <w:numPr>
          <w:ilvl w:val="0"/>
          <w:numId w:val="37"/>
        </w:numPr>
        <w:rPr>
          <w:rFonts w:ascii="Arial" w:cs="Arial" w:eastAsia="Arial" w:hAnsi="Arial"/>
          <w:sz w:val="18"/>
          <w:szCs w:val="18"/>
          <w:color w:val="auto"/>
        </w:rPr>
      </w:pPr>
      <w:r>
        <w:rPr>
          <w:rFonts w:ascii="Arial" w:cs="Arial" w:eastAsia="Arial" w:hAnsi="Arial"/>
          <w:sz w:val="18"/>
          <w:szCs w:val="18"/>
          <w:color w:val="auto"/>
        </w:rPr>
        <w:t>ZHENG LIU, a shareholder of LIDA UK, has not held or ever held any position in ACMR or the Issuer;</w:t>
      </w:r>
    </w:p>
    <w:p>
      <w:pPr>
        <w:spacing w:after="0" w:line="252" w:lineRule="exact"/>
        <w:rPr>
          <w:rFonts w:ascii="Arial" w:cs="Arial" w:eastAsia="Arial" w:hAnsi="Arial"/>
          <w:sz w:val="18"/>
          <w:szCs w:val="18"/>
          <w:color w:val="auto"/>
        </w:rPr>
      </w:pPr>
    </w:p>
    <w:p>
      <w:pPr>
        <w:ind w:left="520" w:hanging="188"/>
        <w:spacing w:after="0"/>
        <w:tabs>
          <w:tab w:leader="none" w:pos="520" w:val="left"/>
        </w:tabs>
        <w:numPr>
          <w:ilvl w:val="0"/>
          <w:numId w:val="37"/>
        </w:numPr>
        <w:rPr>
          <w:rFonts w:ascii="Arial" w:cs="Arial" w:eastAsia="Arial" w:hAnsi="Arial"/>
          <w:sz w:val="17"/>
          <w:szCs w:val="17"/>
          <w:color w:val="auto"/>
        </w:rPr>
      </w:pPr>
      <w:r>
        <w:rPr>
          <w:rFonts w:ascii="Arial" w:cs="Arial" w:eastAsia="Arial" w:hAnsi="Arial"/>
          <w:sz w:val="17"/>
          <w:szCs w:val="17"/>
          <w:color w:val="auto"/>
        </w:rPr>
        <w:t>LIDA TECHNOLOGY CO., LIMITED has never skimmed money from the Company or recorded any of the sales into its own account; and</w:t>
      </w:r>
    </w:p>
    <w:p>
      <w:pPr>
        <w:spacing w:after="0" w:line="263" w:lineRule="exact"/>
        <w:rPr>
          <w:rFonts w:ascii="Arial" w:cs="Arial" w:eastAsia="Arial" w:hAnsi="Arial"/>
          <w:sz w:val="17"/>
          <w:szCs w:val="17"/>
          <w:color w:val="auto"/>
        </w:rPr>
      </w:pPr>
    </w:p>
    <w:p>
      <w:pPr>
        <w:ind w:left="520" w:hanging="188"/>
        <w:spacing w:after="0"/>
        <w:tabs>
          <w:tab w:leader="none" w:pos="520" w:val="left"/>
        </w:tabs>
        <w:numPr>
          <w:ilvl w:val="0"/>
          <w:numId w:val="37"/>
        </w:numPr>
        <w:rPr>
          <w:rFonts w:ascii="Arial" w:cs="Arial" w:eastAsia="Arial" w:hAnsi="Arial"/>
          <w:sz w:val="16"/>
          <w:szCs w:val="16"/>
          <w:color w:val="auto"/>
        </w:rPr>
      </w:pPr>
      <w:r>
        <w:rPr>
          <w:rFonts w:ascii="Arial" w:cs="Arial" w:eastAsia="Arial" w:hAnsi="Arial"/>
          <w:sz w:val="16"/>
          <w:szCs w:val="16"/>
          <w:color w:val="auto"/>
        </w:rPr>
        <w:t>The transactions between the Company and Shengyi Technology were in line with the Company’s development strategy with fair transaction price.</w:t>
      </w:r>
    </w:p>
    <w:p>
      <w:pPr>
        <w:spacing w:after="0" w:line="271" w:lineRule="exact"/>
        <w:rPr>
          <w:sz w:val="20"/>
          <w:szCs w:val="20"/>
          <w:color w:val="auto"/>
        </w:rPr>
      </w:pPr>
    </w:p>
    <w:p>
      <w:pPr>
        <w:ind w:left="340" w:right="2700" w:hanging="8"/>
        <w:spacing w:after="0" w:line="534" w:lineRule="auto"/>
        <w:tabs>
          <w:tab w:leader="none" w:pos="520" w:val="left"/>
        </w:tabs>
        <w:numPr>
          <w:ilvl w:val="0"/>
          <w:numId w:val="38"/>
        </w:numPr>
        <w:rPr>
          <w:rFonts w:ascii="Arial" w:cs="Arial" w:eastAsia="Arial" w:hAnsi="Arial"/>
          <w:sz w:val="18"/>
          <w:szCs w:val="18"/>
          <w:b w:val="1"/>
          <w:bCs w:val="1"/>
          <w:color w:val="auto"/>
        </w:rPr>
      </w:pPr>
      <w:r>
        <w:rPr>
          <w:rFonts w:ascii="Arial" w:cs="Arial" w:eastAsia="Arial" w:hAnsi="Arial"/>
          <w:sz w:val="18"/>
          <w:szCs w:val="18"/>
          <w:b w:val="1"/>
          <w:bCs w:val="1"/>
          <w:color w:val="auto"/>
        </w:rPr>
        <w:t>Core Challenge 5: About NINEBELL (Index of Verification in Response to the Short-sell Report, No. 32) Challenge in the Short-sell Report (Short-sell Report, pp. 35-37):</w:t>
      </w:r>
    </w:p>
    <w:p>
      <w:pPr>
        <w:spacing w:after="0" w:line="1" w:lineRule="exact"/>
        <w:rPr>
          <w:sz w:val="20"/>
          <w:szCs w:val="20"/>
          <w:color w:val="auto"/>
        </w:rPr>
      </w:pPr>
    </w:p>
    <w:p>
      <w:pPr>
        <w:jc w:val="both"/>
        <w:ind w:firstLine="324"/>
        <w:spacing w:after="0" w:line="301" w:lineRule="auto"/>
        <w:rPr>
          <w:sz w:val="20"/>
          <w:szCs w:val="20"/>
          <w:color w:val="auto"/>
        </w:rPr>
      </w:pPr>
      <w:r>
        <w:rPr>
          <w:rFonts w:ascii="Arial" w:cs="Arial" w:eastAsia="Arial" w:hAnsi="Arial"/>
          <w:sz w:val="16"/>
          <w:szCs w:val="16"/>
          <w:color w:val="auto"/>
        </w:rPr>
        <w:t>“NINEBELL. We have evidence that NINEBELL is buying the robotic arms it sells to ACMR from a Japanese supplier. Curiously, with $8.9 mln in purchases, ACMR could not have obtained even half of its robotic arm assemblies from NINEBELL. We learned in a lengthy interview that the assemblies cost about $650,000. At this price, the 2019 value of procurement would have paid for 14 robotic arms at most, while the company used at least 32. But our investigator visited Ninebell in the Seongnam suburb of Seoul and found that the company was buying robotic arms from the Japanese company Yaskawa.”</w:t>
      </w:r>
    </w:p>
    <w:p>
      <w:pPr>
        <w:spacing w:after="0" w:line="35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8-4-1-38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42" w:name="page43"/>
    <w:bookmarkEnd w:id="42"/>
    <w:p>
      <w:pPr>
        <w:ind w:left="340"/>
        <w:spacing w:after="0"/>
        <w:rPr>
          <w:sz w:val="20"/>
          <w:szCs w:val="20"/>
          <w:color w:val="auto"/>
        </w:rPr>
      </w:pPr>
      <w:r>
        <w:rPr>
          <w:rFonts w:ascii="Arial" w:cs="Arial" w:eastAsia="Arial" w:hAnsi="Arial"/>
          <w:sz w:val="22"/>
          <w:szCs w:val="22"/>
          <w:b w:val="1"/>
          <w:bCs w:val="1"/>
          <w:color w:val="auto"/>
        </w:rPr>
        <w:t>Response:</w:t>
      </w:r>
    </w:p>
    <w:p>
      <w:pPr>
        <w:spacing w:after="0" w:line="234" w:lineRule="exact"/>
        <w:rPr>
          <w:sz w:val="20"/>
          <w:szCs w:val="20"/>
          <w:color w:val="auto"/>
        </w:rPr>
      </w:pPr>
    </w:p>
    <w:p>
      <w:pPr>
        <w:ind w:left="340"/>
        <w:spacing w:after="0"/>
        <w:rPr>
          <w:sz w:val="20"/>
          <w:szCs w:val="20"/>
          <w:color w:val="auto"/>
        </w:rPr>
      </w:pPr>
      <w:r>
        <w:rPr>
          <w:rFonts w:ascii="Arial" w:cs="Arial" w:eastAsia="Arial" w:hAnsi="Arial"/>
          <w:sz w:val="22"/>
          <w:szCs w:val="22"/>
          <w:b w:val="1"/>
          <w:bCs w:val="1"/>
          <w:color w:val="auto"/>
        </w:rPr>
        <w:t>I. Clarification by the Issuer</w:t>
      </w:r>
    </w:p>
    <w:p>
      <w:pPr>
        <w:spacing w:after="0" w:line="246"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The transaction between the Company and NINEBELL is valid and the purchase price is accurate. The Company has made disclosure and clarification in “Section VI. IV. (I) Issuer’s Procurement” and “Section VII.X.(I) Recurrent Related-party Transactions” of the Prospectus and “Q15.2” of the Reply to the Letter of First Round Review-related Inquiries. The transactions with NINEBELL are disclosed as follows:</w:t>
      </w:r>
    </w:p>
    <w:p>
      <w:pPr>
        <w:spacing w:after="0" w:line="211" w:lineRule="exact"/>
        <w:rPr>
          <w:sz w:val="20"/>
          <w:szCs w:val="20"/>
          <w:color w:val="auto"/>
        </w:rPr>
      </w:pPr>
    </w:p>
    <w:p>
      <w:pPr>
        <w:jc w:val="both"/>
        <w:ind w:firstLine="324"/>
        <w:spacing w:after="0" w:line="273" w:lineRule="auto"/>
        <w:rPr>
          <w:sz w:val="20"/>
          <w:szCs w:val="20"/>
          <w:color w:val="auto"/>
        </w:rPr>
      </w:pPr>
      <w:r>
        <w:rPr>
          <w:rFonts w:ascii="Arial" w:cs="Arial" w:eastAsia="Arial" w:hAnsi="Arial"/>
          <w:sz w:val="17"/>
          <w:szCs w:val="17"/>
          <w:color w:val="auto"/>
        </w:rPr>
        <w:t>“During the Reporting Period, the Company purchased raw materials such as robotic arms from NINEBELL. The amount of products purchased by the Company from NINEBELL increased with the increase of the Company’s sales amount, which was RMB25.045 million, RMB52.012 million, RMB59.553 million and RMB39.1493 million respectively. NINEBELL is a company focusing on the production of robotic arms with a high level of technology. The Company has been cooperating with NINEBELL given the robotic arms of NINEBELL have a good match with the Company’s products. In September 2017, with a view to further deepening the business cooperation between both parties, ACMR made more investment in NINEBELL and acquired 20% equity of NINEBELL; meanwhile, HUI WANG became a director of the company. ”</w:t>
      </w:r>
    </w:p>
    <w:p>
      <w:pPr>
        <w:spacing w:after="0" w:line="201"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(i) Background of Cooperation between the Issuer and NINEBELL</w:t>
      </w:r>
    </w:p>
    <w:p>
      <w:pPr>
        <w:spacing w:after="0" w:line="256" w:lineRule="exact"/>
        <w:rPr>
          <w:sz w:val="20"/>
          <w:szCs w:val="20"/>
          <w:color w:val="auto"/>
        </w:rPr>
      </w:pPr>
    </w:p>
    <w:p>
      <w:pPr>
        <w:jc w:val="both"/>
        <w:ind w:firstLine="324"/>
        <w:spacing w:after="0" w:line="296" w:lineRule="auto"/>
        <w:rPr>
          <w:sz w:val="20"/>
          <w:szCs w:val="20"/>
          <w:color w:val="auto"/>
        </w:rPr>
      </w:pPr>
      <w:r>
        <w:rPr>
          <w:rFonts w:ascii="Arial" w:cs="Arial" w:eastAsia="Arial" w:hAnsi="Arial"/>
          <w:sz w:val="16"/>
          <w:szCs w:val="16"/>
          <w:color w:val="auto"/>
        </w:rPr>
        <w:t>The robotic arms used in the stress free polishing copper equipment early developed by ACMR, the controlling shareholder of the Issuer, in Silicon Valley are produced by GENMARK. Since the early development stage of cleaning equipment, the Issuer has realized that robotic arms are the core subsystems of such equipment. Considering the distance between Silicon Valley in which GENMARK was located and Shanghai, the Issuer began to look for robotic arm manufacturers in Asia. In Japan, there were very mature suppliers of robotic arms for wet process equipment, but such suppliers were jointly developing robotic arms with Japanese equipment enterprises, blocking the way for the Company to make purchases from them.</w:t>
      </w:r>
    </w:p>
    <w:p>
      <w:pPr>
        <w:spacing w:after="0" w:line="188" w:lineRule="exact"/>
        <w:rPr>
          <w:sz w:val="20"/>
          <w:szCs w:val="20"/>
          <w:color w:val="auto"/>
        </w:rPr>
      </w:pPr>
    </w:p>
    <w:p>
      <w:pPr>
        <w:jc w:val="both"/>
        <w:ind w:firstLine="324"/>
        <w:spacing w:after="0" w:line="270" w:lineRule="auto"/>
        <w:rPr>
          <w:sz w:val="20"/>
          <w:szCs w:val="20"/>
          <w:color w:val="auto"/>
        </w:rPr>
      </w:pPr>
      <w:r>
        <w:rPr>
          <w:rFonts w:ascii="Arial" w:cs="Arial" w:eastAsia="Arial" w:hAnsi="Arial"/>
          <w:sz w:val="17"/>
          <w:szCs w:val="17"/>
          <w:color w:val="auto"/>
        </w:rPr>
        <w:t>Therefore, the Company could only find a limited number of suppliers with a satisfactory technical basis to carry out R&amp;D cooperation. In 2009, the Company began to cooperate with NINEBELL, a company in Korea, and since then NINEBELL has developed robotic arms for the Company according to the special technical requirements of single wafer cleaning equipment put forward by the Issuer, in the course of which NINEBELL was not allowed to sell similar products to the Company’s competitors without the Company’s permission. After ten years of cooperation, NINEBELL has become the Company’s main supplier of robotic arms for cleaning equipment, and the Company has gradually become the key customer of NINEBELL. In 2017, in order to strengthen the long-term partnership between both parties, ACMR made investment and acquired 20% equity in NINEBELL. At the present stage, the robotic arms supplier YASKAWA mentioned in the Short-sell Report have not provided any robotic arm for special wet process equipment with technical specifications required by the Issuer, and the allegation in the report that NINEBELL purchased the robotic arms from YASKAWA at a high price and sold them to the Issuer at a lower price is against fact.</w:t>
      </w:r>
    </w:p>
    <w:p>
      <w:pPr>
        <w:spacing w:after="0" w:line="37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8-4-1-39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2" w:right="339" w:bottom="1440" w:gutter="0" w:footer="0" w:header="0"/>
        </w:sectPr>
      </w:pPr>
    </w:p>
    <w:bookmarkStart w:id="43" w:name="page44"/>
    <w:bookmarkEnd w:id="43"/>
    <w:p>
      <w:pPr>
        <w:ind w:left="340"/>
        <w:spacing w:after="0"/>
        <w:rPr>
          <w:sz w:val="20"/>
          <w:szCs w:val="20"/>
          <w:color w:val="auto"/>
        </w:rPr>
      </w:pPr>
      <w:r>
        <w:rPr>
          <w:rFonts w:ascii="Arial" w:cs="Arial" w:eastAsia="Arial" w:hAnsi="Arial"/>
          <w:sz w:val="22"/>
          <w:szCs w:val="22"/>
          <w:b w:val="1"/>
          <w:bCs w:val="1"/>
          <w:color w:val="auto"/>
        </w:rPr>
        <w:t>(ii) YASKAWA , Supplier of NINEBELL</w:t>
      </w:r>
    </w:p>
    <w:p>
      <w:pPr>
        <w:spacing w:after="0" w:line="247" w:lineRule="exact"/>
        <w:rPr>
          <w:sz w:val="20"/>
          <w:szCs w:val="20"/>
          <w:color w:val="auto"/>
        </w:rPr>
      </w:pPr>
    </w:p>
    <w:p>
      <w:pPr>
        <w:jc w:val="both"/>
        <w:ind w:firstLine="324"/>
        <w:spacing w:after="0" w:line="296" w:lineRule="auto"/>
        <w:rPr>
          <w:sz w:val="20"/>
          <w:szCs w:val="20"/>
          <w:color w:val="auto"/>
        </w:rPr>
      </w:pPr>
      <w:r>
        <w:rPr>
          <w:rFonts w:ascii="Arial" w:cs="Arial" w:eastAsia="Arial" w:hAnsi="Arial"/>
          <w:sz w:val="16"/>
          <w:szCs w:val="16"/>
          <w:color w:val="auto"/>
        </w:rPr>
        <w:t>NINEBELL purchased some motors and drivers which are components of robotic arm from YASKAWA, a Japanese supplier. The main functions of robotic arms include, among others, main control platform systems, transmission device and systems, as well as robot arm and systems. The motor supplied by YASKAWA is only one of the partial components of a robotic arm providing power drive function. The supporting photo of the packaging box of YASKAWA product in the Short-sell Report also clearly states “Linear Sigma Series” to show it is linear motor rather than robot arm that was supplied. Therefore, it is incorrect for the Short-sell Report to say that “NINEBELL is buying the robotic arms it sells to ACMR from a Japanese supplier.”</w:t>
      </w:r>
    </w:p>
    <w:p>
      <w:pPr>
        <w:spacing w:after="0" w:line="184" w:lineRule="exact"/>
        <w:rPr>
          <w:sz w:val="20"/>
          <w:szCs w:val="20"/>
          <w:color w:val="auto"/>
        </w:rPr>
      </w:pPr>
    </w:p>
    <w:p>
      <w:pPr>
        <w:ind w:left="340" w:right="5560" w:hanging="8"/>
        <w:spacing w:after="0" w:line="534" w:lineRule="auto"/>
        <w:tabs>
          <w:tab w:leader="none" w:pos="655" w:val="left"/>
        </w:tabs>
        <w:numPr>
          <w:ilvl w:val="0"/>
          <w:numId w:val="39"/>
        </w:numPr>
        <w:rPr>
          <w:rFonts w:ascii="Arial" w:cs="Arial" w:eastAsia="Arial" w:hAnsi="Arial"/>
          <w:sz w:val="18"/>
          <w:szCs w:val="18"/>
          <w:b w:val="1"/>
          <w:bCs w:val="1"/>
          <w:color w:val="auto"/>
        </w:rPr>
      </w:pPr>
      <w:r>
        <w:rPr>
          <w:rFonts w:ascii="Arial" w:cs="Arial" w:eastAsia="Arial" w:hAnsi="Arial"/>
          <w:sz w:val="18"/>
          <w:szCs w:val="18"/>
          <w:b w:val="1"/>
          <w:bCs w:val="1"/>
          <w:color w:val="auto"/>
        </w:rPr>
        <w:t>Price and Quantity of Robotic Arms Purchased from NINEBELL 1. Price of Robotic Arms from NINEBELL</w:t>
      </w:r>
    </w:p>
    <w:p>
      <w:pPr>
        <w:spacing w:after="0" w:line="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(1) Average Unit Price of Robotic Arms from NINEBELL</w:t>
      </w:r>
    </w:p>
    <w:p>
      <w:pPr>
        <w:spacing w:after="0" w:line="252"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In 2019, the raw materials such as robotic arms purchased by the Issuer from NINEBELL amounted to RMB59.553 million. According to the details of purchase orders between the Issuer and NINEBELL, the robotic arms that the Issuer purchased from NINEBELL in 2019 had an average unit price of USD270,000, totaling 32 pieces (sets) in quantity.</w:t>
      </w:r>
    </w:p>
    <w:p>
      <w:pPr>
        <w:spacing w:after="0" w:line="21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(2) Pricing method for Robotic Arms from NINEBELL</w:t>
      </w:r>
    </w:p>
    <w:p>
      <w:pPr>
        <w:spacing w:after="0" w:line="252"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The robotic arms used in the Company’s cleaning equipment are mainly provided by NINEBELL, and other suppliers do not provide similar products; meanwhile, NINEBELL cannot provide similar products to the Company’s competitors under its agreement with the Company, so there is no price available from NINEBELL for selling such products to other customers. NINEBELL makes its own business decisions independently, without material effect from the Company or its controlling shareholder. All transactions between NINEBELL and the Company have been subject to contracts or orders mutually executed, with the price being determined by negotiation between both parties based on the cost plus a certain profit fixed by NINEBELL, which is in line with commercial practices.</w:t>
      </w:r>
    </w:p>
    <w:p>
      <w:pPr>
        <w:spacing w:after="0" w:line="212" w:lineRule="exact"/>
        <w:rPr>
          <w:sz w:val="20"/>
          <w:szCs w:val="20"/>
          <w:color w:val="auto"/>
        </w:rPr>
      </w:pPr>
    </w:p>
    <w:p>
      <w:pPr>
        <w:jc w:val="both"/>
        <w:ind w:firstLine="324"/>
        <w:spacing w:after="0" w:line="250" w:lineRule="auto"/>
        <w:rPr>
          <w:sz w:val="20"/>
          <w:szCs w:val="20"/>
          <w:color w:val="auto"/>
        </w:rPr>
      </w:pPr>
      <w:r>
        <w:rPr>
          <w:rFonts w:ascii="Arial" w:cs="Arial" w:eastAsia="Arial" w:hAnsi="Arial"/>
          <w:sz w:val="22"/>
          <w:szCs w:val="22"/>
          <w:color w:val="auto"/>
        </w:rPr>
        <w:t>Around the time when ACMR became a shareholder of NINEBELL, the prices of the main types of robotic arms purchased by the Issuer from NINEBELL were as follows:</w:t>
      </w:r>
    </w:p>
    <w:p>
      <w:pPr>
        <w:spacing w:after="0" w:line="202" w:lineRule="exact"/>
        <w:rPr>
          <w:sz w:val="20"/>
          <w:szCs w:val="20"/>
          <w:color w:val="auto"/>
        </w:rPr>
      </w:pPr>
    </w:p>
    <w:p>
      <w:pPr>
        <w:jc w:val="right"/>
        <w:spacing w:after="0"/>
        <w:rPr>
          <w:sz w:val="20"/>
          <w:szCs w:val="20"/>
          <w:color w:val="auto"/>
        </w:rPr>
      </w:pPr>
      <w:r>
        <w:rPr>
          <w:rFonts w:ascii="Arial" w:cs="Arial" w:eastAsia="Arial" w:hAnsi="Arial"/>
          <w:sz w:val="22"/>
          <w:szCs w:val="22"/>
          <w:color w:val="auto"/>
        </w:rPr>
        <w:t>Unit: USD</w:t>
      </w:r>
    </w:p>
    <w:p>
      <w:pPr>
        <w:spacing w:after="0" w:line="234" w:lineRule="exact"/>
        <w:rPr>
          <w:sz w:val="20"/>
          <w:szCs w:val="20"/>
          <w:color w:val="auto"/>
        </w:rPr>
      </w:pPr>
    </w:p>
    <w:tbl>
      <w:tblPr>
        <w:tblLayout w:type="fixed"/>
        <w:tblInd w:w="10" w:type="dxa"/>
        <w:tblCellMar>
          <w:top w:w="0" w:type="dxa"/>
          <w:left w:w="0" w:type="dxa"/>
          <w:bottom w:w="0" w:type="dxa"/>
          <w:right w:w="0" w:type="dxa"/>
        </w:tblCellMar>
      </w:tblPr>
      <w:tr>
        <w:trPr>
          <w:trHeight w:val="225"/>
        </w:trPr>
        <w:tc>
          <w:tcPr>
            <w:tcW w:w="1260" w:type="dxa"/>
            <w:vAlign w:val="bottom"/>
            <w:tcBorders>
              <w:top w:val="single" w:sz="8" w:color="auto"/>
              <w:left w:val="single" w:sz="8" w:color="auto"/>
              <w:right w:val="single" w:sz="8" w:color="auto"/>
            </w:tcBorders>
          </w:tcPr>
          <w:p>
            <w:pPr>
              <w:spacing w:after="0"/>
              <w:rPr>
                <w:sz w:val="19"/>
                <w:szCs w:val="19"/>
                <w:color w:val="auto"/>
              </w:rPr>
            </w:pPr>
          </w:p>
        </w:tc>
        <w:tc>
          <w:tcPr>
            <w:tcW w:w="166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87"/>
              </w:rPr>
              <w:t>Average purchase</w:t>
            </w:r>
          </w:p>
        </w:tc>
        <w:tc>
          <w:tcPr>
            <w:tcW w:w="156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88"/>
              </w:rPr>
              <w:t>Average purchase</w:t>
            </w:r>
          </w:p>
        </w:tc>
        <w:tc>
          <w:tcPr>
            <w:tcW w:w="1380" w:type="dxa"/>
            <w:vAlign w:val="bottom"/>
            <w:tcBorders>
              <w:top w:val="single" w:sz="8" w:color="auto"/>
              <w:right w:val="single" w:sz="8" w:color="auto"/>
            </w:tcBorders>
          </w:tcPr>
          <w:p>
            <w:pPr>
              <w:spacing w:after="0"/>
              <w:rPr>
                <w:sz w:val="19"/>
                <w:szCs w:val="19"/>
                <w:color w:val="auto"/>
              </w:rPr>
            </w:pPr>
          </w:p>
        </w:tc>
        <w:tc>
          <w:tcPr>
            <w:tcW w:w="1120" w:type="dxa"/>
            <w:vAlign w:val="bottom"/>
            <w:tcBorders>
              <w:top w:val="single" w:sz="8" w:color="auto"/>
            </w:tcBorders>
          </w:tcPr>
          <w:p>
            <w:pPr>
              <w:spacing w:after="0"/>
              <w:rPr>
                <w:sz w:val="19"/>
                <w:szCs w:val="19"/>
                <w:color w:val="auto"/>
              </w:rPr>
            </w:pPr>
          </w:p>
        </w:tc>
        <w:tc>
          <w:tcPr>
            <w:tcW w:w="4260" w:type="dxa"/>
            <w:vAlign w:val="bottom"/>
            <w:tcBorders>
              <w:top w:val="single" w:sz="8" w:color="auto"/>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1260" w:type="dxa"/>
            <w:vAlign w:val="bottom"/>
            <w:tcBorders>
              <w:left w:val="single" w:sz="8" w:color="auto"/>
              <w:right w:val="single" w:sz="8" w:color="auto"/>
            </w:tcBorders>
          </w:tcPr>
          <w:p>
            <w:pPr>
              <w:ind w:left="320"/>
              <w:spacing w:after="0"/>
              <w:rPr>
                <w:sz w:val="20"/>
                <w:szCs w:val="20"/>
                <w:color w:val="auto"/>
              </w:rPr>
            </w:pPr>
            <w:r>
              <w:rPr>
                <w:rFonts w:ascii="Arial" w:cs="Arial" w:eastAsia="Arial" w:hAnsi="Arial"/>
                <w:sz w:val="18"/>
                <w:szCs w:val="18"/>
                <w:b w:val="1"/>
                <w:bCs w:val="1"/>
                <w:color w:val="auto"/>
              </w:rPr>
              <w:t>Product</w:t>
            </w:r>
          </w:p>
        </w:tc>
        <w:tc>
          <w:tcPr>
            <w:tcW w:w="166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price before</w:t>
            </w:r>
          </w:p>
        </w:tc>
        <w:tc>
          <w:tcPr>
            <w:tcW w:w="156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w w:val="91"/>
              </w:rPr>
              <w:t>price after</w:t>
            </w:r>
          </w:p>
        </w:tc>
        <w:tc>
          <w:tcPr>
            <w:tcW w:w="1380" w:type="dxa"/>
            <w:vAlign w:val="bottom"/>
            <w:tcBorders>
              <w:right w:val="single" w:sz="8" w:color="auto"/>
            </w:tcBorders>
          </w:tcPr>
          <w:p>
            <w:pPr>
              <w:jc w:val="right"/>
              <w:ind w:right="154"/>
              <w:spacing w:after="0"/>
              <w:rPr>
                <w:sz w:val="20"/>
                <w:szCs w:val="20"/>
                <w:color w:val="auto"/>
              </w:rPr>
            </w:pPr>
            <w:r>
              <w:rPr>
                <w:rFonts w:ascii="Arial" w:cs="Arial" w:eastAsia="Arial" w:hAnsi="Arial"/>
                <w:sz w:val="18"/>
                <w:szCs w:val="18"/>
                <w:b w:val="1"/>
                <w:bCs w:val="1"/>
                <w:color w:val="auto"/>
              </w:rPr>
              <w:t>Discrepancy</w:t>
            </w:r>
          </w:p>
        </w:tc>
        <w:tc>
          <w:tcPr>
            <w:tcW w:w="1120" w:type="dxa"/>
            <w:vAlign w:val="bottom"/>
          </w:tcPr>
          <w:p>
            <w:pPr>
              <w:spacing w:after="0"/>
              <w:rPr>
                <w:sz w:val="18"/>
                <w:szCs w:val="18"/>
                <w:color w:val="auto"/>
              </w:rPr>
            </w:pPr>
          </w:p>
        </w:tc>
        <w:tc>
          <w:tcPr>
            <w:tcW w:w="4260" w:type="dxa"/>
            <w:vAlign w:val="bottom"/>
            <w:tcBorders>
              <w:right w:val="single" w:sz="8" w:color="auto"/>
            </w:tcBorders>
          </w:tcPr>
          <w:p>
            <w:pPr>
              <w:ind w:left="1100"/>
              <w:spacing w:after="0"/>
              <w:rPr>
                <w:sz w:val="20"/>
                <w:szCs w:val="20"/>
                <w:color w:val="auto"/>
              </w:rPr>
            </w:pPr>
            <w:r>
              <w:rPr>
                <w:rFonts w:ascii="Arial" w:cs="Arial" w:eastAsia="Arial" w:hAnsi="Arial"/>
                <w:sz w:val="18"/>
                <w:szCs w:val="18"/>
                <w:b w:val="1"/>
                <w:bCs w:val="1"/>
                <w:color w:val="auto"/>
              </w:rPr>
              <w:t>Reasons for</w:t>
            </w:r>
          </w:p>
        </w:tc>
        <w:tc>
          <w:tcPr>
            <w:tcW w:w="0" w:type="dxa"/>
            <w:vAlign w:val="bottom"/>
          </w:tcPr>
          <w:p>
            <w:pPr>
              <w:spacing w:after="0"/>
              <w:rPr>
                <w:sz w:val="1"/>
                <w:szCs w:val="1"/>
                <w:color w:val="auto"/>
              </w:rPr>
            </w:pPr>
          </w:p>
        </w:tc>
      </w:tr>
      <w:tr>
        <w:trPr>
          <w:trHeight w:val="216"/>
        </w:trPr>
        <w:tc>
          <w:tcPr>
            <w:tcW w:w="1260" w:type="dxa"/>
            <w:vAlign w:val="bottom"/>
            <w:tcBorders>
              <w:left w:val="single" w:sz="8" w:color="auto"/>
              <w:right w:val="single" w:sz="8" w:color="auto"/>
            </w:tcBorders>
          </w:tcPr>
          <w:p>
            <w:pPr>
              <w:ind w:left="400"/>
              <w:spacing w:after="0"/>
              <w:rPr>
                <w:sz w:val="20"/>
                <w:szCs w:val="20"/>
                <w:color w:val="auto"/>
              </w:rPr>
            </w:pPr>
            <w:r>
              <w:rPr>
                <w:rFonts w:ascii="Arial" w:cs="Arial" w:eastAsia="Arial" w:hAnsi="Arial"/>
                <w:sz w:val="18"/>
                <w:szCs w:val="18"/>
                <w:b w:val="1"/>
                <w:bCs w:val="1"/>
                <w:color w:val="auto"/>
              </w:rPr>
              <w:t>Model</w:t>
            </w:r>
          </w:p>
        </w:tc>
        <w:tc>
          <w:tcPr>
            <w:tcW w:w="166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w w:val="87"/>
              </w:rPr>
              <w:t>becoming a</w:t>
            </w:r>
          </w:p>
        </w:tc>
        <w:tc>
          <w:tcPr>
            <w:tcW w:w="156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w w:val="87"/>
              </w:rPr>
              <w:t>becoming a</w:t>
            </w:r>
          </w:p>
        </w:tc>
        <w:tc>
          <w:tcPr>
            <w:tcW w:w="1380" w:type="dxa"/>
            <w:vAlign w:val="bottom"/>
            <w:tcBorders>
              <w:right w:val="single" w:sz="8" w:color="auto"/>
            </w:tcBorders>
          </w:tcPr>
          <w:p>
            <w:pPr>
              <w:jc w:val="right"/>
              <w:ind w:right="474"/>
              <w:spacing w:after="0"/>
              <w:rPr>
                <w:sz w:val="20"/>
                <w:szCs w:val="20"/>
                <w:color w:val="auto"/>
              </w:rPr>
            </w:pPr>
            <w:r>
              <w:rPr>
                <w:rFonts w:ascii="Arial" w:cs="Arial" w:eastAsia="Arial" w:hAnsi="Arial"/>
                <w:sz w:val="18"/>
                <w:szCs w:val="18"/>
                <w:b w:val="1"/>
                <w:bCs w:val="1"/>
                <w:color w:val="auto"/>
              </w:rPr>
              <w:t>rate</w:t>
            </w:r>
          </w:p>
        </w:tc>
        <w:tc>
          <w:tcPr>
            <w:tcW w:w="1120" w:type="dxa"/>
            <w:vAlign w:val="bottom"/>
          </w:tcPr>
          <w:p>
            <w:pPr>
              <w:spacing w:after="0"/>
              <w:rPr>
                <w:sz w:val="18"/>
                <w:szCs w:val="18"/>
                <w:color w:val="auto"/>
              </w:rPr>
            </w:pPr>
          </w:p>
        </w:tc>
        <w:tc>
          <w:tcPr>
            <w:tcW w:w="4260" w:type="dxa"/>
            <w:vAlign w:val="bottom"/>
            <w:tcBorders>
              <w:right w:val="single" w:sz="8" w:color="auto"/>
            </w:tcBorders>
          </w:tcPr>
          <w:p>
            <w:pPr>
              <w:ind w:left="1120"/>
              <w:spacing w:after="0"/>
              <w:rPr>
                <w:sz w:val="20"/>
                <w:szCs w:val="20"/>
                <w:color w:val="auto"/>
              </w:rPr>
            </w:pPr>
            <w:r>
              <w:rPr>
                <w:rFonts w:ascii="Arial" w:cs="Arial" w:eastAsia="Arial" w:hAnsi="Arial"/>
                <w:sz w:val="18"/>
                <w:szCs w:val="18"/>
                <w:b w:val="1"/>
                <w:bCs w:val="1"/>
                <w:color w:val="auto"/>
              </w:rPr>
              <w:t>discrepancy</w:t>
            </w:r>
          </w:p>
        </w:tc>
        <w:tc>
          <w:tcPr>
            <w:tcW w:w="0" w:type="dxa"/>
            <w:vAlign w:val="bottom"/>
          </w:tcPr>
          <w:p>
            <w:pPr>
              <w:spacing w:after="0"/>
              <w:rPr>
                <w:sz w:val="1"/>
                <w:szCs w:val="1"/>
                <w:color w:val="auto"/>
              </w:rPr>
            </w:pPr>
          </w:p>
        </w:tc>
      </w:tr>
      <w:tr>
        <w:trPr>
          <w:trHeight w:val="241"/>
        </w:trPr>
        <w:tc>
          <w:tcPr>
            <w:tcW w:w="1260" w:type="dxa"/>
            <w:vAlign w:val="bottom"/>
            <w:tcBorders>
              <w:left w:val="single" w:sz="8" w:color="auto"/>
              <w:bottom w:val="single" w:sz="8" w:color="auto"/>
              <w:right w:val="single" w:sz="8" w:color="auto"/>
            </w:tcBorders>
          </w:tcPr>
          <w:p>
            <w:pPr>
              <w:spacing w:after="0"/>
              <w:rPr>
                <w:sz w:val="20"/>
                <w:szCs w:val="20"/>
                <w:color w:val="auto"/>
              </w:rPr>
            </w:pPr>
          </w:p>
        </w:tc>
        <w:tc>
          <w:tcPr>
            <w:tcW w:w="16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shareholder</w:t>
            </w:r>
          </w:p>
        </w:tc>
        <w:tc>
          <w:tcPr>
            <w:tcW w:w="15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shareholder</w:t>
            </w:r>
          </w:p>
        </w:tc>
        <w:tc>
          <w:tcPr>
            <w:tcW w:w="1380" w:type="dxa"/>
            <w:vAlign w:val="bottom"/>
            <w:tcBorders>
              <w:bottom w:val="single" w:sz="8" w:color="auto"/>
              <w:right w:val="single" w:sz="8" w:color="auto"/>
            </w:tcBorders>
          </w:tcPr>
          <w:p>
            <w:pPr>
              <w:spacing w:after="0"/>
              <w:rPr>
                <w:sz w:val="20"/>
                <w:szCs w:val="20"/>
                <w:color w:val="auto"/>
              </w:rPr>
            </w:pPr>
          </w:p>
        </w:tc>
        <w:tc>
          <w:tcPr>
            <w:tcW w:w="1120" w:type="dxa"/>
            <w:vAlign w:val="bottom"/>
            <w:tcBorders>
              <w:bottom w:val="single" w:sz="8" w:color="auto"/>
            </w:tcBorders>
          </w:tcPr>
          <w:p>
            <w:pPr>
              <w:spacing w:after="0"/>
              <w:rPr>
                <w:sz w:val="20"/>
                <w:szCs w:val="20"/>
                <w:color w:val="auto"/>
              </w:rPr>
            </w:pPr>
          </w:p>
        </w:tc>
        <w:tc>
          <w:tcPr>
            <w:tcW w:w="426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1260" w:type="dxa"/>
            <w:vAlign w:val="bottom"/>
            <w:tcBorders>
              <w:left w:val="single" w:sz="8" w:color="auto"/>
              <w:right w:val="single" w:sz="8" w:color="auto"/>
            </w:tcBorders>
          </w:tcPr>
          <w:p>
            <w:pPr>
              <w:ind w:left="40"/>
              <w:spacing w:after="0" w:line="201" w:lineRule="exact"/>
              <w:rPr>
                <w:sz w:val="20"/>
                <w:szCs w:val="20"/>
                <w:color w:val="auto"/>
              </w:rPr>
            </w:pPr>
            <w:r>
              <w:rPr>
                <w:rFonts w:ascii="Arial" w:cs="Arial" w:eastAsia="Arial" w:hAnsi="Arial"/>
                <w:sz w:val="18"/>
                <w:szCs w:val="18"/>
                <w:color w:val="auto"/>
              </w:rPr>
              <w:t>Robotic Arm</w:t>
            </w:r>
          </w:p>
        </w:tc>
        <w:tc>
          <w:tcPr>
            <w:tcW w:w="1660" w:type="dxa"/>
            <w:vAlign w:val="bottom"/>
            <w:tcBorders>
              <w:right w:val="single" w:sz="8" w:color="auto"/>
            </w:tcBorders>
            <w:vMerge w:val="restart"/>
          </w:tcPr>
          <w:p>
            <w:pPr>
              <w:jc w:val="right"/>
              <w:spacing w:after="0"/>
              <w:rPr>
                <w:sz w:val="20"/>
                <w:szCs w:val="20"/>
                <w:color w:val="auto"/>
              </w:rPr>
            </w:pPr>
            <w:r>
              <w:rPr>
                <w:rFonts w:ascii="Arial" w:cs="Arial" w:eastAsia="Arial" w:hAnsi="Arial"/>
                <w:sz w:val="18"/>
                <w:szCs w:val="18"/>
                <w:color w:val="auto"/>
              </w:rPr>
              <w:t>256,460.00</w:t>
            </w:r>
          </w:p>
        </w:tc>
        <w:tc>
          <w:tcPr>
            <w:tcW w:w="1560" w:type="dxa"/>
            <w:vAlign w:val="bottom"/>
            <w:tcBorders>
              <w:right w:val="single" w:sz="8" w:color="auto"/>
            </w:tcBorders>
            <w:vMerge w:val="restart"/>
          </w:tcPr>
          <w:p>
            <w:pPr>
              <w:jc w:val="right"/>
              <w:spacing w:after="0"/>
              <w:rPr>
                <w:sz w:val="20"/>
                <w:szCs w:val="20"/>
                <w:color w:val="auto"/>
              </w:rPr>
            </w:pPr>
            <w:r>
              <w:rPr>
                <w:rFonts w:ascii="Arial" w:cs="Arial" w:eastAsia="Arial" w:hAnsi="Arial"/>
                <w:sz w:val="18"/>
                <w:szCs w:val="18"/>
                <w:color w:val="auto"/>
              </w:rPr>
              <w:t>246,050.00</w:t>
            </w:r>
          </w:p>
        </w:tc>
        <w:tc>
          <w:tcPr>
            <w:tcW w:w="1380" w:type="dxa"/>
            <w:vAlign w:val="bottom"/>
            <w:tcBorders>
              <w:right w:val="single" w:sz="8" w:color="auto"/>
            </w:tcBorders>
            <w:vMerge w:val="restart"/>
          </w:tcPr>
          <w:p>
            <w:pPr>
              <w:jc w:val="right"/>
              <w:spacing w:after="0"/>
              <w:rPr>
                <w:sz w:val="20"/>
                <w:szCs w:val="20"/>
                <w:color w:val="auto"/>
              </w:rPr>
            </w:pPr>
            <w:r>
              <w:rPr>
                <w:rFonts w:ascii="Arial" w:cs="Arial" w:eastAsia="Arial" w:hAnsi="Arial"/>
                <w:sz w:val="18"/>
                <w:szCs w:val="18"/>
                <w:color w:val="auto"/>
              </w:rPr>
              <w:t>-4.06%</w:t>
            </w:r>
          </w:p>
        </w:tc>
        <w:tc>
          <w:tcPr>
            <w:tcW w:w="1120" w:type="dxa"/>
            <w:vAlign w:val="bottom"/>
          </w:tcPr>
          <w:p>
            <w:pPr>
              <w:spacing w:after="0"/>
              <w:rPr>
                <w:sz w:val="17"/>
                <w:szCs w:val="17"/>
                <w:color w:val="auto"/>
              </w:rPr>
            </w:pPr>
          </w:p>
        </w:tc>
        <w:tc>
          <w:tcPr>
            <w:tcW w:w="426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22"/>
        </w:trPr>
        <w:tc>
          <w:tcPr>
            <w:tcW w:w="1260" w:type="dxa"/>
            <w:vAlign w:val="bottom"/>
            <w:tcBorders>
              <w:left w:val="single" w:sz="8" w:color="auto"/>
              <w:right w:val="single" w:sz="8" w:color="auto"/>
            </w:tcBorders>
            <w:vMerge w:val="restart"/>
          </w:tcPr>
          <w:p>
            <w:pPr>
              <w:ind w:left="40"/>
              <w:spacing w:after="0"/>
              <w:rPr>
                <w:sz w:val="20"/>
                <w:szCs w:val="20"/>
                <w:color w:val="auto"/>
              </w:rPr>
            </w:pPr>
            <w:r>
              <w:rPr>
                <w:rFonts w:ascii="Arial" w:cs="Arial" w:eastAsia="Arial" w:hAnsi="Arial"/>
                <w:sz w:val="18"/>
                <w:szCs w:val="18"/>
                <w:color w:val="auto"/>
              </w:rPr>
              <w:t>(8-chamber)</w:t>
            </w:r>
          </w:p>
        </w:tc>
        <w:tc>
          <w:tcPr>
            <w:tcW w:w="1660" w:type="dxa"/>
            <w:vAlign w:val="bottom"/>
            <w:tcBorders>
              <w:right w:val="single" w:sz="8" w:color="auto"/>
            </w:tcBorders>
            <w:vMerge w:val="continue"/>
          </w:tcPr>
          <w:p>
            <w:pPr>
              <w:spacing w:after="0"/>
              <w:rPr>
                <w:sz w:val="10"/>
                <w:szCs w:val="10"/>
                <w:color w:val="auto"/>
              </w:rPr>
            </w:pPr>
          </w:p>
        </w:tc>
        <w:tc>
          <w:tcPr>
            <w:tcW w:w="1560" w:type="dxa"/>
            <w:vAlign w:val="bottom"/>
            <w:tcBorders>
              <w:right w:val="single" w:sz="8" w:color="auto"/>
            </w:tcBorders>
            <w:vMerge w:val="continue"/>
          </w:tcPr>
          <w:p>
            <w:pPr>
              <w:spacing w:after="0"/>
              <w:rPr>
                <w:sz w:val="10"/>
                <w:szCs w:val="10"/>
                <w:color w:val="auto"/>
              </w:rPr>
            </w:pPr>
          </w:p>
        </w:tc>
        <w:tc>
          <w:tcPr>
            <w:tcW w:w="1380" w:type="dxa"/>
            <w:vAlign w:val="bottom"/>
            <w:tcBorders>
              <w:right w:val="single" w:sz="8" w:color="auto"/>
            </w:tcBorders>
            <w:vMerge w:val="continue"/>
          </w:tcPr>
          <w:p>
            <w:pPr>
              <w:spacing w:after="0"/>
              <w:rPr>
                <w:sz w:val="10"/>
                <w:szCs w:val="10"/>
                <w:color w:val="auto"/>
              </w:rPr>
            </w:pPr>
          </w:p>
        </w:tc>
        <w:tc>
          <w:tcPr>
            <w:tcW w:w="5380" w:type="dxa"/>
            <w:vAlign w:val="bottom"/>
            <w:tcBorders>
              <w:right w:val="single" w:sz="8" w:color="auto"/>
            </w:tcBorders>
            <w:gridSpan w:val="2"/>
            <w:vMerge w:val="restart"/>
          </w:tcPr>
          <w:p>
            <w:pPr>
              <w:spacing w:after="0"/>
              <w:rPr>
                <w:sz w:val="20"/>
                <w:szCs w:val="20"/>
                <w:color w:val="auto"/>
              </w:rPr>
            </w:pPr>
            <w:r>
              <w:rPr>
                <w:rFonts w:ascii="Arial" w:cs="Arial" w:eastAsia="Arial" w:hAnsi="Arial"/>
                <w:sz w:val="18"/>
                <w:szCs w:val="18"/>
                <w:color w:val="auto"/>
                <w:w w:val="89"/>
              </w:rPr>
              <w:t>The unit purchase price decreased with the increase of purchased quantity.</w:t>
            </w:r>
          </w:p>
        </w:tc>
        <w:tc>
          <w:tcPr>
            <w:tcW w:w="0" w:type="dxa"/>
            <w:vAlign w:val="bottom"/>
          </w:tcPr>
          <w:p>
            <w:pPr>
              <w:spacing w:after="0"/>
              <w:rPr>
                <w:sz w:val="1"/>
                <w:szCs w:val="1"/>
                <w:color w:val="auto"/>
              </w:rPr>
            </w:pPr>
          </w:p>
        </w:tc>
      </w:tr>
      <w:tr>
        <w:trPr>
          <w:trHeight w:val="115"/>
        </w:trPr>
        <w:tc>
          <w:tcPr>
            <w:tcW w:w="1260" w:type="dxa"/>
            <w:vAlign w:val="bottom"/>
            <w:tcBorders>
              <w:left w:val="single" w:sz="8" w:color="auto"/>
              <w:bottom w:val="single" w:sz="8" w:color="auto"/>
              <w:right w:val="single" w:sz="8" w:color="auto"/>
            </w:tcBorders>
            <w:vMerge w:val="continue"/>
          </w:tcPr>
          <w:p>
            <w:pPr>
              <w:spacing w:after="0"/>
              <w:rPr>
                <w:sz w:val="10"/>
                <w:szCs w:val="10"/>
                <w:color w:val="auto"/>
              </w:rPr>
            </w:pPr>
          </w:p>
        </w:tc>
        <w:tc>
          <w:tcPr>
            <w:tcW w:w="1660" w:type="dxa"/>
            <w:vAlign w:val="bottom"/>
            <w:tcBorders>
              <w:bottom w:val="single" w:sz="8" w:color="auto"/>
              <w:right w:val="single" w:sz="8" w:color="auto"/>
            </w:tcBorders>
          </w:tcPr>
          <w:p>
            <w:pPr>
              <w:spacing w:after="0"/>
              <w:rPr>
                <w:sz w:val="10"/>
                <w:szCs w:val="10"/>
                <w:color w:val="auto"/>
              </w:rPr>
            </w:pPr>
          </w:p>
        </w:tc>
        <w:tc>
          <w:tcPr>
            <w:tcW w:w="1560" w:type="dxa"/>
            <w:vAlign w:val="bottom"/>
            <w:tcBorders>
              <w:bottom w:val="single" w:sz="8" w:color="auto"/>
              <w:right w:val="single" w:sz="8" w:color="auto"/>
            </w:tcBorders>
          </w:tcPr>
          <w:p>
            <w:pPr>
              <w:spacing w:after="0"/>
              <w:rPr>
                <w:sz w:val="10"/>
                <w:szCs w:val="10"/>
                <w:color w:val="auto"/>
              </w:rPr>
            </w:pPr>
          </w:p>
        </w:tc>
        <w:tc>
          <w:tcPr>
            <w:tcW w:w="1380" w:type="dxa"/>
            <w:vAlign w:val="bottom"/>
            <w:tcBorders>
              <w:bottom w:val="single" w:sz="8" w:color="auto"/>
              <w:right w:val="single" w:sz="8" w:color="auto"/>
            </w:tcBorders>
          </w:tcPr>
          <w:p>
            <w:pPr>
              <w:spacing w:after="0"/>
              <w:rPr>
                <w:sz w:val="10"/>
                <w:szCs w:val="10"/>
                <w:color w:val="auto"/>
              </w:rPr>
            </w:pPr>
          </w:p>
        </w:tc>
        <w:tc>
          <w:tcPr>
            <w:tcW w:w="5380" w:type="dxa"/>
            <w:vAlign w:val="bottom"/>
            <w:tcBorders>
              <w:right w:val="single" w:sz="8" w:color="auto"/>
            </w:tcBorders>
            <w:gridSpan w:val="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5"/>
        </w:trPr>
        <w:tc>
          <w:tcPr>
            <w:tcW w:w="1260" w:type="dxa"/>
            <w:vAlign w:val="bottom"/>
            <w:tcBorders>
              <w:left w:val="single" w:sz="8" w:color="auto"/>
              <w:right w:val="single" w:sz="8" w:color="auto"/>
            </w:tcBorders>
            <w:vMerge w:val="restart"/>
          </w:tcPr>
          <w:p>
            <w:pPr>
              <w:ind w:left="40"/>
              <w:spacing w:after="0" w:line="201" w:lineRule="exact"/>
              <w:rPr>
                <w:sz w:val="20"/>
                <w:szCs w:val="20"/>
                <w:color w:val="auto"/>
              </w:rPr>
            </w:pPr>
            <w:r>
              <w:rPr>
                <w:rFonts w:ascii="Arial" w:cs="Arial" w:eastAsia="Arial" w:hAnsi="Arial"/>
                <w:sz w:val="18"/>
                <w:szCs w:val="18"/>
                <w:color w:val="auto"/>
              </w:rPr>
              <w:t>Robotic Arm</w:t>
            </w:r>
          </w:p>
        </w:tc>
        <w:tc>
          <w:tcPr>
            <w:tcW w:w="1660" w:type="dxa"/>
            <w:vAlign w:val="bottom"/>
            <w:tcBorders>
              <w:right w:val="single" w:sz="8" w:color="auto"/>
            </w:tcBorders>
            <w:vMerge w:val="restart"/>
          </w:tcPr>
          <w:p>
            <w:pPr>
              <w:jc w:val="right"/>
              <w:spacing w:after="0"/>
              <w:rPr>
                <w:sz w:val="20"/>
                <w:szCs w:val="20"/>
                <w:color w:val="auto"/>
              </w:rPr>
            </w:pPr>
            <w:r>
              <w:rPr>
                <w:rFonts w:ascii="Arial" w:cs="Arial" w:eastAsia="Arial" w:hAnsi="Arial"/>
                <w:sz w:val="18"/>
                <w:szCs w:val="18"/>
                <w:color w:val="auto"/>
              </w:rPr>
              <w:t>350,000.00</w:t>
            </w:r>
          </w:p>
        </w:tc>
        <w:tc>
          <w:tcPr>
            <w:tcW w:w="1560" w:type="dxa"/>
            <w:vAlign w:val="bottom"/>
            <w:tcBorders>
              <w:right w:val="single" w:sz="8" w:color="auto"/>
            </w:tcBorders>
            <w:vMerge w:val="restart"/>
          </w:tcPr>
          <w:p>
            <w:pPr>
              <w:jc w:val="right"/>
              <w:spacing w:after="0"/>
              <w:rPr>
                <w:sz w:val="20"/>
                <w:szCs w:val="20"/>
                <w:color w:val="auto"/>
              </w:rPr>
            </w:pPr>
            <w:r>
              <w:rPr>
                <w:rFonts w:ascii="Arial" w:cs="Arial" w:eastAsia="Arial" w:hAnsi="Arial"/>
                <w:sz w:val="18"/>
                <w:szCs w:val="18"/>
                <w:color w:val="auto"/>
              </w:rPr>
              <w:t>335,250.00</w:t>
            </w:r>
          </w:p>
        </w:tc>
        <w:tc>
          <w:tcPr>
            <w:tcW w:w="1380" w:type="dxa"/>
            <w:vAlign w:val="bottom"/>
            <w:tcBorders>
              <w:right w:val="single" w:sz="8" w:color="auto"/>
            </w:tcBorders>
            <w:vMerge w:val="restart"/>
          </w:tcPr>
          <w:p>
            <w:pPr>
              <w:jc w:val="right"/>
              <w:spacing w:after="0"/>
              <w:rPr>
                <w:sz w:val="20"/>
                <w:szCs w:val="20"/>
                <w:color w:val="auto"/>
              </w:rPr>
            </w:pPr>
            <w:r>
              <w:rPr>
                <w:rFonts w:ascii="Arial" w:cs="Arial" w:eastAsia="Arial" w:hAnsi="Arial"/>
                <w:sz w:val="18"/>
                <w:szCs w:val="18"/>
                <w:color w:val="auto"/>
              </w:rPr>
              <w:t>-4.21%</w:t>
            </w:r>
          </w:p>
        </w:tc>
        <w:tc>
          <w:tcPr>
            <w:tcW w:w="5380" w:type="dxa"/>
            <w:vAlign w:val="bottom"/>
            <w:tcBorders>
              <w:right w:val="single" w:sz="8" w:color="auto"/>
            </w:tcBorders>
            <w:gridSpan w:val="2"/>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07"/>
        </w:trPr>
        <w:tc>
          <w:tcPr>
            <w:tcW w:w="1260" w:type="dxa"/>
            <w:vAlign w:val="bottom"/>
            <w:tcBorders>
              <w:left w:val="single" w:sz="8" w:color="auto"/>
              <w:right w:val="single" w:sz="8" w:color="auto"/>
            </w:tcBorders>
            <w:vMerge w:val="continue"/>
          </w:tcPr>
          <w:p>
            <w:pPr>
              <w:spacing w:after="0"/>
              <w:rPr>
                <w:sz w:val="9"/>
                <w:szCs w:val="9"/>
                <w:color w:val="auto"/>
              </w:rPr>
            </w:pPr>
          </w:p>
        </w:tc>
        <w:tc>
          <w:tcPr>
            <w:tcW w:w="1660" w:type="dxa"/>
            <w:vAlign w:val="bottom"/>
            <w:tcBorders>
              <w:right w:val="single" w:sz="8" w:color="auto"/>
            </w:tcBorders>
            <w:vMerge w:val="continue"/>
          </w:tcPr>
          <w:p>
            <w:pPr>
              <w:spacing w:after="0"/>
              <w:rPr>
                <w:sz w:val="9"/>
                <w:szCs w:val="9"/>
                <w:color w:val="auto"/>
              </w:rPr>
            </w:pPr>
          </w:p>
        </w:tc>
        <w:tc>
          <w:tcPr>
            <w:tcW w:w="1560" w:type="dxa"/>
            <w:vAlign w:val="bottom"/>
            <w:tcBorders>
              <w:right w:val="single" w:sz="8" w:color="auto"/>
            </w:tcBorders>
            <w:vMerge w:val="continue"/>
          </w:tcPr>
          <w:p>
            <w:pPr>
              <w:spacing w:after="0"/>
              <w:rPr>
                <w:sz w:val="9"/>
                <w:szCs w:val="9"/>
                <w:color w:val="auto"/>
              </w:rPr>
            </w:pPr>
          </w:p>
        </w:tc>
        <w:tc>
          <w:tcPr>
            <w:tcW w:w="1380" w:type="dxa"/>
            <w:vAlign w:val="bottom"/>
            <w:tcBorders>
              <w:right w:val="single" w:sz="8" w:color="auto"/>
            </w:tcBorders>
            <w:vMerge w:val="continue"/>
          </w:tcPr>
          <w:p>
            <w:pPr>
              <w:spacing w:after="0"/>
              <w:rPr>
                <w:sz w:val="9"/>
                <w:szCs w:val="9"/>
                <w:color w:val="auto"/>
              </w:rPr>
            </w:pPr>
          </w:p>
        </w:tc>
        <w:tc>
          <w:tcPr>
            <w:tcW w:w="1120" w:type="dxa"/>
            <w:vAlign w:val="bottom"/>
          </w:tcPr>
          <w:p>
            <w:pPr>
              <w:spacing w:after="0"/>
              <w:rPr>
                <w:sz w:val="9"/>
                <w:szCs w:val="9"/>
                <w:color w:val="auto"/>
              </w:rPr>
            </w:pPr>
          </w:p>
        </w:tc>
        <w:tc>
          <w:tcPr>
            <w:tcW w:w="4260" w:type="dxa"/>
            <w:vAlign w:val="bottom"/>
            <w:tcBorders>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22"/>
        </w:trPr>
        <w:tc>
          <w:tcPr>
            <w:tcW w:w="1260" w:type="dxa"/>
            <w:vAlign w:val="bottom"/>
            <w:tcBorders>
              <w:left w:val="single" w:sz="8" w:color="auto"/>
              <w:right w:val="single" w:sz="8" w:color="auto"/>
            </w:tcBorders>
            <w:vMerge w:val="restart"/>
          </w:tcPr>
          <w:p>
            <w:pPr>
              <w:ind w:left="40"/>
              <w:spacing w:after="0"/>
              <w:rPr>
                <w:sz w:val="20"/>
                <w:szCs w:val="20"/>
                <w:color w:val="auto"/>
              </w:rPr>
            </w:pPr>
            <w:r>
              <w:rPr>
                <w:rFonts w:ascii="Arial" w:cs="Arial" w:eastAsia="Arial" w:hAnsi="Arial"/>
                <w:sz w:val="18"/>
                <w:szCs w:val="18"/>
                <w:color w:val="auto"/>
              </w:rPr>
              <w:t>(12-chamber)</w:t>
            </w:r>
          </w:p>
        </w:tc>
        <w:tc>
          <w:tcPr>
            <w:tcW w:w="1660" w:type="dxa"/>
            <w:vAlign w:val="bottom"/>
            <w:tcBorders>
              <w:right w:val="single" w:sz="8" w:color="auto"/>
            </w:tcBorders>
            <w:vMerge w:val="continue"/>
          </w:tcPr>
          <w:p>
            <w:pPr>
              <w:spacing w:after="0"/>
              <w:rPr>
                <w:sz w:val="10"/>
                <w:szCs w:val="10"/>
                <w:color w:val="auto"/>
              </w:rPr>
            </w:pPr>
          </w:p>
        </w:tc>
        <w:tc>
          <w:tcPr>
            <w:tcW w:w="1560" w:type="dxa"/>
            <w:vAlign w:val="bottom"/>
            <w:tcBorders>
              <w:right w:val="single" w:sz="8" w:color="auto"/>
            </w:tcBorders>
            <w:vMerge w:val="continue"/>
          </w:tcPr>
          <w:p>
            <w:pPr>
              <w:spacing w:after="0"/>
              <w:rPr>
                <w:sz w:val="10"/>
                <w:szCs w:val="10"/>
                <w:color w:val="auto"/>
              </w:rPr>
            </w:pPr>
          </w:p>
        </w:tc>
        <w:tc>
          <w:tcPr>
            <w:tcW w:w="1380" w:type="dxa"/>
            <w:vAlign w:val="bottom"/>
            <w:tcBorders>
              <w:right w:val="single" w:sz="8" w:color="auto"/>
            </w:tcBorders>
            <w:vMerge w:val="continue"/>
          </w:tcPr>
          <w:p>
            <w:pPr>
              <w:spacing w:after="0"/>
              <w:rPr>
                <w:sz w:val="10"/>
                <w:szCs w:val="10"/>
                <w:color w:val="auto"/>
              </w:rPr>
            </w:pPr>
          </w:p>
        </w:tc>
        <w:tc>
          <w:tcPr>
            <w:tcW w:w="1120" w:type="dxa"/>
            <w:vAlign w:val="bottom"/>
          </w:tcPr>
          <w:p>
            <w:pPr>
              <w:spacing w:after="0"/>
              <w:rPr>
                <w:sz w:val="10"/>
                <w:szCs w:val="10"/>
                <w:color w:val="auto"/>
              </w:rPr>
            </w:pPr>
          </w:p>
        </w:tc>
        <w:tc>
          <w:tcPr>
            <w:tcW w:w="4260" w:type="dxa"/>
            <w:vAlign w:val="bottom"/>
            <w:tcBorders>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15"/>
        </w:trPr>
        <w:tc>
          <w:tcPr>
            <w:tcW w:w="1260" w:type="dxa"/>
            <w:vAlign w:val="bottom"/>
            <w:tcBorders>
              <w:left w:val="single" w:sz="8" w:color="auto"/>
              <w:bottom w:val="single" w:sz="8" w:color="auto"/>
              <w:right w:val="single" w:sz="8" w:color="auto"/>
            </w:tcBorders>
            <w:vMerge w:val="continue"/>
          </w:tcPr>
          <w:p>
            <w:pPr>
              <w:spacing w:after="0"/>
              <w:rPr>
                <w:sz w:val="10"/>
                <w:szCs w:val="10"/>
                <w:color w:val="auto"/>
              </w:rPr>
            </w:pPr>
          </w:p>
        </w:tc>
        <w:tc>
          <w:tcPr>
            <w:tcW w:w="1660" w:type="dxa"/>
            <w:vAlign w:val="bottom"/>
            <w:tcBorders>
              <w:bottom w:val="single" w:sz="8" w:color="auto"/>
              <w:right w:val="single" w:sz="8" w:color="auto"/>
            </w:tcBorders>
          </w:tcPr>
          <w:p>
            <w:pPr>
              <w:spacing w:after="0"/>
              <w:rPr>
                <w:sz w:val="10"/>
                <w:szCs w:val="10"/>
                <w:color w:val="auto"/>
              </w:rPr>
            </w:pPr>
          </w:p>
        </w:tc>
        <w:tc>
          <w:tcPr>
            <w:tcW w:w="1560" w:type="dxa"/>
            <w:vAlign w:val="bottom"/>
            <w:tcBorders>
              <w:bottom w:val="single" w:sz="8" w:color="auto"/>
              <w:right w:val="single" w:sz="8" w:color="auto"/>
            </w:tcBorders>
          </w:tcPr>
          <w:p>
            <w:pPr>
              <w:spacing w:after="0"/>
              <w:rPr>
                <w:sz w:val="10"/>
                <w:szCs w:val="10"/>
                <w:color w:val="auto"/>
              </w:rPr>
            </w:pPr>
          </w:p>
        </w:tc>
        <w:tc>
          <w:tcPr>
            <w:tcW w:w="1380" w:type="dxa"/>
            <w:vAlign w:val="bottom"/>
            <w:tcBorders>
              <w:bottom w:val="single" w:sz="8" w:color="auto"/>
              <w:right w:val="single" w:sz="8" w:color="auto"/>
            </w:tcBorders>
          </w:tcPr>
          <w:p>
            <w:pPr>
              <w:spacing w:after="0"/>
              <w:rPr>
                <w:sz w:val="10"/>
                <w:szCs w:val="10"/>
                <w:color w:val="auto"/>
              </w:rPr>
            </w:pPr>
          </w:p>
        </w:tc>
        <w:tc>
          <w:tcPr>
            <w:tcW w:w="1120" w:type="dxa"/>
            <w:vAlign w:val="bottom"/>
            <w:tcBorders>
              <w:bottom w:val="single" w:sz="8" w:color="auto"/>
            </w:tcBorders>
          </w:tcPr>
          <w:p>
            <w:pPr>
              <w:spacing w:after="0"/>
              <w:rPr>
                <w:sz w:val="10"/>
                <w:szCs w:val="10"/>
                <w:color w:val="auto"/>
              </w:rPr>
            </w:pPr>
          </w:p>
        </w:tc>
        <w:tc>
          <w:tcPr>
            <w:tcW w:w="4260" w:type="dxa"/>
            <w:vAlign w:val="bottom"/>
            <w:tcBorders>
              <w:bottom w:val="single" w:sz="8" w:color="auto"/>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582"/>
        </w:trPr>
        <w:tc>
          <w:tcPr>
            <w:tcW w:w="126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2500" w:type="dxa"/>
            <w:vAlign w:val="bottom"/>
            <w:gridSpan w:val="2"/>
          </w:tcPr>
          <w:p>
            <w:pPr>
              <w:jc w:val="right"/>
              <w:ind w:right="1010"/>
              <w:spacing w:after="0"/>
              <w:rPr>
                <w:sz w:val="20"/>
                <w:szCs w:val="20"/>
                <w:color w:val="auto"/>
              </w:rPr>
            </w:pPr>
            <w:r>
              <w:rPr>
                <w:rFonts w:ascii="Arial" w:cs="Arial" w:eastAsia="Arial" w:hAnsi="Arial"/>
                <w:sz w:val="14"/>
                <w:szCs w:val="14"/>
                <w:color w:val="auto"/>
              </w:rPr>
              <w:t>8-4-1-40</w:t>
            </w:r>
          </w:p>
        </w:tc>
        <w:tc>
          <w:tcPr>
            <w:tcW w:w="4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6"/>
        </w:trPr>
        <w:tc>
          <w:tcPr>
            <w:tcW w:w="1260" w:type="dxa"/>
            <w:vAlign w:val="bottom"/>
            <w:tcBorders>
              <w:bottom w:val="single" w:sz="8" w:color="auto"/>
            </w:tcBorders>
          </w:tcPr>
          <w:p>
            <w:pPr>
              <w:spacing w:after="0"/>
              <w:rPr>
                <w:sz w:val="4"/>
                <w:szCs w:val="4"/>
                <w:color w:val="auto"/>
              </w:rPr>
            </w:pPr>
          </w:p>
        </w:tc>
        <w:tc>
          <w:tcPr>
            <w:tcW w:w="1660" w:type="dxa"/>
            <w:vAlign w:val="bottom"/>
            <w:tcBorders>
              <w:bottom w:val="single" w:sz="8" w:color="auto"/>
            </w:tcBorders>
          </w:tcPr>
          <w:p>
            <w:pPr>
              <w:spacing w:after="0"/>
              <w:rPr>
                <w:sz w:val="4"/>
                <w:szCs w:val="4"/>
                <w:color w:val="auto"/>
              </w:rPr>
            </w:pPr>
          </w:p>
        </w:tc>
        <w:tc>
          <w:tcPr>
            <w:tcW w:w="1560" w:type="dxa"/>
            <w:vAlign w:val="bottom"/>
            <w:tcBorders>
              <w:bottom w:val="single" w:sz="8" w:color="auto"/>
            </w:tcBorders>
          </w:tcPr>
          <w:p>
            <w:pPr>
              <w:spacing w:after="0"/>
              <w:rPr>
                <w:sz w:val="4"/>
                <w:szCs w:val="4"/>
                <w:color w:val="auto"/>
              </w:rPr>
            </w:pPr>
          </w:p>
        </w:tc>
        <w:tc>
          <w:tcPr>
            <w:tcW w:w="1380" w:type="dxa"/>
            <w:vAlign w:val="bottom"/>
            <w:tcBorders>
              <w:bottom w:val="single" w:sz="8" w:color="auto"/>
            </w:tcBorders>
          </w:tcPr>
          <w:p>
            <w:pPr>
              <w:spacing w:after="0"/>
              <w:rPr>
                <w:sz w:val="4"/>
                <w:szCs w:val="4"/>
                <w:color w:val="auto"/>
              </w:rPr>
            </w:pPr>
          </w:p>
        </w:tc>
        <w:tc>
          <w:tcPr>
            <w:tcW w:w="1120" w:type="dxa"/>
            <w:vAlign w:val="bottom"/>
            <w:tcBorders>
              <w:bottom w:val="single" w:sz="8" w:color="auto"/>
            </w:tcBorders>
          </w:tcPr>
          <w:p>
            <w:pPr>
              <w:spacing w:after="0"/>
              <w:rPr>
                <w:sz w:val="4"/>
                <w:szCs w:val="4"/>
                <w:color w:val="auto"/>
              </w:rPr>
            </w:pPr>
          </w:p>
        </w:tc>
        <w:tc>
          <w:tcPr>
            <w:tcW w:w="426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112" w:right="339" w:bottom="1440" w:gutter="0" w:footer="0" w:header="0"/>
        </w:sectPr>
      </w:pPr>
    </w:p>
    <w:bookmarkStart w:id="44" w:name="page45"/>
    <w:bookmarkEnd w:id="44"/>
    <w:p>
      <w:pPr>
        <w:jc w:val="both"/>
        <w:ind w:firstLine="324"/>
        <w:spacing w:after="0" w:line="311" w:lineRule="auto"/>
        <w:rPr>
          <w:sz w:val="20"/>
          <w:szCs w:val="20"/>
          <w:color w:val="auto"/>
        </w:rPr>
      </w:pPr>
      <w:r>
        <w:rPr>
          <w:rFonts w:ascii="Arial" w:cs="Arial" w:eastAsia="Arial" w:hAnsi="Arial"/>
          <w:sz w:val="16"/>
          <w:szCs w:val="16"/>
          <w:color w:val="auto"/>
        </w:rPr>
        <w:t>Note: The average purchase price before becoming a shareholder refers to the quotient of purchase amount divided by purchase quantity concerning products with the same specification before ACMR became a shareholder of NINEBELL in 2017; the average purchase price after becoming a shareholder refers to the quotient of purchase amount divided by purchase quantity concerning products with the same specification in 2018.</w:t>
      </w:r>
    </w:p>
    <w:p>
      <w:pPr>
        <w:spacing w:after="0" w:line="176"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Around the time when ACMR became a shareholder of NINEBELL, the price of robotic arms purchased from NINEBELL by the Issuer remained basically stable.</w:t>
      </w:r>
    </w:p>
    <w:p>
      <w:pPr>
        <w:spacing w:after="0" w:line="197" w:lineRule="exact"/>
        <w:rPr>
          <w:sz w:val="20"/>
          <w:szCs w:val="20"/>
          <w:color w:val="auto"/>
        </w:rPr>
      </w:pPr>
    </w:p>
    <w:p>
      <w:pPr>
        <w:ind w:left="340"/>
        <w:spacing w:after="0"/>
        <w:rPr>
          <w:sz w:val="20"/>
          <w:szCs w:val="20"/>
          <w:color w:val="auto"/>
        </w:rPr>
      </w:pPr>
      <w:r>
        <w:rPr>
          <w:rFonts w:ascii="Arial" w:cs="Arial" w:eastAsia="Arial" w:hAnsi="Arial"/>
          <w:sz w:val="16"/>
          <w:szCs w:val="16"/>
          <w:color w:val="auto"/>
        </w:rPr>
        <w:t>The price of robotic arms purchased from NINEBELL is market-oriented, and there is no evidence of unfair price driven by related-party transactions.</w:t>
      </w:r>
    </w:p>
    <w:p>
      <w:pPr>
        <w:spacing w:after="0" w:line="268" w:lineRule="exact"/>
        <w:rPr>
          <w:sz w:val="20"/>
          <w:szCs w:val="20"/>
          <w:color w:val="auto"/>
        </w:rPr>
      </w:pPr>
    </w:p>
    <w:p>
      <w:pPr>
        <w:ind w:left="340"/>
        <w:spacing w:after="0"/>
        <w:rPr>
          <w:sz w:val="20"/>
          <w:szCs w:val="20"/>
          <w:color w:val="auto"/>
        </w:rPr>
      </w:pPr>
      <w:r>
        <w:rPr>
          <w:rFonts w:ascii="Arial" w:cs="Arial" w:eastAsia="Arial" w:hAnsi="Arial"/>
          <w:sz w:val="22"/>
          <w:szCs w:val="22"/>
          <w:color w:val="auto"/>
        </w:rPr>
        <w:t>(3) NINEBELL’s Profitability</w:t>
      </w:r>
    </w:p>
    <w:p>
      <w:pPr>
        <w:spacing w:after="0" w:line="233" w:lineRule="exact"/>
        <w:rPr>
          <w:sz w:val="20"/>
          <w:szCs w:val="20"/>
          <w:color w:val="auto"/>
        </w:rPr>
      </w:pPr>
    </w:p>
    <w:p>
      <w:pPr>
        <w:jc w:val="center"/>
        <w:ind w:right="-39"/>
        <w:spacing w:after="0"/>
        <w:rPr>
          <w:sz w:val="20"/>
          <w:szCs w:val="20"/>
          <w:color w:val="auto"/>
        </w:rPr>
      </w:pPr>
      <w:r>
        <w:rPr>
          <w:rFonts w:ascii="Arial" w:cs="Arial" w:eastAsia="Arial" w:hAnsi="Arial"/>
          <w:sz w:val="21"/>
          <w:szCs w:val="21"/>
          <w:color w:val="auto"/>
        </w:rPr>
        <w:t>According to the management financial statements of NINEBELL in 2017, 2018 and 2019, its profitability was as follows:</w:t>
      </w:r>
    </w:p>
    <w:p>
      <w:pPr>
        <w:spacing w:after="0" w:line="246" w:lineRule="exact"/>
        <w:rPr>
          <w:sz w:val="20"/>
          <w:szCs w:val="20"/>
          <w:color w:val="auto"/>
        </w:rPr>
      </w:pPr>
    </w:p>
    <w:tbl>
      <w:tblPr>
        <w:tblLayout w:type="fixed"/>
        <w:tblInd w:w="10" w:type="dxa"/>
        <w:tblCellMar>
          <w:top w:w="0" w:type="dxa"/>
          <w:left w:w="0" w:type="dxa"/>
          <w:bottom w:w="0" w:type="dxa"/>
          <w:right w:w="0" w:type="dxa"/>
        </w:tblCellMar>
      </w:tblPr>
      <w:tr>
        <w:trPr>
          <w:trHeight w:val="250"/>
        </w:trPr>
        <w:tc>
          <w:tcPr>
            <w:tcW w:w="4060" w:type="dxa"/>
            <w:vAlign w:val="bottom"/>
            <w:tcBorders>
              <w:top w:val="single" w:sz="8" w:color="auto"/>
              <w:left w:val="single" w:sz="8" w:color="auto"/>
              <w:bottom w:val="single" w:sz="8" w:color="auto"/>
              <w:right w:val="single" w:sz="8" w:color="auto"/>
            </w:tcBorders>
          </w:tcPr>
          <w:p>
            <w:pPr>
              <w:ind w:left="1860"/>
              <w:spacing w:after="0"/>
              <w:rPr>
                <w:sz w:val="20"/>
                <w:szCs w:val="20"/>
                <w:color w:val="auto"/>
              </w:rPr>
            </w:pPr>
            <w:r>
              <w:rPr>
                <w:rFonts w:ascii="Arial" w:cs="Arial" w:eastAsia="Arial" w:hAnsi="Arial"/>
                <w:sz w:val="18"/>
                <w:szCs w:val="18"/>
                <w:b w:val="1"/>
                <w:bCs w:val="1"/>
                <w:color w:val="auto"/>
              </w:rPr>
              <w:t>Item</w:t>
            </w:r>
          </w:p>
        </w:tc>
        <w:tc>
          <w:tcPr>
            <w:tcW w:w="2120" w:type="dxa"/>
            <w:vAlign w:val="bottom"/>
            <w:tcBorders>
              <w:top w:val="single" w:sz="8" w:color="auto"/>
              <w:bottom w:val="single" w:sz="8" w:color="auto"/>
              <w:right w:val="single" w:sz="8" w:color="auto"/>
            </w:tcBorders>
          </w:tcPr>
          <w:p>
            <w:pPr>
              <w:jc w:val="right"/>
              <w:ind w:right="810"/>
              <w:spacing w:after="0"/>
              <w:rPr>
                <w:sz w:val="20"/>
                <w:szCs w:val="20"/>
                <w:color w:val="auto"/>
              </w:rPr>
            </w:pPr>
            <w:r>
              <w:rPr>
                <w:rFonts w:ascii="Arial" w:cs="Arial" w:eastAsia="Arial" w:hAnsi="Arial"/>
                <w:sz w:val="18"/>
                <w:szCs w:val="18"/>
                <w:b w:val="1"/>
                <w:bCs w:val="1"/>
                <w:color w:val="auto"/>
              </w:rPr>
              <w:t>2019</w:t>
            </w:r>
          </w:p>
        </w:tc>
        <w:tc>
          <w:tcPr>
            <w:tcW w:w="1900" w:type="dxa"/>
            <w:vAlign w:val="bottom"/>
            <w:tcBorders>
              <w:top w:val="single" w:sz="8" w:color="auto"/>
              <w:bottom w:val="single" w:sz="8" w:color="auto"/>
              <w:right w:val="single" w:sz="8" w:color="auto"/>
            </w:tcBorders>
          </w:tcPr>
          <w:p>
            <w:pPr>
              <w:jc w:val="right"/>
              <w:ind w:right="690"/>
              <w:spacing w:after="0"/>
              <w:rPr>
                <w:sz w:val="20"/>
                <w:szCs w:val="20"/>
                <w:color w:val="auto"/>
              </w:rPr>
            </w:pPr>
            <w:r>
              <w:rPr>
                <w:rFonts w:ascii="Arial" w:cs="Arial" w:eastAsia="Arial" w:hAnsi="Arial"/>
                <w:sz w:val="18"/>
                <w:szCs w:val="18"/>
                <w:b w:val="1"/>
                <w:bCs w:val="1"/>
                <w:color w:val="auto"/>
              </w:rPr>
              <w:t>2018</w:t>
            </w:r>
          </w:p>
        </w:tc>
        <w:tc>
          <w:tcPr>
            <w:tcW w:w="2020" w:type="dxa"/>
            <w:vAlign w:val="bottom"/>
            <w:tcBorders>
              <w:top w:val="single" w:sz="8" w:color="auto"/>
              <w:bottom w:val="single" w:sz="8" w:color="auto"/>
              <w:right w:val="single" w:sz="8" w:color="auto"/>
            </w:tcBorders>
          </w:tcPr>
          <w:p>
            <w:pPr>
              <w:jc w:val="right"/>
              <w:ind w:right="750"/>
              <w:spacing w:after="0"/>
              <w:rPr>
                <w:sz w:val="20"/>
                <w:szCs w:val="20"/>
                <w:color w:val="auto"/>
              </w:rPr>
            </w:pPr>
            <w:r>
              <w:rPr>
                <w:rFonts w:ascii="Arial" w:cs="Arial" w:eastAsia="Arial" w:hAnsi="Arial"/>
                <w:sz w:val="18"/>
                <w:szCs w:val="18"/>
                <w:b w:val="1"/>
                <w:bCs w:val="1"/>
                <w:color w:val="auto"/>
              </w:rPr>
              <w:t>2017</w:t>
            </w:r>
          </w:p>
        </w:tc>
      </w:tr>
      <w:tr>
        <w:trPr>
          <w:trHeight w:val="223"/>
        </w:trPr>
        <w:tc>
          <w:tcPr>
            <w:tcW w:w="406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Gross profit margin</w:t>
            </w:r>
          </w:p>
        </w:tc>
        <w:tc>
          <w:tcPr>
            <w:tcW w:w="212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22.74%</w:t>
            </w:r>
          </w:p>
        </w:tc>
        <w:tc>
          <w:tcPr>
            <w:tcW w:w="190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18.92%</w:t>
            </w:r>
          </w:p>
        </w:tc>
        <w:tc>
          <w:tcPr>
            <w:tcW w:w="202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27.42%</w:t>
            </w:r>
          </w:p>
        </w:tc>
      </w:tr>
      <w:tr>
        <w:trPr>
          <w:trHeight w:val="223"/>
        </w:trPr>
        <w:tc>
          <w:tcPr>
            <w:tcW w:w="406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Including: Gross profit margin of robotic arms</w:t>
            </w:r>
          </w:p>
        </w:tc>
        <w:tc>
          <w:tcPr>
            <w:tcW w:w="212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23.13%</w:t>
            </w:r>
          </w:p>
        </w:tc>
        <w:tc>
          <w:tcPr>
            <w:tcW w:w="190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19.12%</w:t>
            </w:r>
          </w:p>
        </w:tc>
        <w:tc>
          <w:tcPr>
            <w:tcW w:w="202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27.40%</w:t>
            </w:r>
          </w:p>
        </w:tc>
      </w:tr>
      <w:tr>
        <w:trPr>
          <w:trHeight w:val="223"/>
        </w:trPr>
        <w:tc>
          <w:tcPr>
            <w:tcW w:w="4060" w:type="dxa"/>
            <w:vAlign w:val="bottom"/>
            <w:tcBorders>
              <w:left w:val="single" w:sz="8" w:color="auto"/>
              <w:bottom w:val="single" w:sz="8" w:color="auto"/>
              <w:right w:val="single" w:sz="8" w:color="auto"/>
            </w:tcBorders>
          </w:tcPr>
          <w:p>
            <w:pPr>
              <w:ind w:left="180"/>
              <w:spacing w:after="0"/>
              <w:rPr>
                <w:sz w:val="20"/>
                <w:szCs w:val="20"/>
                <w:color w:val="auto"/>
              </w:rPr>
            </w:pPr>
            <w:r>
              <w:rPr>
                <w:rFonts w:ascii="Arial" w:cs="Arial" w:eastAsia="Arial" w:hAnsi="Arial"/>
                <w:sz w:val="18"/>
                <w:szCs w:val="18"/>
                <w:color w:val="auto"/>
              </w:rPr>
              <w:t>Gross profit margin of other business</w:t>
            </w:r>
          </w:p>
        </w:tc>
        <w:tc>
          <w:tcPr>
            <w:tcW w:w="212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17.16%</w:t>
            </w:r>
          </w:p>
        </w:tc>
        <w:tc>
          <w:tcPr>
            <w:tcW w:w="190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17.92%</w:t>
            </w:r>
          </w:p>
        </w:tc>
        <w:tc>
          <w:tcPr>
            <w:tcW w:w="202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27.61%</w:t>
            </w:r>
          </w:p>
        </w:tc>
      </w:tr>
      <w:tr>
        <w:trPr>
          <w:trHeight w:val="223"/>
        </w:trPr>
        <w:tc>
          <w:tcPr>
            <w:tcW w:w="406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Net profit margin</w:t>
            </w:r>
          </w:p>
        </w:tc>
        <w:tc>
          <w:tcPr>
            <w:tcW w:w="212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9.74%</w:t>
            </w:r>
          </w:p>
        </w:tc>
        <w:tc>
          <w:tcPr>
            <w:tcW w:w="190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8.00%</w:t>
            </w:r>
          </w:p>
        </w:tc>
        <w:tc>
          <w:tcPr>
            <w:tcW w:w="202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10.01%</w:t>
            </w:r>
          </w:p>
        </w:tc>
      </w:tr>
    </w:tbl>
    <w:p>
      <w:pPr>
        <w:spacing w:after="0" w:line="222" w:lineRule="exact"/>
        <w:rPr>
          <w:sz w:val="20"/>
          <w:szCs w:val="20"/>
          <w:color w:val="auto"/>
        </w:rPr>
      </w:pPr>
    </w:p>
    <w:p>
      <w:pPr>
        <w:jc w:val="both"/>
        <w:ind w:firstLine="324"/>
        <w:spacing w:after="0" w:line="250" w:lineRule="auto"/>
        <w:rPr>
          <w:sz w:val="20"/>
          <w:szCs w:val="20"/>
          <w:color w:val="auto"/>
        </w:rPr>
      </w:pPr>
      <w:r>
        <w:rPr>
          <w:rFonts w:ascii="Arial" w:cs="Arial" w:eastAsia="Arial" w:hAnsi="Arial"/>
          <w:sz w:val="22"/>
          <w:szCs w:val="22"/>
          <w:color w:val="auto"/>
        </w:rPr>
        <w:t>As shown above, NINEBELL is engaged in the production and sales of robotic arms, and its gross profit margin and net profit margin are both positive.</w:t>
      </w:r>
    </w:p>
    <w:p>
      <w:pPr>
        <w:spacing w:after="0" w:line="209"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NINEBELL mainly engages in the production and sales of robotic arms and wafer processing systems, having ACMSH, Shanghai Kingstone Semiconductor Corp. and AIBT, among others, as its main customers. Its robotic arms were sold to the Company, the income from which took up a comparatively higher proportion in the operating income of NINEBELL, accounting for 93.47%, 92.43% and 83.21% respectively in the past three calendar years; and the wafer processing systems were sold to other companies.</w:t>
      </w:r>
    </w:p>
    <w:p>
      <w:pPr>
        <w:spacing w:after="0" w:line="38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8-4-1-41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5" w:name="page46"/>
    <w:bookmarkEnd w:id="45"/>
    <w:p>
      <w:pPr>
        <w:ind w:right="140" w:firstLine="324"/>
        <w:spacing w:after="0" w:line="241" w:lineRule="auto"/>
        <w:rPr>
          <w:sz w:val="20"/>
          <w:szCs w:val="20"/>
          <w:color w:val="auto"/>
        </w:rPr>
      </w:pPr>
      <w:r>
        <w:rPr>
          <w:rFonts w:ascii="Arial" w:cs="Arial" w:eastAsia="Arial" w:hAnsi="Arial"/>
          <w:sz w:val="22"/>
          <w:szCs w:val="22"/>
          <w:color w:val="auto"/>
        </w:rPr>
        <w:t>The gross profit margin and the operating profit margin on robotic arms of NINEBELL are in line with the industry practice, which are slightly different from those of the world-famous robotic arm manufacturers, mainly because of the difference in product models and robot uses, as detailed below:</w:t>
      </w:r>
    </w:p>
    <w:p>
      <w:pPr>
        <w:spacing w:after="0" w:line="212" w:lineRule="exact"/>
        <w:rPr>
          <w:sz w:val="20"/>
          <w:szCs w:val="20"/>
          <w:color w:val="auto"/>
        </w:rPr>
      </w:pPr>
    </w:p>
    <w:tbl>
      <w:tblPr>
        <w:tblLayout w:type="fixed"/>
        <w:tblInd w:w="10" w:type="dxa"/>
        <w:tblCellMar>
          <w:top w:w="0" w:type="dxa"/>
          <w:left w:w="0" w:type="dxa"/>
          <w:bottom w:w="0" w:type="dxa"/>
          <w:right w:w="0" w:type="dxa"/>
        </w:tblCellMar>
      </w:tblPr>
      <w:tr>
        <w:trPr>
          <w:trHeight w:val="250"/>
        </w:trPr>
        <w:tc>
          <w:tcPr>
            <w:tcW w:w="2040" w:type="dxa"/>
            <w:vAlign w:val="bottom"/>
            <w:tcBorders>
              <w:top w:val="single" w:sz="8" w:color="auto"/>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91"/>
              </w:rPr>
              <w:t>Company Name</w:t>
            </w:r>
          </w:p>
        </w:tc>
        <w:tc>
          <w:tcPr>
            <w:tcW w:w="502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97"/>
              </w:rPr>
              <w:t>Item</w:t>
            </w:r>
          </w:p>
        </w:tc>
        <w:tc>
          <w:tcPr>
            <w:tcW w:w="142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2019</w:t>
            </w:r>
          </w:p>
        </w:tc>
        <w:tc>
          <w:tcPr>
            <w:tcW w:w="174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2018</w:t>
            </w:r>
          </w:p>
        </w:tc>
        <w:tc>
          <w:tcPr>
            <w:tcW w:w="102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2017</w:t>
            </w:r>
          </w:p>
        </w:tc>
        <w:tc>
          <w:tcPr>
            <w:tcW w:w="0" w:type="dxa"/>
            <w:vAlign w:val="bottom"/>
          </w:tcPr>
          <w:p>
            <w:pPr>
              <w:spacing w:after="0"/>
              <w:rPr>
                <w:sz w:val="1"/>
                <w:szCs w:val="1"/>
                <w:color w:val="auto"/>
              </w:rPr>
            </w:pPr>
          </w:p>
        </w:tc>
      </w:tr>
      <w:tr>
        <w:trPr>
          <w:trHeight w:val="223"/>
        </w:trPr>
        <w:tc>
          <w:tcPr>
            <w:tcW w:w="204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18"/>
                <w:szCs w:val="18"/>
                <w:color w:val="auto"/>
                <w:w w:val="96"/>
              </w:rPr>
              <w:t>YASKAWA</w:t>
            </w:r>
          </w:p>
        </w:tc>
        <w:tc>
          <w:tcPr>
            <w:tcW w:w="50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2"/>
              </w:rPr>
              <w:t>Gross profit margin</w:t>
            </w:r>
          </w:p>
        </w:tc>
        <w:tc>
          <w:tcPr>
            <w:tcW w:w="14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1"/>
              </w:rPr>
              <w:t>30.29%</w:t>
            </w:r>
          </w:p>
        </w:tc>
        <w:tc>
          <w:tcPr>
            <w:tcW w:w="17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1"/>
              </w:rPr>
              <w:t>32.94%</w:t>
            </w:r>
          </w:p>
        </w:tc>
        <w:tc>
          <w:tcPr>
            <w:tcW w:w="10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1"/>
              </w:rPr>
              <w:t>34.37%</w:t>
            </w:r>
          </w:p>
        </w:tc>
        <w:tc>
          <w:tcPr>
            <w:tcW w:w="0" w:type="dxa"/>
            <w:vAlign w:val="bottom"/>
          </w:tcPr>
          <w:p>
            <w:pPr>
              <w:spacing w:after="0"/>
              <w:rPr>
                <w:sz w:val="1"/>
                <w:szCs w:val="1"/>
                <w:color w:val="auto"/>
              </w:rPr>
            </w:pPr>
          </w:p>
        </w:tc>
      </w:tr>
      <w:tr>
        <w:trPr>
          <w:trHeight w:val="95"/>
        </w:trPr>
        <w:tc>
          <w:tcPr>
            <w:tcW w:w="2040" w:type="dxa"/>
            <w:vAlign w:val="bottom"/>
            <w:tcBorders>
              <w:left w:val="single" w:sz="8" w:color="auto"/>
              <w:right w:val="single" w:sz="8" w:color="auto"/>
            </w:tcBorders>
            <w:vMerge w:val="continue"/>
          </w:tcPr>
          <w:p>
            <w:pPr>
              <w:spacing w:after="0"/>
              <w:rPr>
                <w:sz w:val="8"/>
                <w:szCs w:val="8"/>
                <w:color w:val="auto"/>
              </w:rPr>
            </w:pPr>
          </w:p>
        </w:tc>
        <w:tc>
          <w:tcPr>
            <w:tcW w:w="50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2"/>
              </w:rPr>
              <w:t>Operating profit margin on robots</w:t>
            </w:r>
          </w:p>
        </w:tc>
        <w:tc>
          <w:tcPr>
            <w:tcW w:w="14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0"/>
              </w:rPr>
              <w:t>3.70%</w:t>
            </w:r>
          </w:p>
        </w:tc>
        <w:tc>
          <w:tcPr>
            <w:tcW w:w="174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1"/>
              </w:rPr>
              <w:t>10.10%</w:t>
            </w:r>
          </w:p>
        </w:tc>
        <w:tc>
          <w:tcPr>
            <w:tcW w:w="10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1"/>
              </w:rPr>
              <w:t>10.90%</w:t>
            </w:r>
          </w:p>
        </w:tc>
        <w:tc>
          <w:tcPr>
            <w:tcW w:w="0" w:type="dxa"/>
            <w:vAlign w:val="bottom"/>
          </w:tcPr>
          <w:p>
            <w:pPr>
              <w:spacing w:after="0"/>
              <w:rPr>
                <w:sz w:val="1"/>
                <w:szCs w:val="1"/>
                <w:color w:val="auto"/>
              </w:rPr>
            </w:pPr>
          </w:p>
        </w:tc>
      </w:tr>
      <w:tr>
        <w:trPr>
          <w:trHeight w:val="128"/>
        </w:trPr>
        <w:tc>
          <w:tcPr>
            <w:tcW w:w="2040" w:type="dxa"/>
            <w:vAlign w:val="bottom"/>
            <w:tcBorders>
              <w:left w:val="single" w:sz="8" w:color="auto"/>
              <w:bottom w:val="single" w:sz="8" w:color="auto"/>
              <w:right w:val="single" w:sz="8" w:color="auto"/>
            </w:tcBorders>
          </w:tcPr>
          <w:p>
            <w:pPr>
              <w:spacing w:after="0"/>
              <w:rPr>
                <w:sz w:val="11"/>
                <w:szCs w:val="11"/>
                <w:color w:val="auto"/>
              </w:rPr>
            </w:pPr>
          </w:p>
        </w:tc>
        <w:tc>
          <w:tcPr>
            <w:tcW w:w="5020" w:type="dxa"/>
            <w:vAlign w:val="bottom"/>
            <w:tcBorders>
              <w:bottom w:val="single" w:sz="8" w:color="auto"/>
              <w:right w:val="single" w:sz="8" w:color="auto"/>
            </w:tcBorders>
            <w:vMerge w:val="continue"/>
          </w:tcPr>
          <w:p>
            <w:pPr>
              <w:spacing w:after="0"/>
              <w:rPr>
                <w:sz w:val="11"/>
                <w:szCs w:val="11"/>
                <w:color w:val="auto"/>
              </w:rPr>
            </w:pPr>
          </w:p>
        </w:tc>
        <w:tc>
          <w:tcPr>
            <w:tcW w:w="1420" w:type="dxa"/>
            <w:vAlign w:val="bottom"/>
            <w:tcBorders>
              <w:bottom w:val="single" w:sz="8" w:color="auto"/>
              <w:right w:val="single" w:sz="8" w:color="auto"/>
            </w:tcBorders>
            <w:vMerge w:val="continue"/>
          </w:tcPr>
          <w:p>
            <w:pPr>
              <w:spacing w:after="0"/>
              <w:rPr>
                <w:sz w:val="11"/>
                <w:szCs w:val="11"/>
                <w:color w:val="auto"/>
              </w:rPr>
            </w:pPr>
          </w:p>
        </w:tc>
        <w:tc>
          <w:tcPr>
            <w:tcW w:w="1740" w:type="dxa"/>
            <w:vAlign w:val="bottom"/>
            <w:tcBorders>
              <w:bottom w:val="single" w:sz="8" w:color="auto"/>
              <w:right w:val="single" w:sz="8" w:color="auto"/>
            </w:tcBorders>
            <w:vMerge w:val="continue"/>
          </w:tcPr>
          <w:p>
            <w:pPr>
              <w:spacing w:after="0"/>
              <w:rPr>
                <w:sz w:val="11"/>
                <w:szCs w:val="11"/>
                <w:color w:val="auto"/>
              </w:rPr>
            </w:pPr>
          </w:p>
        </w:tc>
        <w:tc>
          <w:tcPr>
            <w:tcW w:w="1020" w:type="dxa"/>
            <w:vAlign w:val="bottom"/>
            <w:tcBorders>
              <w:bottom w:val="single" w:sz="8" w:color="auto"/>
              <w:right w:val="single" w:sz="8" w:color="auto"/>
            </w:tcBorders>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223"/>
        </w:trPr>
        <w:tc>
          <w:tcPr>
            <w:tcW w:w="204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18"/>
                <w:szCs w:val="18"/>
                <w:color w:val="auto"/>
                <w:w w:val="92"/>
              </w:rPr>
              <w:t>Brooks</w:t>
            </w:r>
          </w:p>
        </w:tc>
        <w:tc>
          <w:tcPr>
            <w:tcW w:w="50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2"/>
              </w:rPr>
              <w:t>Gross profit margin</w:t>
            </w:r>
          </w:p>
        </w:tc>
        <w:tc>
          <w:tcPr>
            <w:tcW w:w="14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1"/>
              </w:rPr>
              <w:t>40.06%</w:t>
            </w:r>
          </w:p>
        </w:tc>
        <w:tc>
          <w:tcPr>
            <w:tcW w:w="17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1"/>
              </w:rPr>
              <w:t>40.23%</w:t>
            </w:r>
          </w:p>
        </w:tc>
        <w:tc>
          <w:tcPr>
            <w:tcW w:w="10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1"/>
              </w:rPr>
              <w:t>38.72%</w:t>
            </w:r>
          </w:p>
        </w:tc>
        <w:tc>
          <w:tcPr>
            <w:tcW w:w="0" w:type="dxa"/>
            <w:vAlign w:val="bottom"/>
          </w:tcPr>
          <w:p>
            <w:pPr>
              <w:spacing w:after="0"/>
              <w:rPr>
                <w:sz w:val="1"/>
                <w:szCs w:val="1"/>
                <w:color w:val="auto"/>
              </w:rPr>
            </w:pPr>
          </w:p>
        </w:tc>
      </w:tr>
      <w:tr>
        <w:trPr>
          <w:trHeight w:val="94"/>
        </w:trPr>
        <w:tc>
          <w:tcPr>
            <w:tcW w:w="2040" w:type="dxa"/>
            <w:vAlign w:val="bottom"/>
            <w:tcBorders>
              <w:left w:val="single" w:sz="8" w:color="auto"/>
              <w:right w:val="single" w:sz="8" w:color="auto"/>
            </w:tcBorders>
            <w:vMerge w:val="continue"/>
          </w:tcPr>
          <w:p>
            <w:pPr>
              <w:spacing w:after="0"/>
              <w:rPr>
                <w:sz w:val="8"/>
                <w:szCs w:val="8"/>
                <w:color w:val="auto"/>
              </w:rPr>
            </w:pPr>
          </w:p>
        </w:tc>
        <w:tc>
          <w:tcPr>
            <w:tcW w:w="50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1"/>
              </w:rPr>
              <w:t>Operating profit margin on robots and modules</w:t>
            </w:r>
          </w:p>
        </w:tc>
        <w:tc>
          <w:tcPr>
            <w:tcW w:w="14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1"/>
              </w:rPr>
              <w:t>15.66%</w:t>
            </w:r>
          </w:p>
        </w:tc>
        <w:tc>
          <w:tcPr>
            <w:tcW w:w="174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1"/>
              </w:rPr>
              <w:t>14.37%</w:t>
            </w:r>
          </w:p>
        </w:tc>
        <w:tc>
          <w:tcPr>
            <w:tcW w:w="10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88"/>
              </w:rPr>
              <w:t>11.28%</w:t>
            </w:r>
          </w:p>
        </w:tc>
        <w:tc>
          <w:tcPr>
            <w:tcW w:w="0" w:type="dxa"/>
            <w:vAlign w:val="bottom"/>
          </w:tcPr>
          <w:p>
            <w:pPr>
              <w:spacing w:after="0"/>
              <w:rPr>
                <w:sz w:val="1"/>
                <w:szCs w:val="1"/>
                <w:color w:val="auto"/>
              </w:rPr>
            </w:pPr>
          </w:p>
        </w:tc>
      </w:tr>
      <w:tr>
        <w:trPr>
          <w:trHeight w:val="128"/>
        </w:trPr>
        <w:tc>
          <w:tcPr>
            <w:tcW w:w="2040" w:type="dxa"/>
            <w:vAlign w:val="bottom"/>
            <w:tcBorders>
              <w:left w:val="single" w:sz="8" w:color="auto"/>
              <w:bottom w:val="single" w:sz="8" w:color="auto"/>
              <w:right w:val="single" w:sz="8" w:color="auto"/>
            </w:tcBorders>
          </w:tcPr>
          <w:p>
            <w:pPr>
              <w:spacing w:after="0"/>
              <w:rPr>
                <w:sz w:val="11"/>
                <w:szCs w:val="11"/>
                <w:color w:val="auto"/>
              </w:rPr>
            </w:pPr>
          </w:p>
        </w:tc>
        <w:tc>
          <w:tcPr>
            <w:tcW w:w="5020" w:type="dxa"/>
            <w:vAlign w:val="bottom"/>
            <w:tcBorders>
              <w:bottom w:val="single" w:sz="8" w:color="auto"/>
              <w:right w:val="single" w:sz="8" w:color="auto"/>
            </w:tcBorders>
            <w:vMerge w:val="continue"/>
          </w:tcPr>
          <w:p>
            <w:pPr>
              <w:spacing w:after="0"/>
              <w:rPr>
                <w:sz w:val="11"/>
                <w:szCs w:val="11"/>
                <w:color w:val="auto"/>
              </w:rPr>
            </w:pPr>
          </w:p>
        </w:tc>
        <w:tc>
          <w:tcPr>
            <w:tcW w:w="1420" w:type="dxa"/>
            <w:vAlign w:val="bottom"/>
            <w:tcBorders>
              <w:bottom w:val="single" w:sz="8" w:color="auto"/>
              <w:right w:val="single" w:sz="8" w:color="auto"/>
            </w:tcBorders>
            <w:vMerge w:val="continue"/>
          </w:tcPr>
          <w:p>
            <w:pPr>
              <w:spacing w:after="0"/>
              <w:rPr>
                <w:sz w:val="11"/>
                <w:szCs w:val="11"/>
                <w:color w:val="auto"/>
              </w:rPr>
            </w:pPr>
          </w:p>
        </w:tc>
        <w:tc>
          <w:tcPr>
            <w:tcW w:w="1740" w:type="dxa"/>
            <w:vAlign w:val="bottom"/>
            <w:tcBorders>
              <w:bottom w:val="single" w:sz="8" w:color="auto"/>
              <w:right w:val="single" w:sz="8" w:color="auto"/>
            </w:tcBorders>
            <w:vMerge w:val="continue"/>
          </w:tcPr>
          <w:p>
            <w:pPr>
              <w:spacing w:after="0"/>
              <w:rPr>
                <w:sz w:val="11"/>
                <w:szCs w:val="11"/>
                <w:color w:val="auto"/>
              </w:rPr>
            </w:pPr>
          </w:p>
        </w:tc>
        <w:tc>
          <w:tcPr>
            <w:tcW w:w="1020" w:type="dxa"/>
            <w:vAlign w:val="bottom"/>
            <w:tcBorders>
              <w:bottom w:val="single" w:sz="8" w:color="auto"/>
              <w:right w:val="single" w:sz="8" w:color="auto"/>
            </w:tcBorders>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223"/>
        </w:trPr>
        <w:tc>
          <w:tcPr>
            <w:tcW w:w="204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18"/>
                <w:szCs w:val="18"/>
                <w:color w:val="auto"/>
                <w:w w:val="91"/>
              </w:rPr>
              <w:t>Nidec</w:t>
            </w:r>
          </w:p>
        </w:tc>
        <w:tc>
          <w:tcPr>
            <w:tcW w:w="50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2"/>
              </w:rPr>
              <w:t>Gross profit margin</w:t>
            </w:r>
          </w:p>
        </w:tc>
        <w:tc>
          <w:tcPr>
            <w:tcW w:w="14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1"/>
              </w:rPr>
              <w:t>23.96%</w:t>
            </w:r>
          </w:p>
        </w:tc>
        <w:tc>
          <w:tcPr>
            <w:tcW w:w="17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1"/>
              </w:rPr>
              <w:t>22.76%</w:t>
            </w:r>
          </w:p>
        </w:tc>
        <w:tc>
          <w:tcPr>
            <w:tcW w:w="10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1"/>
              </w:rPr>
              <w:t>21.76%</w:t>
            </w:r>
          </w:p>
        </w:tc>
        <w:tc>
          <w:tcPr>
            <w:tcW w:w="0" w:type="dxa"/>
            <w:vAlign w:val="bottom"/>
          </w:tcPr>
          <w:p>
            <w:pPr>
              <w:spacing w:after="0"/>
              <w:rPr>
                <w:sz w:val="1"/>
                <w:szCs w:val="1"/>
                <w:color w:val="auto"/>
              </w:rPr>
            </w:pPr>
          </w:p>
        </w:tc>
      </w:tr>
      <w:tr>
        <w:trPr>
          <w:trHeight w:val="94"/>
        </w:trPr>
        <w:tc>
          <w:tcPr>
            <w:tcW w:w="2040" w:type="dxa"/>
            <w:vAlign w:val="bottom"/>
            <w:tcBorders>
              <w:left w:val="single" w:sz="8" w:color="auto"/>
              <w:right w:val="single" w:sz="8" w:color="auto"/>
            </w:tcBorders>
            <w:vMerge w:val="continue"/>
          </w:tcPr>
          <w:p>
            <w:pPr>
              <w:spacing w:after="0"/>
              <w:rPr>
                <w:sz w:val="8"/>
                <w:szCs w:val="8"/>
                <w:color w:val="auto"/>
              </w:rPr>
            </w:pPr>
          </w:p>
        </w:tc>
        <w:tc>
          <w:tcPr>
            <w:tcW w:w="50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3"/>
              </w:rPr>
              <w:t>Operating profit margin</w:t>
            </w:r>
          </w:p>
        </w:tc>
        <w:tc>
          <w:tcPr>
            <w:tcW w:w="14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0"/>
              </w:rPr>
              <w:t>7.10%</w:t>
            </w:r>
          </w:p>
        </w:tc>
        <w:tc>
          <w:tcPr>
            <w:tcW w:w="174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0"/>
              </w:rPr>
              <w:t>8.80%</w:t>
            </w:r>
          </w:p>
        </w:tc>
        <w:tc>
          <w:tcPr>
            <w:tcW w:w="10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88"/>
              </w:rPr>
              <w:t>11.40%</w:t>
            </w:r>
          </w:p>
        </w:tc>
        <w:tc>
          <w:tcPr>
            <w:tcW w:w="0" w:type="dxa"/>
            <w:vAlign w:val="bottom"/>
          </w:tcPr>
          <w:p>
            <w:pPr>
              <w:spacing w:after="0"/>
              <w:rPr>
                <w:sz w:val="1"/>
                <w:szCs w:val="1"/>
                <w:color w:val="auto"/>
              </w:rPr>
            </w:pPr>
          </w:p>
        </w:tc>
      </w:tr>
      <w:tr>
        <w:trPr>
          <w:trHeight w:val="128"/>
        </w:trPr>
        <w:tc>
          <w:tcPr>
            <w:tcW w:w="2040" w:type="dxa"/>
            <w:vAlign w:val="bottom"/>
            <w:tcBorders>
              <w:left w:val="single" w:sz="8" w:color="auto"/>
              <w:bottom w:val="single" w:sz="8" w:color="auto"/>
              <w:right w:val="single" w:sz="8" w:color="auto"/>
            </w:tcBorders>
          </w:tcPr>
          <w:p>
            <w:pPr>
              <w:spacing w:after="0"/>
              <w:rPr>
                <w:sz w:val="11"/>
                <w:szCs w:val="11"/>
                <w:color w:val="auto"/>
              </w:rPr>
            </w:pPr>
          </w:p>
        </w:tc>
        <w:tc>
          <w:tcPr>
            <w:tcW w:w="5020" w:type="dxa"/>
            <w:vAlign w:val="bottom"/>
            <w:tcBorders>
              <w:bottom w:val="single" w:sz="8" w:color="auto"/>
              <w:right w:val="single" w:sz="8" w:color="auto"/>
            </w:tcBorders>
            <w:vMerge w:val="continue"/>
          </w:tcPr>
          <w:p>
            <w:pPr>
              <w:spacing w:after="0"/>
              <w:rPr>
                <w:sz w:val="11"/>
                <w:szCs w:val="11"/>
                <w:color w:val="auto"/>
              </w:rPr>
            </w:pPr>
          </w:p>
        </w:tc>
        <w:tc>
          <w:tcPr>
            <w:tcW w:w="1420" w:type="dxa"/>
            <w:vAlign w:val="bottom"/>
            <w:tcBorders>
              <w:bottom w:val="single" w:sz="8" w:color="auto"/>
              <w:right w:val="single" w:sz="8" w:color="auto"/>
            </w:tcBorders>
            <w:vMerge w:val="continue"/>
          </w:tcPr>
          <w:p>
            <w:pPr>
              <w:spacing w:after="0"/>
              <w:rPr>
                <w:sz w:val="11"/>
                <w:szCs w:val="11"/>
                <w:color w:val="auto"/>
              </w:rPr>
            </w:pPr>
          </w:p>
        </w:tc>
        <w:tc>
          <w:tcPr>
            <w:tcW w:w="1740" w:type="dxa"/>
            <w:vAlign w:val="bottom"/>
            <w:tcBorders>
              <w:bottom w:val="single" w:sz="8" w:color="auto"/>
              <w:right w:val="single" w:sz="8" w:color="auto"/>
            </w:tcBorders>
            <w:vMerge w:val="continue"/>
          </w:tcPr>
          <w:p>
            <w:pPr>
              <w:spacing w:after="0"/>
              <w:rPr>
                <w:sz w:val="11"/>
                <w:szCs w:val="11"/>
                <w:color w:val="auto"/>
              </w:rPr>
            </w:pPr>
          </w:p>
        </w:tc>
        <w:tc>
          <w:tcPr>
            <w:tcW w:w="1020" w:type="dxa"/>
            <w:vAlign w:val="bottom"/>
            <w:tcBorders>
              <w:bottom w:val="single" w:sz="8" w:color="auto"/>
              <w:right w:val="single" w:sz="8" w:color="auto"/>
            </w:tcBorders>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223"/>
        </w:trPr>
        <w:tc>
          <w:tcPr>
            <w:tcW w:w="204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18"/>
                <w:szCs w:val="18"/>
                <w:color w:val="auto"/>
                <w:w w:val="91"/>
              </w:rPr>
              <w:t>RORZE</w:t>
            </w:r>
          </w:p>
        </w:tc>
        <w:tc>
          <w:tcPr>
            <w:tcW w:w="50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2"/>
              </w:rPr>
              <w:t>Gross profit margin</w:t>
            </w:r>
          </w:p>
        </w:tc>
        <w:tc>
          <w:tcPr>
            <w:tcW w:w="14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1"/>
              </w:rPr>
              <w:t>35.80%</w:t>
            </w:r>
          </w:p>
        </w:tc>
        <w:tc>
          <w:tcPr>
            <w:tcW w:w="17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1"/>
              </w:rPr>
              <w:t>33.63%</w:t>
            </w:r>
          </w:p>
        </w:tc>
        <w:tc>
          <w:tcPr>
            <w:tcW w:w="10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1"/>
              </w:rPr>
              <w:t>17.69%</w:t>
            </w:r>
          </w:p>
        </w:tc>
        <w:tc>
          <w:tcPr>
            <w:tcW w:w="0" w:type="dxa"/>
            <w:vAlign w:val="bottom"/>
          </w:tcPr>
          <w:p>
            <w:pPr>
              <w:spacing w:after="0"/>
              <w:rPr>
                <w:sz w:val="1"/>
                <w:szCs w:val="1"/>
                <w:color w:val="auto"/>
              </w:rPr>
            </w:pPr>
          </w:p>
        </w:tc>
      </w:tr>
      <w:tr>
        <w:trPr>
          <w:trHeight w:val="94"/>
        </w:trPr>
        <w:tc>
          <w:tcPr>
            <w:tcW w:w="2040" w:type="dxa"/>
            <w:vAlign w:val="bottom"/>
            <w:tcBorders>
              <w:left w:val="single" w:sz="8" w:color="auto"/>
              <w:right w:val="single" w:sz="8" w:color="auto"/>
            </w:tcBorders>
            <w:vMerge w:val="continue"/>
          </w:tcPr>
          <w:p>
            <w:pPr>
              <w:spacing w:after="0"/>
              <w:rPr>
                <w:sz w:val="8"/>
                <w:szCs w:val="8"/>
                <w:color w:val="auto"/>
              </w:rPr>
            </w:pPr>
          </w:p>
        </w:tc>
        <w:tc>
          <w:tcPr>
            <w:tcW w:w="50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3"/>
              </w:rPr>
              <w:t>Operating profit margin</w:t>
            </w:r>
          </w:p>
        </w:tc>
        <w:tc>
          <w:tcPr>
            <w:tcW w:w="14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1"/>
              </w:rPr>
              <w:t>20.87%</w:t>
            </w:r>
          </w:p>
        </w:tc>
        <w:tc>
          <w:tcPr>
            <w:tcW w:w="174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1"/>
              </w:rPr>
              <w:t>18.53%</w:t>
            </w:r>
          </w:p>
        </w:tc>
        <w:tc>
          <w:tcPr>
            <w:tcW w:w="10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0"/>
              </w:rPr>
              <w:t>8.11%</w:t>
            </w:r>
          </w:p>
        </w:tc>
        <w:tc>
          <w:tcPr>
            <w:tcW w:w="0" w:type="dxa"/>
            <w:vAlign w:val="bottom"/>
          </w:tcPr>
          <w:p>
            <w:pPr>
              <w:spacing w:after="0"/>
              <w:rPr>
                <w:sz w:val="1"/>
                <w:szCs w:val="1"/>
                <w:color w:val="auto"/>
              </w:rPr>
            </w:pPr>
          </w:p>
        </w:tc>
      </w:tr>
      <w:tr>
        <w:trPr>
          <w:trHeight w:val="128"/>
        </w:trPr>
        <w:tc>
          <w:tcPr>
            <w:tcW w:w="2040" w:type="dxa"/>
            <w:vAlign w:val="bottom"/>
            <w:tcBorders>
              <w:left w:val="single" w:sz="8" w:color="auto"/>
              <w:bottom w:val="single" w:sz="8" w:color="auto"/>
              <w:right w:val="single" w:sz="8" w:color="auto"/>
            </w:tcBorders>
          </w:tcPr>
          <w:p>
            <w:pPr>
              <w:spacing w:after="0"/>
              <w:rPr>
                <w:sz w:val="11"/>
                <w:szCs w:val="11"/>
                <w:color w:val="auto"/>
              </w:rPr>
            </w:pPr>
          </w:p>
        </w:tc>
        <w:tc>
          <w:tcPr>
            <w:tcW w:w="5020" w:type="dxa"/>
            <w:vAlign w:val="bottom"/>
            <w:tcBorders>
              <w:bottom w:val="single" w:sz="8" w:color="auto"/>
              <w:right w:val="single" w:sz="8" w:color="auto"/>
            </w:tcBorders>
            <w:vMerge w:val="continue"/>
          </w:tcPr>
          <w:p>
            <w:pPr>
              <w:spacing w:after="0"/>
              <w:rPr>
                <w:sz w:val="11"/>
                <w:szCs w:val="11"/>
                <w:color w:val="auto"/>
              </w:rPr>
            </w:pPr>
          </w:p>
        </w:tc>
        <w:tc>
          <w:tcPr>
            <w:tcW w:w="1420" w:type="dxa"/>
            <w:vAlign w:val="bottom"/>
            <w:tcBorders>
              <w:bottom w:val="single" w:sz="8" w:color="auto"/>
              <w:right w:val="single" w:sz="8" w:color="auto"/>
            </w:tcBorders>
            <w:vMerge w:val="continue"/>
          </w:tcPr>
          <w:p>
            <w:pPr>
              <w:spacing w:after="0"/>
              <w:rPr>
                <w:sz w:val="11"/>
                <w:szCs w:val="11"/>
                <w:color w:val="auto"/>
              </w:rPr>
            </w:pPr>
          </w:p>
        </w:tc>
        <w:tc>
          <w:tcPr>
            <w:tcW w:w="1740" w:type="dxa"/>
            <w:vAlign w:val="bottom"/>
            <w:tcBorders>
              <w:bottom w:val="single" w:sz="8" w:color="auto"/>
              <w:right w:val="single" w:sz="8" w:color="auto"/>
            </w:tcBorders>
            <w:vMerge w:val="continue"/>
          </w:tcPr>
          <w:p>
            <w:pPr>
              <w:spacing w:after="0"/>
              <w:rPr>
                <w:sz w:val="11"/>
                <w:szCs w:val="11"/>
                <w:color w:val="auto"/>
              </w:rPr>
            </w:pPr>
          </w:p>
        </w:tc>
        <w:tc>
          <w:tcPr>
            <w:tcW w:w="1020" w:type="dxa"/>
            <w:vAlign w:val="bottom"/>
            <w:tcBorders>
              <w:bottom w:val="single" w:sz="8" w:color="auto"/>
              <w:right w:val="single" w:sz="8" w:color="auto"/>
            </w:tcBorders>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223"/>
        </w:trPr>
        <w:tc>
          <w:tcPr>
            <w:tcW w:w="204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18"/>
                <w:szCs w:val="18"/>
                <w:color w:val="auto"/>
              </w:rPr>
              <w:t>NINEBELL</w:t>
            </w:r>
          </w:p>
        </w:tc>
        <w:tc>
          <w:tcPr>
            <w:tcW w:w="50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2"/>
              </w:rPr>
              <w:t>Gross profit margin</w:t>
            </w:r>
          </w:p>
        </w:tc>
        <w:tc>
          <w:tcPr>
            <w:tcW w:w="14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1"/>
              </w:rPr>
              <w:t>22.74%</w:t>
            </w:r>
          </w:p>
        </w:tc>
        <w:tc>
          <w:tcPr>
            <w:tcW w:w="17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1"/>
              </w:rPr>
              <w:t>18.92%</w:t>
            </w:r>
          </w:p>
        </w:tc>
        <w:tc>
          <w:tcPr>
            <w:tcW w:w="10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1"/>
              </w:rPr>
              <w:t>27.42%</w:t>
            </w:r>
          </w:p>
        </w:tc>
        <w:tc>
          <w:tcPr>
            <w:tcW w:w="0" w:type="dxa"/>
            <w:vAlign w:val="bottom"/>
          </w:tcPr>
          <w:p>
            <w:pPr>
              <w:spacing w:after="0"/>
              <w:rPr>
                <w:sz w:val="1"/>
                <w:szCs w:val="1"/>
                <w:color w:val="auto"/>
              </w:rPr>
            </w:pPr>
          </w:p>
        </w:tc>
      </w:tr>
      <w:tr>
        <w:trPr>
          <w:trHeight w:val="95"/>
        </w:trPr>
        <w:tc>
          <w:tcPr>
            <w:tcW w:w="2040" w:type="dxa"/>
            <w:vAlign w:val="bottom"/>
            <w:tcBorders>
              <w:left w:val="single" w:sz="8" w:color="auto"/>
              <w:right w:val="single" w:sz="8" w:color="auto"/>
            </w:tcBorders>
            <w:vMerge w:val="continue"/>
          </w:tcPr>
          <w:p>
            <w:pPr>
              <w:spacing w:after="0"/>
              <w:rPr>
                <w:sz w:val="8"/>
                <w:szCs w:val="8"/>
                <w:color w:val="auto"/>
              </w:rPr>
            </w:pPr>
          </w:p>
        </w:tc>
        <w:tc>
          <w:tcPr>
            <w:tcW w:w="50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3"/>
              </w:rPr>
              <w:t>Operating profit margin</w:t>
            </w:r>
          </w:p>
        </w:tc>
        <w:tc>
          <w:tcPr>
            <w:tcW w:w="14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0"/>
              </w:rPr>
              <w:t>9.68%</w:t>
            </w:r>
          </w:p>
        </w:tc>
        <w:tc>
          <w:tcPr>
            <w:tcW w:w="174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0"/>
              </w:rPr>
              <w:t>7.37%</w:t>
            </w:r>
          </w:p>
        </w:tc>
        <w:tc>
          <w:tcPr>
            <w:tcW w:w="10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1"/>
              </w:rPr>
              <w:t>10.90%</w:t>
            </w:r>
          </w:p>
        </w:tc>
        <w:tc>
          <w:tcPr>
            <w:tcW w:w="0" w:type="dxa"/>
            <w:vAlign w:val="bottom"/>
          </w:tcPr>
          <w:p>
            <w:pPr>
              <w:spacing w:after="0"/>
              <w:rPr>
                <w:sz w:val="1"/>
                <w:szCs w:val="1"/>
                <w:color w:val="auto"/>
              </w:rPr>
            </w:pPr>
          </w:p>
        </w:tc>
      </w:tr>
      <w:tr>
        <w:trPr>
          <w:trHeight w:val="128"/>
        </w:trPr>
        <w:tc>
          <w:tcPr>
            <w:tcW w:w="2040" w:type="dxa"/>
            <w:vAlign w:val="bottom"/>
            <w:tcBorders>
              <w:left w:val="single" w:sz="8" w:color="auto"/>
              <w:bottom w:val="single" w:sz="8" w:color="auto"/>
              <w:right w:val="single" w:sz="8" w:color="auto"/>
            </w:tcBorders>
          </w:tcPr>
          <w:p>
            <w:pPr>
              <w:spacing w:after="0"/>
              <w:rPr>
                <w:sz w:val="11"/>
                <w:szCs w:val="11"/>
                <w:color w:val="auto"/>
              </w:rPr>
            </w:pPr>
          </w:p>
        </w:tc>
        <w:tc>
          <w:tcPr>
            <w:tcW w:w="5020" w:type="dxa"/>
            <w:vAlign w:val="bottom"/>
            <w:tcBorders>
              <w:bottom w:val="single" w:sz="8" w:color="auto"/>
              <w:right w:val="single" w:sz="8" w:color="auto"/>
            </w:tcBorders>
            <w:vMerge w:val="continue"/>
          </w:tcPr>
          <w:p>
            <w:pPr>
              <w:spacing w:after="0"/>
              <w:rPr>
                <w:sz w:val="11"/>
                <w:szCs w:val="11"/>
                <w:color w:val="auto"/>
              </w:rPr>
            </w:pPr>
          </w:p>
        </w:tc>
        <w:tc>
          <w:tcPr>
            <w:tcW w:w="1420" w:type="dxa"/>
            <w:vAlign w:val="bottom"/>
            <w:tcBorders>
              <w:bottom w:val="single" w:sz="8" w:color="auto"/>
              <w:right w:val="single" w:sz="8" w:color="auto"/>
            </w:tcBorders>
            <w:vMerge w:val="continue"/>
          </w:tcPr>
          <w:p>
            <w:pPr>
              <w:spacing w:after="0"/>
              <w:rPr>
                <w:sz w:val="11"/>
                <w:szCs w:val="11"/>
                <w:color w:val="auto"/>
              </w:rPr>
            </w:pPr>
          </w:p>
        </w:tc>
        <w:tc>
          <w:tcPr>
            <w:tcW w:w="1740" w:type="dxa"/>
            <w:vAlign w:val="bottom"/>
            <w:tcBorders>
              <w:bottom w:val="single" w:sz="8" w:color="auto"/>
              <w:right w:val="single" w:sz="8" w:color="auto"/>
            </w:tcBorders>
            <w:vMerge w:val="continue"/>
          </w:tcPr>
          <w:p>
            <w:pPr>
              <w:spacing w:after="0"/>
              <w:rPr>
                <w:sz w:val="11"/>
                <w:szCs w:val="11"/>
                <w:color w:val="auto"/>
              </w:rPr>
            </w:pPr>
          </w:p>
        </w:tc>
        <w:tc>
          <w:tcPr>
            <w:tcW w:w="1020" w:type="dxa"/>
            <w:vAlign w:val="bottom"/>
            <w:tcBorders>
              <w:bottom w:val="single" w:sz="8" w:color="auto"/>
              <w:right w:val="single" w:sz="8" w:color="auto"/>
            </w:tcBorders>
            <w:vMerge w:val="continue"/>
          </w:tcPr>
          <w:p>
            <w:pPr>
              <w:spacing w:after="0"/>
              <w:rPr>
                <w:sz w:val="11"/>
                <w:szCs w:val="11"/>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7"/>
          <w:szCs w:val="17"/>
          <w:color w:val="auto"/>
        </w:rPr>
        <w:t>Notes: 1. The overall operating profit margins of Nidec and RORZE are used to replace their operating profit margins on robots as the latter has not been provided in their statements. 2. For NINEBELL, its operating profit margin is used to replace its operating profit margin on robotic arms due to the high proportion of income from the robotic arms. 3. Data was sourced from the financial reports disclosed by the companies.</w:t>
      </w:r>
    </w:p>
    <w:p>
      <w:pPr>
        <w:spacing w:after="0" w:line="185" w:lineRule="exact"/>
        <w:rPr>
          <w:sz w:val="20"/>
          <w:szCs w:val="20"/>
          <w:color w:val="auto"/>
        </w:rPr>
      </w:pPr>
    </w:p>
    <w:p>
      <w:pPr>
        <w:ind w:left="340"/>
        <w:spacing w:after="0"/>
        <w:rPr>
          <w:sz w:val="20"/>
          <w:szCs w:val="20"/>
          <w:color w:val="auto"/>
        </w:rPr>
      </w:pPr>
      <w:r>
        <w:rPr>
          <w:rFonts w:ascii="Arial" w:cs="Arial" w:eastAsia="Arial" w:hAnsi="Arial"/>
          <w:sz w:val="22"/>
          <w:szCs w:val="22"/>
          <w:color w:val="auto"/>
        </w:rPr>
        <w:t>Profiles of the relevant comparable companies are as follows:</w:t>
      </w:r>
    </w:p>
    <w:p>
      <w:pPr>
        <w:spacing w:after="0" w:line="234" w:lineRule="exact"/>
        <w:rPr>
          <w:sz w:val="20"/>
          <w:szCs w:val="20"/>
          <w:color w:val="auto"/>
        </w:rPr>
      </w:pPr>
    </w:p>
    <w:tbl>
      <w:tblPr>
        <w:tblLayout w:type="fixed"/>
        <w:tblInd w:w="10" w:type="dxa"/>
        <w:tblCellMar>
          <w:top w:w="0" w:type="dxa"/>
          <w:left w:w="0" w:type="dxa"/>
          <w:bottom w:w="0" w:type="dxa"/>
          <w:right w:w="0" w:type="dxa"/>
        </w:tblCellMar>
      </w:tblPr>
      <w:tr>
        <w:trPr>
          <w:trHeight w:val="250"/>
        </w:trPr>
        <w:tc>
          <w:tcPr>
            <w:tcW w:w="1040" w:type="dxa"/>
            <w:vAlign w:val="bottom"/>
            <w:tcBorders>
              <w:top w:val="single" w:sz="8" w:color="auto"/>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93"/>
              </w:rPr>
              <w:t>S/N</w:t>
            </w:r>
          </w:p>
        </w:tc>
        <w:tc>
          <w:tcPr>
            <w:tcW w:w="10200" w:type="dxa"/>
            <w:vAlign w:val="bottom"/>
            <w:tcBorders>
              <w:top w:val="single" w:sz="8" w:color="auto"/>
              <w:bottom w:val="single" w:sz="8" w:color="auto"/>
              <w:right w:val="single" w:sz="8" w:color="auto"/>
            </w:tcBorders>
          </w:tcPr>
          <w:p>
            <w:pPr>
              <w:ind w:left="3820"/>
              <w:spacing w:after="0"/>
              <w:rPr>
                <w:sz w:val="20"/>
                <w:szCs w:val="20"/>
                <w:color w:val="auto"/>
              </w:rPr>
            </w:pPr>
            <w:r>
              <w:rPr>
                <w:rFonts w:ascii="Arial" w:cs="Arial" w:eastAsia="Arial" w:hAnsi="Arial"/>
                <w:sz w:val="18"/>
                <w:szCs w:val="18"/>
                <w:b w:val="1"/>
                <w:bCs w:val="1"/>
                <w:color w:val="auto"/>
              </w:rPr>
              <w:t>Profile of Comparable Company</w:t>
            </w:r>
          </w:p>
        </w:tc>
        <w:tc>
          <w:tcPr>
            <w:tcW w:w="0" w:type="dxa"/>
            <w:vAlign w:val="bottom"/>
          </w:tcPr>
          <w:p>
            <w:pPr>
              <w:spacing w:after="0"/>
              <w:rPr>
                <w:sz w:val="1"/>
                <w:szCs w:val="1"/>
                <w:color w:val="auto"/>
              </w:rPr>
            </w:pPr>
          </w:p>
        </w:tc>
      </w:tr>
      <w:tr>
        <w:trPr>
          <w:trHeight w:val="202"/>
        </w:trPr>
        <w:tc>
          <w:tcPr>
            <w:tcW w:w="1040" w:type="dxa"/>
            <w:vAlign w:val="bottom"/>
            <w:tcBorders>
              <w:left w:val="single" w:sz="8" w:color="auto"/>
              <w:right w:val="single" w:sz="8" w:color="auto"/>
            </w:tcBorders>
          </w:tcPr>
          <w:p>
            <w:pPr>
              <w:spacing w:after="0"/>
              <w:rPr>
                <w:sz w:val="17"/>
                <w:szCs w:val="17"/>
                <w:color w:val="auto"/>
              </w:rPr>
            </w:pPr>
          </w:p>
        </w:tc>
        <w:tc>
          <w:tcPr>
            <w:tcW w:w="10200" w:type="dxa"/>
            <w:vAlign w:val="bottom"/>
            <w:tcBorders>
              <w:right w:val="single" w:sz="8" w:color="auto"/>
            </w:tcBorders>
          </w:tcPr>
          <w:p>
            <w:pPr>
              <w:spacing w:after="0" w:line="201" w:lineRule="exact"/>
              <w:rPr>
                <w:sz w:val="20"/>
                <w:szCs w:val="20"/>
                <w:color w:val="auto"/>
              </w:rPr>
            </w:pPr>
            <w:r>
              <w:rPr>
                <w:rFonts w:ascii="Arial" w:cs="Arial" w:eastAsia="Arial" w:hAnsi="Arial"/>
                <w:sz w:val="18"/>
                <w:szCs w:val="18"/>
                <w:color w:val="auto"/>
                <w:w w:val="98"/>
              </w:rPr>
              <w:t>YASKAWA Electric Corporation (OTCMKT: YASKY, TYO: 6506) is a manufacturer of servo systems, motion controllers, AC motor</w:t>
            </w:r>
          </w:p>
        </w:tc>
        <w:tc>
          <w:tcPr>
            <w:tcW w:w="0" w:type="dxa"/>
            <w:vAlign w:val="bottom"/>
          </w:tcPr>
          <w:p>
            <w:pPr>
              <w:spacing w:after="0"/>
              <w:rPr>
                <w:sz w:val="1"/>
                <w:szCs w:val="1"/>
                <w:color w:val="auto"/>
              </w:rPr>
            </w:pPr>
          </w:p>
        </w:tc>
      </w:tr>
      <w:tr>
        <w:trPr>
          <w:trHeight w:val="216"/>
        </w:trPr>
        <w:tc>
          <w:tcPr>
            <w:tcW w:w="104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79"/>
              </w:rPr>
              <w:t>1</w:t>
            </w:r>
          </w:p>
        </w:tc>
        <w:tc>
          <w:tcPr>
            <w:tcW w:w="10200" w:type="dxa"/>
            <w:vAlign w:val="bottom"/>
            <w:tcBorders>
              <w:right w:val="single" w:sz="8" w:color="auto"/>
            </w:tcBorders>
          </w:tcPr>
          <w:p>
            <w:pPr>
              <w:spacing w:after="0"/>
              <w:rPr>
                <w:sz w:val="20"/>
                <w:szCs w:val="20"/>
                <w:color w:val="auto"/>
              </w:rPr>
            </w:pPr>
            <w:r>
              <w:rPr>
                <w:rFonts w:ascii="Arial" w:cs="Arial" w:eastAsia="Arial" w:hAnsi="Arial"/>
                <w:sz w:val="18"/>
                <w:szCs w:val="18"/>
                <w:color w:val="auto"/>
                <w:w w:val="97"/>
              </w:rPr>
              <w:t>drivers and industrial robots, including, among others, welding, assembly, painting and handling robots. In 2019, its industrial robots</w:t>
            </w:r>
          </w:p>
        </w:tc>
        <w:tc>
          <w:tcPr>
            <w:tcW w:w="0" w:type="dxa"/>
            <w:vAlign w:val="bottom"/>
          </w:tcPr>
          <w:p>
            <w:pPr>
              <w:spacing w:after="0"/>
              <w:rPr>
                <w:sz w:val="1"/>
                <w:szCs w:val="1"/>
                <w:color w:val="auto"/>
              </w:rPr>
            </w:pPr>
          </w:p>
        </w:tc>
      </w:tr>
      <w:tr>
        <w:trPr>
          <w:trHeight w:val="237"/>
        </w:trPr>
        <w:tc>
          <w:tcPr>
            <w:tcW w:w="1040" w:type="dxa"/>
            <w:vAlign w:val="bottom"/>
            <w:tcBorders>
              <w:left w:val="single" w:sz="8" w:color="auto"/>
              <w:bottom w:val="single" w:sz="8" w:color="auto"/>
              <w:right w:val="single" w:sz="8" w:color="auto"/>
            </w:tcBorders>
          </w:tcPr>
          <w:p>
            <w:pPr>
              <w:spacing w:after="0"/>
              <w:rPr>
                <w:sz w:val="20"/>
                <w:szCs w:val="20"/>
                <w:color w:val="auto"/>
              </w:rPr>
            </w:pPr>
          </w:p>
        </w:tc>
        <w:tc>
          <w:tcPr>
            <w:tcW w:w="102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accounted for 37% of its revenue.</w:t>
            </w:r>
          </w:p>
        </w:tc>
        <w:tc>
          <w:tcPr>
            <w:tcW w:w="0" w:type="dxa"/>
            <w:vAlign w:val="bottom"/>
          </w:tcPr>
          <w:p>
            <w:pPr>
              <w:spacing w:after="0"/>
              <w:rPr>
                <w:sz w:val="1"/>
                <w:szCs w:val="1"/>
                <w:color w:val="auto"/>
              </w:rPr>
            </w:pPr>
          </w:p>
        </w:tc>
      </w:tr>
      <w:tr>
        <w:trPr>
          <w:trHeight w:val="202"/>
        </w:trPr>
        <w:tc>
          <w:tcPr>
            <w:tcW w:w="104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18"/>
                <w:szCs w:val="18"/>
                <w:color w:val="auto"/>
                <w:w w:val="79"/>
              </w:rPr>
              <w:t>2</w:t>
            </w:r>
          </w:p>
        </w:tc>
        <w:tc>
          <w:tcPr>
            <w:tcW w:w="10200" w:type="dxa"/>
            <w:vAlign w:val="bottom"/>
            <w:tcBorders>
              <w:right w:val="single" w:sz="8" w:color="auto"/>
            </w:tcBorders>
          </w:tcPr>
          <w:p>
            <w:pPr>
              <w:spacing w:after="0" w:line="201" w:lineRule="exact"/>
              <w:rPr>
                <w:sz w:val="20"/>
                <w:szCs w:val="20"/>
                <w:color w:val="auto"/>
              </w:rPr>
            </w:pPr>
            <w:r>
              <w:rPr>
                <w:rFonts w:ascii="Arial" w:cs="Arial" w:eastAsia="Arial" w:hAnsi="Arial"/>
                <w:sz w:val="18"/>
                <w:szCs w:val="18"/>
                <w:color w:val="auto"/>
                <w:w w:val="92"/>
              </w:rPr>
              <w:t>Brooks Automation, Inc. (NASDAQ: BRKS) is a manufacturer in the field of automation and vacuum equipment and instrument solutions. It</w:t>
            </w:r>
          </w:p>
        </w:tc>
        <w:tc>
          <w:tcPr>
            <w:tcW w:w="0" w:type="dxa"/>
            <w:vAlign w:val="bottom"/>
          </w:tcPr>
          <w:p>
            <w:pPr>
              <w:spacing w:after="0"/>
              <w:rPr>
                <w:sz w:val="1"/>
                <w:szCs w:val="1"/>
                <w:color w:val="auto"/>
              </w:rPr>
            </w:pPr>
          </w:p>
        </w:tc>
      </w:tr>
      <w:tr>
        <w:trPr>
          <w:trHeight w:val="122"/>
        </w:trPr>
        <w:tc>
          <w:tcPr>
            <w:tcW w:w="1040" w:type="dxa"/>
            <w:vAlign w:val="bottom"/>
            <w:tcBorders>
              <w:left w:val="single" w:sz="8" w:color="auto"/>
              <w:right w:val="single" w:sz="8" w:color="auto"/>
            </w:tcBorders>
            <w:vMerge w:val="continue"/>
          </w:tcPr>
          <w:p>
            <w:pPr>
              <w:spacing w:after="0"/>
              <w:rPr>
                <w:sz w:val="10"/>
                <w:szCs w:val="10"/>
                <w:color w:val="auto"/>
              </w:rPr>
            </w:pPr>
          </w:p>
        </w:tc>
        <w:tc>
          <w:tcPr>
            <w:tcW w:w="10200" w:type="dxa"/>
            <w:vAlign w:val="bottom"/>
            <w:tcBorders>
              <w:right w:val="single" w:sz="8" w:color="auto"/>
            </w:tcBorders>
            <w:vMerge w:val="restart"/>
          </w:tcPr>
          <w:p>
            <w:pPr>
              <w:spacing w:after="0"/>
              <w:rPr>
                <w:sz w:val="20"/>
                <w:szCs w:val="20"/>
                <w:color w:val="auto"/>
              </w:rPr>
            </w:pPr>
            <w:r>
              <w:rPr>
                <w:rFonts w:ascii="Arial" w:cs="Arial" w:eastAsia="Arial" w:hAnsi="Arial"/>
                <w:sz w:val="18"/>
                <w:szCs w:val="18"/>
                <w:color w:val="auto"/>
              </w:rPr>
              <w:t>provides atmospheric and vacuum robots, robot modules and tool automation systems, etc.</w:t>
            </w:r>
          </w:p>
        </w:tc>
        <w:tc>
          <w:tcPr>
            <w:tcW w:w="0" w:type="dxa"/>
            <w:vAlign w:val="bottom"/>
          </w:tcPr>
          <w:p>
            <w:pPr>
              <w:spacing w:after="0"/>
              <w:rPr>
                <w:sz w:val="1"/>
                <w:szCs w:val="1"/>
                <w:color w:val="auto"/>
              </w:rPr>
            </w:pPr>
          </w:p>
        </w:tc>
      </w:tr>
      <w:tr>
        <w:trPr>
          <w:trHeight w:val="115"/>
        </w:trPr>
        <w:tc>
          <w:tcPr>
            <w:tcW w:w="1040" w:type="dxa"/>
            <w:vAlign w:val="bottom"/>
            <w:tcBorders>
              <w:left w:val="single" w:sz="8" w:color="auto"/>
              <w:bottom w:val="single" w:sz="8" w:color="auto"/>
              <w:right w:val="single" w:sz="8" w:color="auto"/>
            </w:tcBorders>
          </w:tcPr>
          <w:p>
            <w:pPr>
              <w:spacing w:after="0"/>
              <w:rPr>
                <w:sz w:val="10"/>
                <w:szCs w:val="10"/>
                <w:color w:val="auto"/>
              </w:rPr>
            </w:pPr>
          </w:p>
        </w:tc>
        <w:tc>
          <w:tcPr>
            <w:tcW w:w="10200" w:type="dxa"/>
            <w:vAlign w:val="bottom"/>
            <w:tcBorders>
              <w:bottom w:val="single" w:sz="8" w:color="auto"/>
              <w:right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2"/>
        </w:trPr>
        <w:tc>
          <w:tcPr>
            <w:tcW w:w="1040" w:type="dxa"/>
            <w:vAlign w:val="bottom"/>
            <w:tcBorders>
              <w:left w:val="single" w:sz="8" w:color="auto"/>
              <w:right w:val="single" w:sz="8" w:color="auto"/>
            </w:tcBorders>
          </w:tcPr>
          <w:p>
            <w:pPr>
              <w:spacing w:after="0"/>
              <w:rPr>
                <w:sz w:val="17"/>
                <w:szCs w:val="17"/>
                <w:color w:val="auto"/>
              </w:rPr>
            </w:pPr>
          </w:p>
        </w:tc>
        <w:tc>
          <w:tcPr>
            <w:tcW w:w="10200" w:type="dxa"/>
            <w:vAlign w:val="bottom"/>
            <w:tcBorders>
              <w:right w:val="single" w:sz="8" w:color="auto"/>
            </w:tcBorders>
          </w:tcPr>
          <w:p>
            <w:pPr>
              <w:spacing w:after="0" w:line="201" w:lineRule="exact"/>
              <w:rPr>
                <w:sz w:val="20"/>
                <w:szCs w:val="20"/>
                <w:color w:val="auto"/>
              </w:rPr>
            </w:pPr>
            <w:r>
              <w:rPr>
                <w:rFonts w:ascii="Arial" w:cs="Arial" w:eastAsia="Arial" w:hAnsi="Arial"/>
                <w:sz w:val="18"/>
                <w:szCs w:val="18"/>
                <w:color w:val="auto"/>
                <w:w w:val="92"/>
              </w:rPr>
              <w:t>Nidec Corporation (TYO: 6594), as the “world’s leading comprehensive motor manufacturer,” provides precise micro-motor to super large-</w:t>
            </w:r>
          </w:p>
        </w:tc>
        <w:tc>
          <w:tcPr>
            <w:tcW w:w="0" w:type="dxa"/>
            <w:vAlign w:val="bottom"/>
          </w:tcPr>
          <w:p>
            <w:pPr>
              <w:spacing w:after="0"/>
              <w:rPr>
                <w:sz w:val="1"/>
                <w:szCs w:val="1"/>
                <w:color w:val="auto"/>
              </w:rPr>
            </w:pPr>
          </w:p>
        </w:tc>
      </w:tr>
      <w:tr>
        <w:trPr>
          <w:trHeight w:val="216"/>
        </w:trPr>
        <w:tc>
          <w:tcPr>
            <w:tcW w:w="104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79"/>
              </w:rPr>
              <w:t>3</w:t>
            </w:r>
          </w:p>
        </w:tc>
        <w:tc>
          <w:tcPr>
            <w:tcW w:w="10200" w:type="dxa"/>
            <w:vAlign w:val="bottom"/>
            <w:tcBorders>
              <w:right w:val="single" w:sz="8" w:color="auto"/>
            </w:tcBorders>
          </w:tcPr>
          <w:p>
            <w:pPr>
              <w:spacing w:after="0"/>
              <w:rPr>
                <w:sz w:val="20"/>
                <w:szCs w:val="20"/>
                <w:color w:val="auto"/>
              </w:rPr>
            </w:pPr>
            <w:r>
              <w:rPr>
                <w:rFonts w:ascii="Arial" w:cs="Arial" w:eastAsia="Arial" w:hAnsi="Arial"/>
                <w:sz w:val="18"/>
                <w:szCs w:val="18"/>
                <w:color w:val="auto"/>
                <w:w w:val="92"/>
              </w:rPr>
              <w:t>motor products as well as peripheral application equipment and services for information and communication equipment, office automation</w:t>
            </w:r>
          </w:p>
        </w:tc>
        <w:tc>
          <w:tcPr>
            <w:tcW w:w="0" w:type="dxa"/>
            <w:vAlign w:val="bottom"/>
          </w:tcPr>
          <w:p>
            <w:pPr>
              <w:spacing w:after="0"/>
              <w:rPr>
                <w:sz w:val="1"/>
                <w:szCs w:val="1"/>
                <w:color w:val="auto"/>
              </w:rPr>
            </w:pPr>
          </w:p>
        </w:tc>
      </w:tr>
      <w:tr>
        <w:trPr>
          <w:trHeight w:val="237"/>
        </w:trPr>
        <w:tc>
          <w:tcPr>
            <w:tcW w:w="1040" w:type="dxa"/>
            <w:vAlign w:val="bottom"/>
            <w:tcBorders>
              <w:left w:val="single" w:sz="8" w:color="auto"/>
              <w:bottom w:val="single" w:sz="8" w:color="auto"/>
              <w:right w:val="single" w:sz="8" w:color="auto"/>
            </w:tcBorders>
          </w:tcPr>
          <w:p>
            <w:pPr>
              <w:spacing w:after="0"/>
              <w:rPr>
                <w:sz w:val="20"/>
                <w:szCs w:val="20"/>
                <w:color w:val="auto"/>
              </w:rPr>
            </w:pPr>
          </w:p>
        </w:tc>
        <w:tc>
          <w:tcPr>
            <w:tcW w:w="102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w w:val="99"/>
              </w:rPr>
              <w:t>equipment, household appliances, automobile, commercial and industrial equipment, environmental energy and other industries.</w:t>
            </w:r>
          </w:p>
        </w:tc>
        <w:tc>
          <w:tcPr>
            <w:tcW w:w="0" w:type="dxa"/>
            <w:vAlign w:val="bottom"/>
          </w:tcPr>
          <w:p>
            <w:pPr>
              <w:spacing w:after="0"/>
              <w:rPr>
                <w:sz w:val="1"/>
                <w:szCs w:val="1"/>
                <w:color w:val="auto"/>
              </w:rPr>
            </w:pPr>
          </w:p>
        </w:tc>
      </w:tr>
      <w:tr>
        <w:trPr>
          <w:trHeight w:val="202"/>
        </w:trPr>
        <w:tc>
          <w:tcPr>
            <w:tcW w:w="104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18"/>
                <w:szCs w:val="18"/>
                <w:color w:val="auto"/>
                <w:w w:val="79"/>
              </w:rPr>
              <w:t>4</w:t>
            </w:r>
          </w:p>
        </w:tc>
        <w:tc>
          <w:tcPr>
            <w:tcW w:w="10200" w:type="dxa"/>
            <w:vAlign w:val="bottom"/>
            <w:tcBorders>
              <w:right w:val="single" w:sz="8" w:color="auto"/>
            </w:tcBorders>
          </w:tcPr>
          <w:p>
            <w:pPr>
              <w:spacing w:after="0" w:line="201" w:lineRule="exact"/>
              <w:rPr>
                <w:sz w:val="20"/>
                <w:szCs w:val="20"/>
                <w:color w:val="auto"/>
              </w:rPr>
            </w:pPr>
            <w:r>
              <w:rPr>
                <w:rFonts w:ascii="Arial" w:cs="Arial" w:eastAsia="Arial" w:hAnsi="Arial"/>
                <w:sz w:val="18"/>
                <w:szCs w:val="18"/>
                <w:color w:val="auto"/>
                <w:w w:val="94"/>
              </w:rPr>
              <w:t>RORZE CORPORATION (TYO: 6323) is a well-known manufacturer of wafer conveying systems, with robot products including, among</w:t>
            </w:r>
          </w:p>
        </w:tc>
        <w:tc>
          <w:tcPr>
            <w:tcW w:w="0" w:type="dxa"/>
            <w:vAlign w:val="bottom"/>
          </w:tcPr>
          <w:p>
            <w:pPr>
              <w:spacing w:after="0"/>
              <w:rPr>
                <w:sz w:val="1"/>
                <w:szCs w:val="1"/>
                <w:color w:val="auto"/>
              </w:rPr>
            </w:pPr>
          </w:p>
        </w:tc>
      </w:tr>
      <w:tr>
        <w:trPr>
          <w:trHeight w:val="122"/>
        </w:trPr>
        <w:tc>
          <w:tcPr>
            <w:tcW w:w="1040" w:type="dxa"/>
            <w:vAlign w:val="bottom"/>
            <w:tcBorders>
              <w:left w:val="single" w:sz="8" w:color="auto"/>
              <w:right w:val="single" w:sz="8" w:color="auto"/>
            </w:tcBorders>
            <w:vMerge w:val="continue"/>
          </w:tcPr>
          <w:p>
            <w:pPr>
              <w:spacing w:after="0"/>
              <w:rPr>
                <w:sz w:val="10"/>
                <w:szCs w:val="10"/>
                <w:color w:val="auto"/>
              </w:rPr>
            </w:pPr>
          </w:p>
        </w:tc>
        <w:tc>
          <w:tcPr>
            <w:tcW w:w="10200" w:type="dxa"/>
            <w:vAlign w:val="bottom"/>
            <w:tcBorders>
              <w:right w:val="single" w:sz="8" w:color="auto"/>
            </w:tcBorders>
            <w:vMerge w:val="restart"/>
          </w:tcPr>
          <w:p>
            <w:pPr>
              <w:spacing w:after="0"/>
              <w:rPr>
                <w:sz w:val="20"/>
                <w:szCs w:val="20"/>
                <w:color w:val="auto"/>
              </w:rPr>
            </w:pPr>
            <w:r>
              <w:rPr>
                <w:rFonts w:ascii="Arial" w:cs="Arial" w:eastAsia="Arial" w:hAnsi="Arial"/>
                <w:sz w:val="18"/>
                <w:szCs w:val="18"/>
                <w:color w:val="auto"/>
              </w:rPr>
              <w:t>others, ROBOT conveying screening machines for semiconductor wafers and LCD substrates and industrial robots.</w:t>
            </w:r>
          </w:p>
        </w:tc>
        <w:tc>
          <w:tcPr>
            <w:tcW w:w="0" w:type="dxa"/>
            <w:vAlign w:val="bottom"/>
          </w:tcPr>
          <w:p>
            <w:pPr>
              <w:spacing w:after="0"/>
              <w:rPr>
                <w:sz w:val="1"/>
                <w:szCs w:val="1"/>
                <w:color w:val="auto"/>
              </w:rPr>
            </w:pPr>
          </w:p>
        </w:tc>
      </w:tr>
      <w:tr>
        <w:trPr>
          <w:trHeight w:val="115"/>
        </w:trPr>
        <w:tc>
          <w:tcPr>
            <w:tcW w:w="1040" w:type="dxa"/>
            <w:vAlign w:val="bottom"/>
            <w:tcBorders>
              <w:left w:val="single" w:sz="8" w:color="auto"/>
              <w:bottom w:val="single" w:sz="8" w:color="auto"/>
              <w:right w:val="single" w:sz="8" w:color="auto"/>
            </w:tcBorders>
          </w:tcPr>
          <w:p>
            <w:pPr>
              <w:spacing w:after="0"/>
              <w:rPr>
                <w:sz w:val="10"/>
                <w:szCs w:val="10"/>
                <w:color w:val="auto"/>
              </w:rPr>
            </w:pPr>
          </w:p>
        </w:tc>
        <w:tc>
          <w:tcPr>
            <w:tcW w:w="10200" w:type="dxa"/>
            <w:vAlign w:val="bottom"/>
            <w:tcBorders>
              <w:bottom w:val="single" w:sz="8" w:color="auto"/>
              <w:right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bl>
    <w:p>
      <w:pPr>
        <w:spacing w:after="0" w:line="222" w:lineRule="exact"/>
        <w:rPr>
          <w:sz w:val="20"/>
          <w:szCs w:val="20"/>
          <w:color w:val="auto"/>
        </w:rPr>
      </w:pPr>
    </w:p>
    <w:p>
      <w:pPr>
        <w:jc w:val="both"/>
        <w:spacing w:after="0" w:line="250" w:lineRule="auto"/>
        <w:rPr>
          <w:sz w:val="20"/>
          <w:szCs w:val="20"/>
          <w:color w:val="auto"/>
        </w:rPr>
      </w:pPr>
      <w:r>
        <w:rPr>
          <w:rFonts w:ascii="Arial" w:cs="Arial" w:eastAsia="Arial" w:hAnsi="Arial"/>
          <w:sz w:val="22"/>
          <w:szCs w:val="22"/>
          <w:color w:val="auto"/>
        </w:rPr>
        <w:t>The gross profit margin and the operating profit margin on robotic arms of NINEBELL are in line with the industry practice, without significant difference from those of other companies in the same industry.</w:t>
      </w:r>
    </w:p>
    <w:p>
      <w:pPr>
        <w:spacing w:after="0" w:line="209" w:lineRule="exact"/>
        <w:rPr>
          <w:sz w:val="20"/>
          <w:szCs w:val="20"/>
          <w:color w:val="auto"/>
        </w:rPr>
      </w:pPr>
    </w:p>
    <w:p>
      <w:pPr>
        <w:ind w:firstLine="324"/>
        <w:spacing w:after="0" w:line="259" w:lineRule="auto"/>
        <w:rPr>
          <w:sz w:val="20"/>
          <w:szCs w:val="20"/>
          <w:color w:val="auto"/>
        </w:rPr>
      </w:pPr>
      <w:r>
        <w:rPr>
          <w:rFonts w:ascii="Arial" w:cs="Arial" w:eastAsia="Arial" w:hAnsi="Arial"/>
          <w:sz w:val="18"/>
          <w:szCs w:val="18"/>
          <w:color w:val="auto"/>
        </w:rPr>
        <w:t>The Short-sell Report alleged “we learned in a lengthy interview that the assemblies cost about USD650,000,” but failed to provide data sources. If NINEBELL had purchased robotic arms for a long time at a price of USD650,000 and then sold them to the Company at the average price disclosed by the Company, NINEBELL would have suffered serious losses from 2017 to 2019, which is inconsistent with the fact that, during such periods, NINEBELL had profits of KRW534,197,749, KRW835,115,264 and KRW1,039,281,601, respectively.</w:t>
      </w:r>
    </w:p>
    <w:p>
      <w:pPr>
        <w:spacing w:after="0" w:line="38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8-4-1-42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46" w:name="page47"/>
    <w:bookmarkEnd w:id="46"/>
    <w:p>
      <w:pPr>
        <w:ind w:left="340"/>
        <w:spacing w:after="0"/>
        <w:rPr>
          <w:sz w:val="20"/>
          <w:szCs w:val="20"/>
          <w:color w:val="auto"/>
        </w:rPr>
      </w:pPr>
      <w:r>
        <w:rPr>
          <w:rFonts w:ascii="Arial" w:cs="Arial" w:eastAsia="Arial" w:hAnsi="Arial"/>
          <w:sz w:val="22"/>
          <w:szCs w:val="22"/>
          <w:b w:val="1"/>
          <w:bCs w:val="1"/>
          <w:color w:val="auto"/>
        </w:rPr>
        <w:t>2. Quantity of Robotic Arms from NINEBELL</w:t>
      </w:r>
    </w:p>
    <w:p>
      <w:pPr>
        <w:spacing w:after="0" w:line="240" w:lineRule="exact"/>
        <w:rPr>
          <w:sz w:val="20"/>
          <w:szCs w:val="20"/>
          <w:color w:val="auto"/>
        </w:rPr>
      </w:pPr>
    </w:p>
    <w:p>
      <w:pPr>
        <w:ind w:left="340"/>
        <w:spacing w:after="0"/>
        <w:rPr>
          <w:sz w:val="20"/>
          <w:szCs w:val="20"/>
          <w:color w:val="auto"/>
        </w:rPr>
      </w:pPr>
      <w:r>
        <w:rPr>
          <w:rFonts w:ascii="Arial" w:cs="Arial" w:eastAsia="Arial" w:hAnsi="Arial"/>
          <w:sz w:val="19"/>
          <w:szCs w:val="19"/>
          <w:color w:val="auto"/>
        </w:rPr>
        <w:t>In 2019, the Company’s output and sales (including the robotic arms from NINEBELL and other suppliers) were as follows:</w:t>
      </w:r>
    </w:p>
    <w:p>
      <w:pPr>
        <w:spacing w:after="0" w:line="268" w:lineRule="exact"/>
        <w:rPr>
          <w:sz w:val="20"/>
          <w:szCs w:val="20"/>
          <w:color w:val="auto"/>
        </w:rPr>
      </w:pPr>
    </w:p>
    <w:tbl>
      <w:tblPr>
        <w:tblLayout w:type="fixed"/>
        <w:tblInd w:w="10" w:type="dxa"/>
        <w:tblCellMar>
          <w:top w:w="0" w:type="dxa"/>
          <w:left w:w="0" w:type="dxa"/>
          <w:bottom w:w="0" w:type="dxa"/>
          <w:right w:w="0" w:type="dxa"/>
        </w:tblCellMar>
      </w:tblPr>
      <w:tr>
        <w:trPr>
          <w:trHeight w:val="274"/>
        </w:trPr>
        <w:tc>
          <w:tcPr>
            <w:tcW w:w="4440" w:type="dxa"/>
            <w:vAlign w:val="bottom"/>
          </w:tcPr>
          <w:p>
            <w:pPr>
              <w:spacing w:after="0"/>
              <w:rPr>
                <w:sz w:val="23"/>
                <w:szCs w:val="23"/>
                <w:color w:val="auto"/>
              </w:rPr>
            </w:pPr>
          </w:p>
        </w:tc>
        <w:tc>
          <w:tcPr>
            <w:tcW w:w="3020" w:type="dxa"/>
            <w:vAlign w:val="bottom"/>
          </w:tcPr>
          <w:p>
            <w:pPr>
              <w:spacing w:after="0"/>
              <w:rPr>
                <w:sz w:val="23"/>
                <w:szCs w:val="23"/>
                <w:color w:val="auto"/>
              </w:rPr>
            </w:pPr>
          </w:p>
        </w:tc>
        <w:tc>
          <w:tcPr>
            <w:tcW w:w="3780" w:type="dxa"/>
            <w:vAlign w:val="bottom"/>
          </w:tcPr>
          <w:p>
            <w:pPr>
              <w:jc w:val="right"/>
              <w:spacing w:after="0"/>
              <w:rPr>
                <w:sz w:val="20"/>
                <w:szCs w:val="20"/>
                <w:color w:val="auto"/>
              </w:rPr>
            </w:pPr>
            <w:r>
              <w:rPr>
                <w:rFonts w:ascii="Arial" w:cs="Arial" w:eastAsia="Arial" w:hAnsi="Arial"/>
                <w:sz w:val="22"/>
                <w:szCs w:val="22"/>
                <w:color w:val="auto"/>
              </w:rPr>
              <w:t>Unit: Set</w:t>
            </w:r>
          </w:p>
        </w:tc>
      </w:tr>
      <w:tr>
        <w:trPr>
          <w:trHeight w:val="240"/>
        </w:trPr>
        <w:tc>
          <w:tcPr>
            <w:tcW w:w="4440" w:type="dxa"/>
            <w:vAlign w:val="bottom"/>
            <w:tcBorders>
              <w:bottom w:val="single" w:sz="8" w:color="auto"/>
            </w:tcBorders>
          </w:tcPr>
          <w:p>
            <w:pPr>
              <w:spacing w:after="0"/>
              <w:rPr>
                <w:sz w:val="20"/>
                <w:szCs w:val="20"/>
                <w:color w:val="auto"/>
              </w:rPr>
            </w:pPr>
          </w:p>
        </w:tc>
        <w:tc>
          <w:tcPr>
            <w:tcW w:w="3020" w:type="dxa"/>
            <w:vAlign w:val="bottom"/>
            <w:tcBorders>
              <w:bottom w:val="single" w:sz="8" w:color="auto"/>
            </w:tcBorders>
          </w:tcPr>
          <w:p>
            <w:pPr>
              <w:spacing w:after="0"/>
              <w:rPr>
                <w:sz w:val="20"/>
                <w:szCs w:val="20"/>
                <w:color w:val="auto"/>
              </w:rPr>
            </w:pPr>
          </w:p>
        </w:tc>
        <w:tc>
          <w:tcPr>
            <w:tcW w:w="3780" w:type="dxa"/>
            <w:vAlign w:val="bottom"/>
            <w:tcBorders>
              <w:bottom w:val="single" w:sz="8" w:color="auto"/>
            </w:tcBorders>
          </w:tcPr>
          <w:p>
            <w:pPr>
              <w:spacing w:after="0"/>
              <w:rPr>
                <w:sz w:val="20"/>
                <w:szCs w:val="20"/>
                <w:color w:val="auto"/>
              </w:rPr>
            </w:pPr>
          </w:p>
        </w:tc>
      </w:tr>
      <w:tr>
        <w:trPr>
          <w:trHeight w:val="223"/>
        </w:trPr>
        <w:tc>
          <w:tcPr>
            <w:tcW w:w="4440" w:type="dxa"/>
            <w:vAlign w:val="bottom"/>
            <w:tcBorders>
              <w:left w:val="single" w:sz="8" w:color="auto"/>
              <w:bottom w:val="single" w:sz="8" w:color="auto"/>
              <w:right w:val="single" w:sz="8" w:color="auto"/>
            </w:tcBorders>
          </w:tcPr>
          <w:p>
            <w:pPr>
              <w:ind w:left="1700"/>
              <w:spacing w:after="0"/>
              <w:rPr>
                <w:sz w:val="20"/>
                <w:szCs w:val="20"/>
                <w:color w:val="auto"/>
              </w:rPr>
            </w:pPr>
            <w:r>
              <w:rPr>
                <w:rFonts w:ascii="Arial" w:cs="Arial" w:eastAsia="Arial" w:hAnsi="Arial"/>
                <w:sz w:val="18"/>
                <w:szCs w:val="18"/>
                <w:b w:val="1"/>
                <w:bCs w:val="1"/>
                <w:color w:val="auto"/>
              </w:rPr>
              <w:t>Product Type</w:t>
            </w:r>
          </w:p>
        </w:tc>
        <w:tc>
          <w:tcPr>
            <w:tcW w:w="3020" w:type="dxa"/>
            <w:vAlign w:val="bottom"/>
            <w:tcBorders>
              <w:bottom w:val="single" w:sz="8" w:color="auto"/>
              <w:right w:val="single" w:sz="8" w:color="auto"/>
            </w:tcBorders>
          </w:tcPr>
          <w:p>
            <w:pPr>
              <w:ind w:left="1320"/>
              <w:spacing w:after="0"/>
              <w:rPr>
                <w:sz w:val="20"/>
                <w:szCs w:val="20"/>
                <w:color w:val="auto"/>
              </w:rPr>
            </w:pPr>
            <w:r>
              <w:rPr>
                <w:rFonts w:ascii="Arial" w:cs="Arial" w:eastAsia="Arial" w:hAnsi="Arial"/>
                <w:sz w:val="18"/>
                <w:szCs w:val="18"/>
                <w:b w:val="1"/>
                <w:bCs w:val="1"/>
                <w:color w:val="auto"/>
              </w:rPr>
              <w:t>Item</w:t>
            </w:r>
          </w:p>
        </w:tc>
        <w:tc>
          <w:tcPr>
            <w:tcW w:w="3780" w:type="dxa"/>
            <w:vAlign w:val="bottom"/>
            <w:tcBorders>
              <w:bottom w:val="single" w:sz="8" w:color="auto"/>
              <w:right w:val="single" w:sz="8" w:color="auto"/>
            </w:tcBorders>
          </w:tcPr>
          <w:p>
            <w:pPr>
              <w:jc w:val="right"/>
              <w:ind w:right="1628"/>
              <w:spacing w:after="0"/>
              <w:rPr>
                <w:sz w:val="20"/>
                <w:szCs w:val="20"/>
                <w:color w:val="auto"/>
              </w:rPr>
            </w:pPr>
            <w:r>
              <w:rPr>
                <w:rFonts w:ascii="Arial" w:cs="Arial" w:eastAsia="Arial" w:hAnsi="Arial"/>
                <w:sz w:val="18"/>
                <w:szCs w:val="18"/>
                <w:b w:val="1"/>
                <w:bCs w:val="1"/>
                <w:color w:val="auto"/>
              </w:rPr>
              <w:t>2019</w:t>
            </w:r>
          </w:p>
        </w:tc>
      </w:tr>
      <w:tr>
        <w:trPr>
          <w:trHeight w:val="223"/>
        </w:trPr>
        <w:tc>
          <w:tcPr>
            <w:tcW w:w="4440" w:type="dxa"/>
            <w:vAlign w:val="bottom"/>
            <w:tcBorders>
              <w:left w:val="single" w:sz="8" w:color="auto"/>
              <w:right w:val="single" w:sz="8" w:color="auto"/>
            </w:tcBorders>
          </w:tcPr>
          <w:p>
            <w:pPr>
              <w:spacing w:after="0"/>
              <w:rPr>
                <w:sz w:val="19"/>
                <w:szCs w:val="19"/>
                <w:color w:val="auto"/>
              </w:rPr>
            </w:pPr>
          </w:p>
        </w:tc>
        <w:tc>
          <w:tcPr>
            <w:tcW w:w="302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Output</w:t>
            </w:r>
          </w:p>
        </w:tc>
        <w:tc>
          <w:tcPr>
            <w:tcW w:w="378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28</w:t>
            </w:r>
          </w:p>
        </w:tc>
      </w:tr>
      <w:tr>
        <w:trPr>
          <w:trHeight w:val="223"/>
        </w:trPr>
        <w:tc>
          <w:tcPr>
            <w:tcW w:w="444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Semiconductor cleaning equipment</w:t>
            </w:r>
          </w:p>
        </w:tc>
        <w:tc>
          <w:tcPr>
            <w:tcW w:w="302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Sales</w:t>
            </w:r>
          </w:p>
        </w:tc>
        <w:tc>
          <w:tcPr>
            <w:tcW w:w="378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26</w:t>
            </w:r>
          </w:p>
        </w:tc>
      </w:tr>
      <w:tr>
        <w:trPr>
          <w:trHeight w:val="223"/>
        </w:trPr>
        <w:tc>
          <w:tcPr>
            <w:tcW w:w="4440" w:type="dxa"/>
            <w:vAlign w:val="bottom"/>
            <w:tcBorders>
              <w:left w:val="single" w:sz="8" w:color="auto"/>
              <w:bottom w:val="single" w:sz="8" w:color="auto"/>
              <w:right w:val="single" w:sz="8" w:color="auto"/>
            </w:tcBorders>
          </w:tcPr>
          <w:p>
            <w:pPr>
              <w:spacing w:after="0"/>
              <w:rPr>
                <w:sz w:val="19"/>
                <w:szCs w:val="19"/>
                <w:color w:val="auto"/>
              </w:rPr>
            </w:pPr>
          </w:p>
        </w:tc>
        <w:tc>
          <w:tcPr>
            <w:tcW w:w="302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Sales-output ratio</w:t>
            </w:r>
          </w:p>
        </w:tc>
        <w:tc>
          <w:tcPr>
            <w:tcW w:w="378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92.86%</w:t>
            </w:r>
          </w:p>
        </w:tc>
      </w:tr>
      <w:tr>
        <w:trPr>
          <w:trHeight w:val="223"/>
        </w:trPr>
        <w:tc>
          <w:tcPr>
            <w:tcW w:w="4440" w:type="dxa"/>
            <w:vAlign w:val="bottom"/>
            <w:tcBorders>
              <w:left w:val="single" w:sz="8" w:color="auto"/>
              <w:right w:val="single" w:sz="8" w:color="auto"/>
            </w:tcBorders>
          </w:tcPr>
          <w:p>
            <w:pPr>
              <w:spacing w:after="0"/>
              <w:rPr>
                <w:sz w:val="19"/>
                <w:szCs w:val="19"/>
                <w:color w:val="auto"/>
              </w:rPr>
            </w:pPr>
          </w:p>
        </w:tc>
        <w:tc>
          <w:tcPr>
            <w:tcW w:w="302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Output</w:t>
            </w:r>
          </w:p>
        </w:tc>
        <w:tc>
          <w:tcPr>
            <w:tcW w:w="378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4</w:t>
            </w:r>
          </w:p>
        </w:tc>
      </w:tr>
      <w:tr>
        <w:trPr>
          <w:trHeight w:val="223"/>
        </w:trPr>
        <w:tc>
          <w:tcPr>
            <w:tcW w:w="444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Semiconductor electroplating equipment</w:t>
            </w:r>
          </w:p>
        </w:tc>
        <w:tc>
          <w:tcPr>
            <w:tcW w:w="302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Sales</w:t>
            </w:r>
          </w:p>
        </w:tc>
        <w:tc>
          <w:tcPr>
            <w:tcW w:w="378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4</w:t>
            </w:r>
          </w:p>
        </w:tc>
      </w:tr>
      <w:tr>
        <w:trPr>
          <w:trHeight w:val="223"/>
        </w:trPr>
        <w:tc>
          <w:tcPr>
            <w:tcW w:w="4440" w:type="dxa"/>
            <w:vAlign w:val="bottom"/>
            <w:tcBorders>
              <w:left w:val="single" w:sz="8" w:color="auto"/>
              <w:bottom w:val="single" w:sz="8" w:color="auto"/>
              <w:right w:val="single" w:sz="8" w:color="auto"/>
            </w:tcBorders>
          </w:tcPr>
          <w:p>
            <w:pPr>
              <w:spacing w:after="0"/>
              <w:rPr>
                <w:sz w:val="19"/>
                <w:szCs w:val="19"/>
                <w:color w:val="auto"/>
              </w:rPr>
            </w:pPr>
          </w:p>
        </w:tc>
        <w:tc>
          <w:tcPr>
            <w:tcW w:w="302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Sales-output ratio</w:t>
            </w:r>
          </w:p>
        </w:tc>
        <w:tc>
          <w:tcPr>
            <w:tcW w:w="378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100.00%</w:t>
            </w:r>
          </w:p>
        </w:tc>
      </w:tr>
      <w:tr>
        <w:trPr>
          <w:trHeight w:val="223"/>
        </w:trPr>
        <w:tc>
          <w:tcPr>
            <w:tcW w:w="4440" w:type="dxa"/>
            <w:vAlign w:val="bottom"/>
            <w:tcBorders>
              <w:left w:val="single" w:sz="8" w:color="auto"/>
              <w:right w:val="single" w:sz="8" w:color="auto"/>
            </w:tcBorders>
          </w:tcPr>
          <w:p>
            <w:pPr>
              <w:spacing w:after="0"/>
              <w:rPr>
                <w:sz w:val="19"/>
                <w:szCs w:val="19"/>
                <w:color w:val="auto"/>
              </w:rPr>
            </w:pPr>
          </w:p>
        </w:tc>
        <w:tc>
          <w:tcPr>
            <w:tcW w:w="302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Output</w:t>
            </w:r>
          </w:p>
        </w:tc>
        <w:tc>
          <w:tcPr>
            <w:tcW w:w="378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9</w:t>
            </w:r>
          </w:p>
        </w:tc>
      </w:tr>
      <w:tr>
        <w:trPr>
          <w:trHeight w:val="223"/>
        </w:trPr>
        <w:tc>
          <w:tcPr>
            <w:tcW w:w="444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Advanced packaging wet process equipment</w:t>
            </w:r>
          </w:p>
        </w:tc>
        <w:tc>
          <w:tcPr>
            <w:tcW w:w="302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Sales</w:t>
            </w:r>
          </w:p>
        </w:tc>
        <w:tc>
          <w:tcPr>
            <w:tcW w:w="378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7</w:t>
            </w:r>
          </w:p>
        </w:tc>
      </w:tr>
      <w:tr>
        <w:trPr>
          <w:trHeight w:val="223"/>
        </w:trPr>
        <w:tc>
          <w:tcPr>
            <w:tcW w:w="4440" w:type="dxa"/>
            <w:vAlign w:val="bottom"/>
            <w:tcBorders>
              <w:left w:val="single" w:sz="8" w:color="auto"/>
              <w:bottom w:val="single" w:sz="8" w:color="auto"/>
              <w:right w:val="single" w:sz="8" w:color="auto"/>
            </w:tcBorders>
          </w:tcPr>
          <w:p>
            <w:pPr>
              <w:spacing w:after="0"/>
              <w:rPr>
                <w:sz w:val="19"/>
                <w:szCs w:val="19"/>
                <w:color w:val="auto"/>
              </w:rPr>
            </w:pPr>
          </w:p>
        </w:tc>
        <w:tc>
          <w:tcPr>
            <w:tcW w:w="302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Sales-output ratio</w:t>
            </w:r>
          </w:p>
        </w:tc>
        <w:tc>
          <w:tcPr>
            <w:tcW w:w="378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77.78%</w:t>
            </w:r>
          </w:p>
        </w:tc>
      </w:tr>
    </w:tbl>
    <w:p>
      <w:pPr>
        <w:spacing w:after="0" w:line="229"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Among them, production refers to equipment produced in 2019, including equipment that started production in 2018 and was completed and delivered in 2019, and equipment that started production in 2019 and was completed and delivered in 2019. Therefore, the volume of production in 2019 does not equal the number of robotic arms purchased in 2019.</w:t>
      </w:r>
    </w:p>
    <w:p>
      <w:pPr>
        <w:spacing w:after="0" w:line="211"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Due to the differences in design specifications and functions of different semiconductor cleaning equipment, the Issuer purchased robotic arms from third parties other than NINEBELL for the production of some types of equipment. In 2019, the current consumption of robotic arms from NINEBELL has the following cross checking relationship with the quantity in production at the beginning of the period, the new production quantity in the current period, the current output and the quantity in production at the end of the period concerning the equipment using such arms as raw materials for production:</w:t>
      </w:r>
    </w:p>
    <w:p>
      <w:pPr>
        <w:spacing w:after="0" w:line="208" w:lineRule="exact"/>
        <w:rPr>
          <w:sz w:val="20"/>
          <w:szCs w:val="20"/>
          <w:color w:val="auto"/>
        </w:rPr>
      </w:pPr>
    </w:p>
    <w:p>
      <w:pPr>
        <w:ind w:left="9900"/>
        <w:spacing w:after="0"/>
        <w:rPr>
          <w:sz w:val="20"/>
          <w:szCs w:val="20"/>
          <w:color w:val="auto"/>
        </w:rPr>
      </w:pPr>
      <w:r>
        <w:rPr>
          <w:rFonts w:ascii="Arial" w:cs="Arial" w:eastAsia="Arial" w:hAnsi="Arial"/>
          <w:sz w:val="19"/>
          <w:szCs w:val="19"/>
          <w:color w:val="auto"/>
        </w:rPr>
        <w:t>Unit: Piece, Set</w:t>
      </w:r>
    </w:p>
    <w:p>
      <w:pPr>
        <w:spacing w:after="0" w:line="269" w:lineRule="exact"/>
        <w:rPr>
          <w:sz w:val="20"/>
          <w:szCs w:val="20"/>
          <w:color w:val="auto"/>
        </w:rPr>
      </w:pPr>
    </w:p>
    <w:tbl>
      <w:tblPr>
        <w:tblLayout w:type="fixed"/>
        <w:tblInd w:w="10" w:type="dxa"/>
        <w:tblCellMar>
          <w:top w:w="0" w:type="dxa"/>
          <w:left w:w="0" w:type="dxa"/>
          <w:bottom w:w="0" w:type="dxa"/>
          <w:right w:w="0" w:type="dxa"/>
        </w:tblCellMar>
      </w:tblPr>
      <w:tr>
        <w:trPr>
          <w:trHeight w:val="225"/>
        </w:trPr>
        <w:tc>
          <w:tcPr>
            <w:tcW w:w="1100" w:type="dxa"/>
            <w:vAlign w:val="bottom"/>
            <w:tcBorders>
              <w:top w:val="single" w:sz="8" w:color="auto"/>
              <w:left w:val="single" w:sz="8" w:color="auto"/>
              <w:right w:val="single" w:sz="8" w:color="auto"/>
            </w:tcBorders>
          </w:tcPr>
          <w:p>
            <w:pPr>
              <w:spacing w:after="0"/>
              <w:rPr>
                <w:sz w:val="19"/>
                <w:szCs w:val="19"/>
                <w:color w:val="auto"/>
              </w:rPr>
            </w:pPr>
          </w:p>
        </w:tc>
        <w:tc>
          <w:tcPr>
            <w:tcW w:w="2060" w:type="dxa"/>
            <w:vAlign w:val="bottom"/>
            <w:tcBorders>
              <w:top w:val="single" w:sz="8" w:color="auto"/>
            </w:tcBorders>
          </w:tcPr>
          <w:p>
            <w:pPr>
              <w:spacing w:after="0"/>
              <w:rPr>
                <w:sz w:val="19"/>
                <w:szCs w:val="19"/>
                <w:color w:val="auto"/>
              </w:rPr>
            </w:pPr>
          </w:p>
        </w:tc>
        <w:tc>
          <w:tcPr>
            <w:tcW w:w="380" w:type="dxa"/>
            <w:vAlign w:val="bottom"/>
            <w:tcBorders>
              <w:top w:val="single" w:sz="8" w:color="auto"/>
              <w:right w:val="single" w:sz="8" w:color="auto"/>
            </w:tcBorders>
          </w:tcPr>
          <w:p>
            <w:pPr>
              <w:spacing w:after="0"/>
              <w:rPr>
                <w:sz w:val="19"/>
                <w:szCs w:val="19"/>
                <w:color w:val="auto"/>
              </w:rPr>
            </w:pPr>
          </w:p>
        </w:tc>
        <w:tc>
          <w:tcPr>
            <w:tcW w:w="6140" w:type="dxa"/>
            <w:vAlign w:val="bottom"/>
            <w:tcBorders>
              <w:top w:val="single" w:sz="8" w:color="auto"/>
            </w:tcBorders>
            <w:gridSpan w:val="6"/>
          </w:tcPr>
          <w:p>
            <w:pPr>
              <w:jc w:val="center"/>
              <w:ind w:left="50"/>
              <w:spacing w:after="0"/>
              <w:rPr>
                <w:sz w:val="20"/>
                <w:szCs w:val="20"/>
                <w:color w:val="auto"/>
              </w:rPr>
            </w:pPr>
            <w:r>
              <w:rPr>
                <w:rFonts w:ascii="Arial" w:cs="Arial" w:eastAsia="Arial" w:hAnsi="Arial"/>
                <w:sz w:val="18"/>
                <w:szCs w:val="18"/>
                <w:b w:val="1"/>
                <w:bCs w:val="1"/>
                <w:color w:val="auto"/>
                <w:w w:val="88"/>
              </w:rPr>
              <w:t>Purchase-sell-stock information of equipment corresponding to</w:t>
            </w:r>
          </w:p>
        </w:tc>
        <w:tc>
          <w:tcPr>
            <w:tcW w:w="160" w:type="dxa"/>
            <w:vAlign w:val="bottom"/>
            <w:tcBorders>
              <w:top w:val="single" w:sz="8" w:color="auto"/>
              <w:right w:val="single" w:sz="8" w:color="auto"/>
            </w:tcBorders>
          </w:tcPr>
          <w:p>
            <w:pPr>
              <w:spacing w:after="0"/>
              <w:rPr>
                <w:sz w:val="19"/>
                <w:szCs w:val="19"/>
                <w:color w:val="auto"/>
              </w:rPr>
            </w:pPr>
          </w:p>
        </w:tc>
        <w:tc>
          <w:tcPr>
            <w:tcW w:w="1400" w:type="dxa"/>
            <w:vAlign w:val="bottom"/>
            <w:tcBorders>
              <w:top w:val="single" w:sz="8" w:color="auto"/>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41"/>
        </w:trPr>
        <w:tc>
          <w:tcPr>
            <w:tcW w:w="1100" w:type="dxa"/>
            <w:vAlign w:val="bottom"/>
            <w:tcBorders>
              <w:left w:val="single" w:sz="8" w:color="auto"/>
              <w:right w:val="single" w:sz="8" w:color="auto"/>
            </w:tcBorders>
          </w:tcPr>
          <w:p>
            <w:pPr>
              <w:spacing w:after="0"/>
              <w:rPr>
                <w:sz w:val="20"/>
                <w:szCs w:val="20"/>
                <w:color w:val="auto"/>
              </w:rPr>
            </w:pPr>
          </w:p>
        </w:tc>
        <w:tc>
          <w:tcPr>
            <w:tcW w:w="2060" w:type="dxa"/>
            <w:vAlign w:val="bottom"/>
            <w:vMerge w:val="restart"/>
          </w:tcPr>
          <w:p>
            <w:pPr>
              <w:jc w:val="center"/>
              <w:ind w:left="310"/>
              <w:spacing w:after="0"/>
              <w:rPr>
                <w:sz w:val="20"/>
                <w:szCs w:val="20"/>
                <w:color w:val="auto"/>
              </w:rPr>
            </w:pPr>
            <w:r>
              <w:rPr>
                <w:rFonts w:ascii="Arial" w:cs="Arial" w:eastAsia="Arial" w:hAnsi="Arial"/>
                <w:sz w:val="18"/>
                <w:szCs w:val="18"/>
                <w:b w:val="1"/>
                <w:bCs w:val="1"/>
                <w:color w:val="auto"/>
                <w:w w:val="95"/>
              </w:rPr>
              <w:t>Current</w:t>
            </w:r>
          </w:p>
        </w:tc>
        <w:tc>
          <w:tcPr>
            <w:tcW w:w="380" w:type="dxa"/>
            <w:vAlign w:val="bottom"/>
            <w:tcBorders>
              <w:right w:val="single" w:sz="8" w:color="auto"/>
            </w:tcBorders>
          </w:tcPr>
          <w:p>
            <w:pPr>
              <w:spacing w:after="0"/>
              <w:rPr>
                <w:sz w:val="20"/>
                <w:szCs w:val="20"/>
                <w:color w:val="auto"/>
              </w:rPr>
            </w:pPr>
          </w:p>
        </w:tc>
        <w:tc>
          <w:tcPr>
            <w:tcW w:w="1520" w:type="dxa"/>
            <w:vAlign w:val="bottom"/>
            <w:tcBorders>
              <w:bottom w:val="single" w:sz="8" w:color="auto"/>
            </w:tcBorders>
          </w:tcPr>
          <w:p>
            <w:pPr>
              <w:spacing w:after="0"/>
              <w:rPr>
                <w:sz w:val="20"/>
                <w:szCs w:val="20"/>
                <w:color w:val="auto"/>
              </w:rPr>
            </w:pPr>
          </w:p>
        </w:tc>
        <w:tc>
          <w:tcPr>
            <w:tcW w:w="3040" w:type="dxa"/>
            <w:vAlign w:val="bottom"/>
            <w:tcBorders>
              <w:bottom w:val="single" w:sz="8" w:color="auto"/>
            </w:tcBorders>
            <w:gridSpan w:val="3"/>
          </w:tcPr>
          <w:p>
            <w:pPr>
              <w:jc w:val="center"/>
              <w:ind w:left="90"/>
              <w:spacing w:after="0"/>
              <w:rPr>
                <w:sz w:val="20"/>
                <w:szCs w:val="20"/>
                <w:color w:val="auto"/>
              </w:rPr>
            </w:pPr>
            <w:r>
              <w:rPr>
                <w:rFonts w:ascii="Arial" w:cs="Arial" w:eastAsia="Arial" w:hAnsi="Arial"/>
                <w:sz w:val="18"/>
                <w:szCs w:val="18"/>
                <w:b w:val="1"/>
                <w:bCs w:val="1"/>
                <w:color w:val="auto"/>
                <w:w w:val="95"/>
              </w:rPr>
              <w:t>robotic arms from NINEBELL</w:t>
            </w:r>
          </w:p>
        </w:tc>
        <w:tc>
          <w:tcPr>
            <w:tcW w:w="40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spacing w:after="0"/>
              <w:rPr>
                <w:sz w:val="20"/>
                <w:szCs w:val="20"/>
                <w:color w:val="auto"/>
              </w:rPr>
            </w:pPr>
          </w:p>
        </w:tc>
        <w:tc>
          <w:tcPr>
            <w:tcW w:w="160" w:type="dxa"/>
            <w:vAlign w:val="bottom"/>
            <w:tcBorders>
              <w:bottom w:val="single" w:sz="8" w:color="auto"/>
              <w:right w:val="single" w:sz="8" w:color="auto"/>
            </w:tcBorders>
          </w:tcPr>
          <w:p>
            <w:pPr>
              <w:spacing w:after="0"/>
              <w:rPr>
                <w:sz w:val="20"/>
                <w:szCs w:val="20"/>
                <w:color w:val="auto"/>
              </w:rPr>
            </w:pPr>
          </w:p>
        </w:tc>
        <w:tc>
          <w:tcPr>
            <w:tcW w:w="140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84"/>
        </w:trPr>
        <w:tc>
          <w:tcPr>
            <w:tcW w:w="1100" w:type="dxa"/>
            <w:vAlign w:val="bottom"/>
            <w:tcBorders>
              <w:left w:val="single" w:sz="8" w:color="auto"/>
              <w:right w:val="single" w:sz="8" w:color="auto"/>
            </w:tcBorders>
          </w:tcPr>
          <w:p>
            <w:pPr>
              <w:spacing w:after="0"/>
              <w:rPr>
                <w:sz w:val="16"/>
                <w:szCs w:val="16"/>
                <w:color w:val="auto"/>
              </w:rPr>
            </w:pPr>
          </w:p>
        </w:tc>
        <w:tc>
          <w:tcPr>
            <w:tcW w:w="2060" w:type="dxa"/>
            <w:vAlign w:val="bottom"/>
            <w:vMerge w:val="continue"/>
          </w:tcPr>
          <w:p>
            <w:pPr>
              <w:spacing w:after="0"/>
              <w:rPr>
                <w:sz w:val="16"/>
                <w:szCs w:val="16"/>
                <w:color w:val="auto"/>
              </w:rPr>
            </w:pPr>
          </w:p>
        </w:tc>
        <w:tc>
          <w:tcPr>
            <w:tcW w:w="380" w:type="dxa"/>
            <w:vAlign w:val="bottom"/>
            <w:tcBorders>
              <w:right w:val="single" w:sz="8" w:color="auto"/>
            </w:tcBorders>
          </w:tcPr>
          <w:p>
            <w:pPr>
              <w:spacing w:after="0"/>
              <w:rPr>
                <w:sz w:val="16"/>
                <w:szCs w:val="16"/>
                <w:color w:val="auto"/>
              </w:rPr>
            </w:pPr>
          </w:p>
        </w:tc>
        <w:tc>
          <w:tcPr>
            <w:tcW w:w="1520" w:type="dxa"/>
            <w:vAlign w:val="bottom"/>
            <w:tcBorders>
              <w:right w:val="single" w:sz="8" w:color="auto"/>
            </w:tcBorders>
          </w:tcPr>
          <w:p>
            <w:pPr>
              <w:jc w:val="center"/>
              <w:spacing w:after="0" w:line="184" w:lineRule="exact"/>
              <w:rPr>
                <w:sz w:val="20"/>
                <w:szCs w:val="20"/>
                <w:color w:val="auto"/>
              </w:rPr>
            </w:pPr>
            <w:r>
              <w:rPr>
                <w:rFonts w:ascii="Arial" w:cs="Arial" w:eastAsia="Arial" w:hAnsi="Arial"/>
                <w:sz w:val="18"/>
                <w:szCs w:val="18"/>
                <w:b w:val="1"/>
                <w:bCs w:val="1"/>
                <w:color w:val="auto"/>
                <w:w w:val="93"/>
              </w:rPr>
              <w:t>Quantity in</w:t>
            </w:r>
          </w:p>
        </w:tc>
        <w:tc>
          <w:tcPr>
            <w:tcW w:w="1340" w:type="dxa"/>
            <w:vAlign w:val="bottom"/>
            <w:vMerge w:val="restart"/>
          </w:tcPr>
          <w:p>
            <w:pPr>
              <w:jc w:val="center"/>
              <w:ind w:left="190"/>
              <w:spacing w:after="0"/>
              <w:rPr>
                <w:sz w:val="20"/>
                <w:szCs w:val="20"/>
                <w:color w:val="auto"/>
              </w:rPr>
            </w:pPr>
            <w:r>
              <w:rPr>
                <w:rFonts w:ascii="Arial" w:cs="Arial" w:eastAsia="Arial" w:hAnsi="Arial"/>
                <w:sz w:val="18"/>
                <w:szCs w:val="18"/>
                <w:b w:val="1"/>
                <w:bCs w:val="1"/>
                <w:color w:val="auto"/>
                <w:w w:val="91"/>
              </w:rPr>
              <w:t>New</w:t>
            </w:r>
          </w:p>
        </w:tc>
        <w:tc>
          <w:tcPr>
            <w:tcW w:w="300" w:type="dxa"/>
            <w:vAlign w:val="bottom"/>
            <w:tcBorders>
              <w:right w:val="single" w:sz="8" w:color="auto"/>
            </w:tcBorders>
          </w:tcPr>
          <w:p>
            <w:pPr>
              <w:spacing w:after="0"/>
              <w:rPr>
                <w:sz w:val="16"/>
                <w:szCs w:val="16"/>
                <w:color w:val="auto"/>
              </w:rPr>
            </w:pPr>
          </w:p>
        </w:tc>
        <w:tc>
          <w:tcPr>
            <w:tcW w:w="1400" w:type="dxa"/>
            <w:vAlign w:val="bottom"/>
          </w:tcPr>
          <w:p>
            <w:pPr>
              <w:spacing w:after="0"/>
              <w:rPr>
                <w:sz w:val="16"/>
                <w:szCs w:val="16"/>
                <w:color w:val="auto"/>
              </w:rPr>
            </w:pPr>
          </w:p>
        </w:tc>
        <w:tc>
          <w:tcPr>
            <w:tcW w:w="400" w:type="dxa"/>
            <w:vAlign w:val="bottom"/>
            <w:tcBorders>
              <w:right w:val="single" w:sz="8" w:color="auto"/>
            </w:tcBorders>
          </w:tcPr>
          <w:p>
            <w:pPr>
              <w:spacing w:after="0"/>
              <w:rPr>
                <w:sz w:val="16"/>
                <w:szCs w:val="16"/>
                <w:color w:val="auto"/>
              </w:rPr>
            </w:pPr>
          </w:p>
        </w:tc>
        <w:tc>
          <w:tcPr>
            <w:tcW w:w="1180" w:type="dxa"/>
            <w:vAlign w:val="bottom"/>
          </w:tcPr>
          <w:p>
            <w:pPr>
              <w:jc w:val="center"/>
              <w:ind w:left="50"/>
              <w:spacing w:after="0" w:line="184" w:lineRule="exact"/>
              <w:rPr>
                <w:sz w:val="20"/>
                <w:szCs w:val="20"/>
                <w:color w:val="auto"/>
              </w:rPr>
            </w:pPr>
            <w:r>
              <w:rPr>
                <w:rFonts w:ascii="Arial" w:cs="Arial" w:eastAsia="Arial" w:hAnsi="Arial"/>
                <w:sz w:val="18"/>
                <w:szCs w:val="18"/>
                <w:b w:val="1"/>
                <w:bCs w:val="1"/>
                <w:color w:val="auto"/>
                <w:w w:val="93"/>
              </w:rPr>
              <w:t>Quantity</w:t>
            </w:r>
          </w:p>
        </w:tc>
        <w:tc>
          <w:tcPr>
            <w:tcW w:w="160" w:type="dxa"/>
            <w:vAlign w:val="bottom"/>
            <w:tcBorders>
              <w:right w:val="single" w:sz="8" w:color="auto"/>
            </w:tcBorders>
          </w:tcPr>
          <w:p>
            <w:pPr>
              <w:spacing w:after="0"/>
              <w:rPr>
                <w:sz w:val="16"/>
                <w:szCs w:val="16"/>
                <w:color w:val="auto"/>
              </w:rPr>
            </w:pPr>
          </w:p>
        </w:tc>
        <w:tc>
          <w:tcPr>
            <w:tcW w:w="140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22"/>
        </w:trPr>
        <w:tc>
          <w:tcPr>
            <w:tcW w:w="110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18"/>
                <w:szCs w:val="18"/>
                <w:b w:val="1"/>
                <w:bCs w:val="1"/>
                <w:color w:val="auto"/>
                <w:w w:val="97"/>
              </w:rPr>
              <w:t>Item</w:t>
            </w:r>
          </w:p>
        </w:tc>
        <w:tc>
          <w:tcPr>
            <w:tcW w:w="2060" w:type="dxa"/>
            <w:vAlign w:val="bottom"/>
            <w:vMerge w:val="restart"/>
          </w:tcPr>
          <w:p>
            <w:pPr>
              <w:jc w:val="center"/>
              <w:ind w:left="270"/>
              <w:spacing w:after="0"/>
              <w:rPr>
                <w:sz w:val="20"/>
                <w:szCs w:val="20"/>
                <w:color w:val="auto"/>
              </w:rPr>
            </w:pPr>
            <w:r>
              <w:rPr>
                <w:rFonts w:ascii="Arial" w:cs="Arial" w:eastAsia="Arial" w:hAnsi="Arial"/>
                <w:sz w:val="18"/>
                <w:szCs w:val="18"/>
                <w:b w:val="1"/>
                <w:bCs w:val="1"/>
                <w:color w:val="auto"/>
                <w:w w:val="87"/>
              </w:rPr>
              <w:t>consumption of</w:t>
            </w:r>
          </w:p>
        </w:tc>
        <w:tc>
          <w:tcPr>
            <w:tcW w:w="380" w:type="dxa"/>
            <w:vAlign w:val="bottom"/>
            <w:tcBorders>
              <w:right w:val="single" w:sz="8" w:color="auto"/>
            </w:tcBorders>
          </w:tcPr>
          <w:p>
            <w:pPr>
              <w:spacing w:after="0"/>
              <w:rPr>
                <w:sz w:val="10"/>
                <w:szCs w:val="10"/>
                <w:color w:val="auto"/>
              </w:rPr>
            </w:pPr>
          </w:p>
        </w:tc>
        <w:tc>
          <w:tcPr>
            <w:tcW w:w="15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b w:val="1"/>
                <w:bCs w:val="1"/>
                <w:color w:val="auto"/>
                <w:w w:val="89"/>
              </w:rPr>
              <w:t>production</w:t>
            </w:r>
          </w:p>
        </w:tc>
        <w:tc>
          <w:tcPr>
            <w:tcW w:w="1340" w:type="dxa"/>
            <w:vAlign w:val="bottom"/>
            <w:vMerge w:val="continue"/>
          </w:tcPr>
          <w:p>
            <w:pPr>
              <w:spacing w:after="0"/>
              <w:rPr>
                <w:sz w:val="10"/>
                <w:szCs w:val="10"/>
                <w:color w:val="auto"/>
              </w:rPr>
            </w:pPr>
          </w:p>
        </w:tc>
        <w:tc>
          <w:tcPr>
            <w:tcW w:w="300" w:type="dxa"/>
            <w:vAlign w:val="bottom"/>
            <w:tcBorders>
              <w:right w:val="single" w:sz="8" w:color="auto"/>
            </w:tcBorders>
          </w:tcPr>
          <w:p>
            <w:pPr>
              <w:spacing w:after="0"/>
              <w:rPr>
                <w:sz w:val="10"/>
                <w:szCs w:val="10"/>
                <w:color w:val="auto"/>
              </w:rPr>
            </w:pPr>
          </w:p>
        </w:tc>
        <w:tc>
          <w:tcPr>
            <w:tcW w:w="1400" w:type="dxa"/>
            <w:vAlign w:val="bottom"/>
          </w:tcPr>
          <w:p>
            <w:pPr>
              <w:spacing w:after="0"/>
              <w:rPr>
                <w:sz w:val="10"/>
                <w:szCs w:val="10"/>
                <w:color w:val="auto"/>
              </w:rPr>
            </w:pPr>
          </w:p>
        </w:tc>
        <w:tc>
          <w:tcPr>
            <w:tcW w:w="400" w:type="dxa"/>
            <w:vAlign w:val="bottom"/>
            <w:tcBorders>
              <w:right w:val="single" w:sz="8" w:color="auto"/>
            </w:tcBorders>
          </w:tcPr>
          <w:p>
            <w:pPr>
              <w:spacing w:after="0"/>
              <w:rPr>
                <w:sz w:val="10"/>
                <w:szCs w:val="10"/>
                <w:color w:val="auto"/>
              </w:rPr>
            </w:pPr>
          </w:p>
        </w:tc>
        <w:tc>
          <w:tcPr>
            <w:tcW w:w="1180" w:type="dxa"/>
            <w:vAlign w:val="bottom"/>
            <w:vMerge w:val="restart"/>
          </w:tcPr>
          <w:p>
            <w:pPr>
              <w:jc w:val="center"/>
              <w:ind w:left="50"/>
              <w:spacing w:after="0"/>
              <w:rPr>
                <w:sz w:val="20"/>
                <w:szCs w:val="20"/>
                <w:color w:val="auto"/>
              </w:rPr>
            </w:pPr>
            <w:r>
              <w:rPr>
                <w:rFonts w:ascii="Arial" w:cs="Arial" w:eastAsia="Arial" w:hAnsi="Arial"/>
                <w:sz w:val="18"/>
                <w:szCs w:val="18"/>
                <w:b w:val="1"/>
                <w:bCs w:val="1"/>
                <w:color w:val="auto"/>
                <w:w w:val="99"/>
              </w:rPr>
              <w:t>in</w:t>
            </w:r>
          </w:p>
        </w:tc>
        <w:tc>
          <w:tcPr>
            <w:tcW w:w="160" w:type="dxa"/>
            <w:vAlign w:val="bottom"/>
            <w:tcBorders>
              <w:right w:val="single" w:sz="8" w:color="auto"/>
            </w:tcBorders>
          </w:tcPr>
          <w:p>
            <w:pPr>
              <w:spacing w:after="0"/>
              <w:rPr>
                <w:sz w:val="10"/>
                <w:szCs w:val="10"/>
                <w:color w:val="auto"/>
              </w:rPr>
            </w:pPr>
          </w:p>
        </w:tc>
        <w:tc>
          <w:tcPr>
            <w:tcW w:w="14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b w:val="1"/>
                <w:bCs w:val="1"/>
                <w:color w:val="auto"/>
                <w:w w:val="87"/>
              </w:rPr>
              <w:t>Discrepancy</w:t>
            </w:r>
          </w:p>
        </w:tc>
        <w:tc>
          <w:tcPr>
            <w:tcW w:w="0" w:type="dxa"/>
            <w:vAlign w:val="bottom"/>
          </w:tcPr>
          <w:p>
            <w:pPr>
              <w:spacing w:after="0"/>
              <w:rPr>
                <w:sz w:val="1"/>
                <w:szCs w:val="1"/>
                <w:color w:val="auto"/>
              </w:rPr>
            </w:pPr>
          </w:p>
        </w:tc>
      </w:tr>
      <w:tr>
        <w:trPr>
          <w:trHeight w:val="95"/>
        </w:trPr>
        <w:tc>
          <w:tcPr>
            <w:tcW w:w="1100" w:type="dxa"/>
            <w:vAlign w:val="bottom"/>
            <w:tcBorders>
              <w:left w:val="single" w:sz="8" w:color="auto"/>
              <w:right w:val="single" w:sz="8" w:color="auto"/>
            </w:tcBorders>
            <w:vMerge w:val="continue"/>
          </w:tcPr>
          <w:p>
            <w:pPr>
              <w:spacing w:after="0"/>
              <w:rPr>
                <w:sz w:val="8"/>
                <w:szCs w:val="8"/>
                <w:color w:val="auto"/>
              </w:rPr>
            </w:pPr>
          </w:p>
        </w:tc>
        <w:tc>
          <w:tcPr>
            <w:tcW w:w="2060" w:type="dxa"/>
            <w:vAlign w:val="bottom"/>
            <w:vMerge w:val="continue"/>
          </w:tcPr>
          <w:p>
            <w:pPr>
              <w:spacing w:after="0"/>
              <w:rPr>
                <w:sz w:val="8"/>
                <w:szCs w:val="8"/>
                <w:color w:val="auto"/>
              </w:rPr>
            </w:pPr>
          </w:p>
        </w:tc>
        <w:tc>
          <w:tcPr>
            <w:tcW w:w="380" w:type="dxa"/>
            <w:vAlign w:val="bottom"/>
            <w:tcBorders>
              <w:right w:val="single" w:sz="8" w:color="auto"/>
            </w:tcBorders>
          </w:tcPr>
          <w:p>
            <w:pPr>
              <w:spacing w:after="0"/>
              <w:rPr>
                <w:sz w:val="8"/>
                <w:szCs w:val="8"/>
                <w:color w:val="auto"/>
              </w:rPr>
            </w:pPr>
          </w:p>
        </w:tc>
        <w:tc>
          <w:tcPr>
            <w:tcW w:w="1520" w:type="dxa"/>
            <w:vAlign w:val="bottom"/>
            <w:tcBorders>
              <w:right w:val="single" w:sz="8" w:color="auto"/>
            </w:tcBorders>
            <w:vMerge w:val="continue"/>
          </w:tcPr>
          <w:p>
            <w:pPr>
              <w:spacing w:after="0"/>
              <w:rPr>
                <w:sz w:val="8"/>
                <w:szCs w:val="8"/>
                <w:color w:val="auto"/>
              </w:rPr>
            </w:pPr>
          </w:p>
        </w:tc>
        <w:tc>
          <w:tcPr>
            <w:tcW w:w="1340" w:type="dxa"/>
            <w:vAlign w:val="bottom"/>
            <w:vMerge w:val="restart"/>
          </w:tcPr>
          <w:p>
            <w:pPr>
              <w:jc w:val="center"/>
              <w:ind w:left="190"/>
              <w:spacing w:after="0"/>
              <w:rPr>
                <w:sz w:val="20"/>
                <w:szCs w:val="20"/>
                <w:color w:val="auto"/>
              </w:rPr>
            </w:pPr>
            <w:r>
              <w:rPr>
                <w:rFonts w:ascii="Arial" w:cs="Arial" w:eastAsia="Arial" w:hAnsi="Arial"/>
                <w:sz w:val="18"/>
                <w:szCs w:val="18"/>
                <w:b w:val="1"/>
                <w:bCs w:val="1"/>
                <w:color w:val="auto"/>
                <w:w w:val="91"/>
              </w:rPr>
              <w:t>production</w:t>
            </w:r>
          </w:p>
        </w:tc>
        <w:tc>
          <w:tcPr>
            <w:tcW w:w="300" w:type="dxa"/>
            <w:vAlign w:val="bottom"/>
            <w:tcBorders>
              <w:right w:val="single" w:sz="8" w:color="auto"/>
            </w:tcBorders>
          </w:tcPr>
          <w:p>
            <w:pPr>
              <w:spacing w:after="0"/>
              <w:rPr>
                <w:sz w:val="8"/>
                <w:szCs w:val="8"/>
                <w:color w:val="auto"/>
              </w:rPr>
            </w:pPr>
          </w:p>
        </w:tc>
        <w:tc>
          <w:tcPr>
            <w:tcW w:w="1400" w:type="dxa"/>
            <w:vAlign w:val="bottom"/>
          </w:tcPr>
          <w:p>
            <w:pPr>
              <w:spacing w:after="0"/>
              <w:rPr>
                <w:sz w:val="8"/>
                <w:szCs w:val="8"/>
                <w:color w:val="auto"/>
              </w:rPr>
            </w:pPr>
          </w:p>
        </w:tc>
        <w:tc>
          <w:tcPr>
            <w:tcW w:w="400" w:type="dxa"/>
            <w:vAlign w:val="bottom"/>
            <w:tcBorders>
              <w:right w:val="single" w:sz="8" w:color="auto"/>
            </w:tcBorders>
          </w:tcPr>
          <w:p>
            <w:pPr>
              <w:spacing w:after="0"/>
              <w:rPr>
                <w:sz w:val="8"/>
                <w:szCs w:val="8"/>
                <w:color w:val="auto"/>
              </w:rPr>
            </w:pPr>
          </w:p>
        </w:tc>
        <w:tc>
          <w:tcPr>
            <w:tcW w:w="1180" w:type="dxa"/>
            <w:vAlign w:val="bottom"/>
            <w:vMerge w:val="continue"/>
          </w:tcPr>
          <w:p>
            <w:pPr>
              <w:spacing w:after="0"/>
              <w:rPr>
                <w:sz w:val="8"/>
                <w:szCs w:val="8"/>
                <w:color w:val="auto"/>
              </w:rPr>
            </w:pPr>
          </w:p>
        </w:tc>
        <w:tc>
          <w:tcPr>
            <w:tcW w:w="160" w:type="dxa"/>
            <w:vAlign w:val="bottom"/>
            <w:tcBorders>
              <w:right w:val="single" w:sz="8" w:color="auto"/>
            </w:tcBorders>
          </w:tcPr>
          <w:p>
            <w:pPr>
              <w:spacing w:after="0"/>
              <w:rPr>
                <w:sz w:val="8"/>
                <w:szCs w:val="8"/>
                <w:color w:val="auto"/>
              </w:rPr>
            </w:pPr>
          </w:p>
        </w:tc>
        <w:tc>
          <w:tcPr>
            <w:tcW w:w="1400" w:type="dxa"/>
            <w:vAlign w:val="bottom"/>
            <w:tcBorders>
              <w:right w:val="single" w:sz="8" w:color="auto"/>
            </w:tcBorders>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21"/>
        </w:trPr>
        <w:tc>
          <w:tcPr>
            <w:tcW w:w="1100" w:type="dxa"/>
            <w:vAlign w:val="bottom"/>
            <w:tcBorders>
              <w:left w:val="single" w:sz="8" w:color="auto"/>
              <w:right w:val="single" w:sz="8" w:color="auto"/>
            </w:tcBorders>
            <w:vMerge w:val="continue"/>
          </w:tcPr>
          <w:p>
            <w:pPr>
              <w:spacing w:after="0"/>
              <w:rPr>
                <w:sz w:val="10"/>
                <w:szCs w:val="10"/>
                <w:color w:val="auto"/>
              </w:rPr>
            </w:pPr>
          </w:p>
        </w:tc>
        <w:tc>
          <w:tcPr>
            <w:tcW w:w="2060" w:type="dxa"/>
            <w:vAlign w:val="bottom"/>
            <w:vMerge w:val="restart"/>
          </w:tcPr>
          <w:p>
            <w:pPr>
              <w:jc w:val="center"/>
              <w:ind w:left="250"/>
              <w:spacing w:after="0"/>
              <w:rPr>
                <w:sz w:val="20"/>
                <w:szCs w:val="20"/>
                <w:color w:val="auto"/>
              </w:rPr>
            </w:pPr>
            <w:r>
              <w:rPr>
                <w:rFonts w:ascii="Arial" w:cs="Arial" w:eastAsia="Arial" w:hAnsi="Arial"/>
                <w:sz w:val="18"/>
                <w:szCs w:val="18"/>
                <w:b w:val="1"/>
                <w:bCs w:val="1"/>
                <w:color w:val="auto"/>
                <w:w w:val="90"/>
              </w:rPr>
              <w:t>robotic arms from</w:t>
            </w:r>
          </w:p>
        </w:tc>
        <w:tc>
          <w:tcPr>
            <w:tcW w:w="380" w:type="dxa"/>
            <w:vAlign w:val="bottom"/>
            <w:tcBorders>
              <w:right w:val="single" w:sz="8" w:color="auto"/>
            </w:tcBorders>
          </w:tcPr>
          <w:p>
            <w:pPr>
              <w:spacing w:after="0"/>
              <w:rPr>
                <w:sz w:val="10"/>
                <w:szCs w:val="10"/>
                <w:color w:val="auto"/>
              </w:rPr>
            </w:pPr>
          </w:p>
        </w:tc>
        <w:tc>
          <w:tcPr>
            <w:tcW w:w="15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b w:val="1"/>
                <w:bCs w:val="1"/>
                <w:color w:val="auto"/>
                <w:w w:val="91"/>
              </w:rPr>
              <w:t>at the</w:t>
            </w:r>
          </w:p>
        </w:tc>
        <w:tc>
          <w:tcPr>
            <w:tcW w:w="1340" w:type="dxa"/>
            <w:vAlign w:val="bottom"/>
            <w:vMerge w:val="continue"/>
          </w:tcPr>
          <w:p>
            <w:pPr>
              <w:spacing w:after="0"/>
              <w:rPr>
                <w:sz w:val="10"/>
                <w:szCs w:val="10"/>
                <w:color w:val="auto"/>
              </w:rPr>
            </w:pPr>
          </w:p>
        </w:tc>
        <w:tc>
          <w:tcPr>
            <w:tcW w:w="300" w:type="dxa"/>
            <w:vAlign w:val="bottom"/>
            <w:tcBorders>
              <w:right w:val="single" w:sz="8" w:color="auto"/>
            </w:tcBorders>
          </w:tcPr>
          <w:p>
            <w:pPr>
              <w:spacing w:after="0"/>
              <w:rPr>
                <w:sz w:val="10"/>
                <w:szCs w:val="10"/>
                <w:color w:val="auto"/>
              </w:rPr>
            </w:pPr>
          </w:p>
        </w:tc>
        <w:tc>
          <w:tcPr>
            <w:tcW w:w="1400" w:type="dxa"/>
            <w:vAlign w:val="bottom"/>
            <w:vMerge w:val="restart"/>
          </w:tcPr>
          <w:p>
            <w:pPr>
              <w:jc w:val="center"/>
              <w:ind w:left="290"/>
              <w:spacing w:after="0"/>
              <w:rPr>
                <w:sz w:val="20"/>
                <w:szCs w:val="20"/>
                <w:color w:val="auto"/>
              </w:rPr>
            </w:pPr>
            <w:r>
              <w:rPr>
                <w:rFonts w:ascii="Arial" w:cs="Arial" w:eastAsia="Arial" w:hAnsi="Arial"/>
                <w:sz w:val="18"/>
                <w:szCs w:val="18"/>
                <w:b w:val="1"/>
                <w:bCs w:val="1"/>
                <w:color w:val="auto"/>
                <w:w w:val="95"/>
              </w:rPr>
              <w:t>Current</w:t>
            </w:r>
          </w:p>
        </w:tc>
        <w:tc>
          <w:tcPr>
            <w:tcW w:w="400" w:type="dxa"/>
            <w:vAlign w:val="bottom"/>
            <w:tcBorders>
              <w:right w:val="single" w:sz="8" w:color="auto"/>
            </w:tcBorders>
          </w:tcPr>
          <w:p>
            <w:pPr>
              <w:spacing w:after="0"/>
              <w:rPr>
                <w:sz w:val="10"/>
                <w:szCs w:val="10"/>
                <w:color w:val="auto"/>
              </w:rPr>
            </w:pPr>
          </w:p>
        </w:tc>
        <w:tc>
          <w:tcPr>
            <w:tcW w:w="1180" w:type="dxa"/>
            <w:vAlign w:val="bottom"/>
            <w:vMerge w:val="restart"/>
          </w:tcPr>
          <w:p>
            <w:pPr>
              <w:jc w:val="center"/>
              <w:ind w:left="50"/>
              <w:spacing w:after="0"/>
              <w:rPr>
                <w:sz w:val="20"/>
                <w:szCs w:val="20"/>
                <w:color w:val="auto"/>
              </w:rPr>
            </w:pPr>
            <w:r>
              <w:rPr>
                <w:rFonts w:ascii="Arial" w:cs="Arial" w:eastAsia="Arial" w:hAnsi="Arial"/>
                <w:sz w:val="18"/>
                <w:szCs w:val="18"/>
                <w:b w:val="1"/>
                <w:bCs w:val="1"/>
                <w:color w:val="auto"/>
                <w:w w:val="89"/>
              </w:rPr>
              <w:t>production</w:t>
            </w:r>
          </w:p>
        </w:tc>
        <w:tc>
          <w:tcPr>
            <w:tcW w:w="160" w:type="dxa"/>
            <w:vAlign w:val="bottom"/>
            <w:tcBorders>
              <w:right w:val="single" w:sz="8" w:color="auto"/>
            </w:tcBorders>
          </w:tcPr>
          <w:p>
            <w:pPr>
              <w:spacing w:after="0"/>
              <w:rPr>
                <w:sz w:val="10"/>
                <w:szCs w:val="10"/>
                <w:color w:val="auto"/>
              </w:rPr>
            </w:pPr>
          </w:p>
        </w:tc>
        <w:tc>
          <w:tcPr>
            <w:tcW w:w="1400" w:type="dxa"/>
            <w:vAlign w:val="bottom"/>
            <w:tcBorders>
              <w:right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5"/>
        </w:trPr>
        <w:tc>
          <w:tcPr>
            <w:tcW w:w="1100" w:type="dxa"/>
            <w:vAlign w:val="bottom"/>
            <w:tcBorders>
              <w:left w:val="single" w:sz="8" w:color="auto"/>
              <w:right w:val="single" w:sz="8" w:color="auto"/>
            </w:tcBorders>
          </w:tcPr>
          <w:p>
            <w:pPr>
              <w:spacing w:after="0"/>
              <w:rPr>
                <w:sz w:val="8"/>
                <w:szCs w:val="8"/>
                <w:color w:val="auto"/>
              </w:rPr>
            </w:pPr>
          </w:p>
        </w:tc>
        <w:tc>
          <w:tcPr>
            <w:tcW w:w="2060" w:type="dxa"/>
            <w:vAlign w:val="bottom"/>
            <w:vMerge w:val="continue"/>
          </w:tcPr>
          <w:p>
            <w:pPr>
              <w:spacing w:after="0"/>
              <w:rPr>
                <w:sz w:val="8"/>
                <w:szCs w:val="8"/>
                <w:color w:val="auto"/>
              </w:rPr>
            </w:pPr>
          </w:p>
        </w:tc>
        <w:tc>
          <w:tcPr>
            <w:tcW w:w="380" w:type="dxa"/>
            <w:vAlign w:val="bottom"/>
            <w:tcBorders>
              <w:right w:val="single" w:sz="8" w:color="auto"/>
            </w:tcBorders>
          </w:tcPr>
          <w:p>
            <w:pPr>
              <w:spacing w:after="0"/>
              <w:rPr>
                <w:sz w:val="8"/>
                <w:szCs w:val="8"/>
                <w:color w:val="auto"/>
              </w:rPr>
            </w:pPr>
          </w:p>
        </w:tc>
        <w:tc>
          <w:tcPr>
            <w:tcW w:w="1520" w:type="dxa"/>
            <w:vAlign w:val="bottom"/>
            <w:tcBorders>
              <w:right w:val="single" w:sz="8" w:color="auto"/>
            </w:tcBorders>
            <w:vMerge w:val="continue"/>
          </w:tcPr>
          <w:p>
            <w:pPr>
              <w:spacing w:after="0"/>
              <w:rPr>
                <w:sz w:val="8"/>
                <w:szCs w:val="8"/>
                <w:color w:val="auto"/>
              </w:rPr>
            </w:pPr>
          </w:p>
        </w:tc>
        <w:tc>
          <w:tcPr>
            <w:tcW w:w="1340" w:type="dxa"/>
            <w:vAlign w:val="bottom"/>
            <w:vMerge w:val="restart"/>
          </w:tcPr>
          <w:p>
            <w:pPr>
              <w:jc w:val="center"/>
              <w:ind w:left="170"/>
              <w:spacing w:after="0"/>
              <w:rPr>
                <w:sz w:val="20"/>
                <w:szCs w:val="20"/>
                <w:color w:val="auto"/>
              </w:rPr>
            </w:pPr>
            <w:r>
              <w:rPr>
                <w:rFonts w:ascii="Arial" w:cs="Arial" w:eastAsia="Arial" w:hAnsi="Arial"/>
                <w:sz w:val="18"/>
                <w:szCs w:val="18"/>
                <w:b w:val="1"/>
                <w:bCs w:val="1"/>
                <w:color w:val="auto"/>
                <w:w w:val="92"/>
              </w:rPr>
              <w:t>quantity in</w:t>
            </w:r>
          </w:p>
        </w:tc>
        <w:tc>
          <w:tcPr>
            <w:tcW w:w="300" w:type="dxa"/>
            <w:vAlign w:val="bottom"/>
            <w:tcBorders>
              <w:right w:val="single" w:sz="8" w:color="auto"/>
            </w:tcBorders>
          </w:tcPr>
          <w:p>
            <w:pPr>
              <w:spacing w:after="0"/>
              <w:rPr>
                <w:sz w:val="8"/>
                <w:szCs w:val="8"/>
                <w:color w:val="auto"/>
              </w:rPr>
            </w:pPr>
          </w:p>
        </w:tc>
        <w:tc>
          <w:tcPr>
            <w:tcW w:w="1400" w:type="dxa"/>
            <w:vAlign w:val="bottom"/>
            <w:vMerge w:val="continue"/>
          </w:tcPr>
          <w:p>
            <w:pPr>
              <w:spacing w:after="0"/>
              <w:rPr>
                <w:sz w:val="8"/>
                <w:szCs w:val="8"/>
                <w:color w:val="auto"/>
              </w:rPr>
            </w:pPr>
          </w:p>
        </w:tc>
        <w:tc>
          <w:tcPr>
            <w:tcW w:w="400" w:type="dxa"/>
            <w:vAlign w:val="bottom"/>
            <w:tcBorders>
              <w:right w:val="single" w:sz="8" w:color="auto"/>
            </w:tcBorders>
          </w:tcPr>
          <w:p>
            <w:pPr>
              <w:spacing w:after="0"/>
              <w:rPr>
                <w:sz w:val="8"/>
                <w:szCs w:val="8"/>
                <w:color w:val="auto"/>
              </w:rPr>
            </w:pPr>
          </w:p>
        </w:tc>
        <w:tc>
          <w:tcPr>
            <w:tcW w:w="1180" w:type="dxa"/>
            <w:vAlign w:val="bottom"/>
            <w:vMerge w:val="continue"/>
          </w:tcPr>
          <w:p>
            <w:pPr>
              <w:spacing w:after="0"/>
              <w:rPr>
                <w:sz w:val="8"/>
                <w:szCs w:val="8"/>
                <w:color w:val="auto"/>
              </w:rPr>
            </w:pPr>
          </w:p>
        </w:tc>
        <w:tc>
          <w:tcPr>
            <w:tcW w:w="160" w:type="dxa"/>
            <w:vAlign w:val="bottom"/>
            <w:tcBorders>
              <w:right w:val="single" w:sz="8" w:color="auto"/>
            </w:tcBorders>
          </w:tcPr>
          <w:p>
            <w:pPr>
              <w:spacing w:after="0"/>
              <w:rPr>
                <w:sz w:val="8"/>
                <w:szCs w:val="8"/>
                <w:color w:val="auto"/>
              </w:rPr>
            </w:pPr>
          </w:p>
        </w:tc>
        <w:tc>
          <w:tcPr>
            <w:tcW w:w="1400" w:type="dxa"/>
            <w:vAlign w:val="bottom"/>
            <w:tcBorders>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22"/>
        </w:trPr>
        <w:tc>
          <w:tcPr>
            <w:tcW w:w="1100" w:type="dxa"/>
            <w:vAlign w:val="bottom"/>
            <w:tcBorders>
              <w:left w:val="single" w:sz="8" w:color="auto"/>
              <w:right w:val="single" w:sz="8" w:color="auto"/>
            </w:tcBorders>
          </w:tcPr>
          <w:p>
            <w:pPr>
              <w:spacing w:after="0"/>
              <w:rPr>
                <w:sz w:val="10"/>
                <w:szCs w:val="10"/>
                <w:color w:val="auto"/>
              </w:rPr>
            </w:pPr>
          </w:p>
        </w:tc>
        <w:tc>
          <w:tcPr>
            <w:tcW w:w="2060" w:type="dxa"/>
            <w:vAlign w:val="bottom"/>
            <w:vMerge w:val="restart"/>
          </w:tcPr>
          <w:p>
            <w:pPr>
              <w:jc w:val="center"/>
              <w:ind w:left="250"/>
              <w:spacing w:after="0"/>
              <w:rPr>
                <w:sz w:val="20"/>
                <w:szCs w:val="20"/>
                <w:color w:val="auto"/>
              </w:rPr>
            </w:pPr>
            <w:r>
              <w:rPr>
                <w:rFonts w:ascii="Arial" w:cs="Arial" w:eastAsia="Arial" w:hAnsi="Arial"/>
                <w:sz w:val="18"/>
                <w:szCs w:val="18"/>
                <w:b w:val="1"/>
                <w:bCs w:val="1"/>
                <w:color w:val="auto"/>
              </w:rPr>
              <w:t>NINEBELL</w:t>
            </w:r>
          </w:p>
        </w:tc>
        <w:tc>
          <w:tcPr>
            <w:tcW w:w="380" w:type="dxa"/>
            <w:vAlign w:val="bottom"/>
            <w:tcBorders>
              <w:right w:val="single" w:sz="8" w:color="auto"/>
            </w:tcBorders>
          </w:tcPr>
          <w:p>
            <w:pPr>
              <w:spacing w:after="0"/>
              <w:rPr>
                <w:sz w:val="10"/>
                <w:szCs w:val="10"/>
                <w:color w:val="auto"/>
              </w:rPr>
            </w:pPr>
          </w:p>
        </w:tc>
        <w:tc>
          <w:tcPr>
            <w:tcW w:w="15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b w:val="1"/>
                <w:bCs w:val="1"/>
                <w:color w:val="auto"/>
                <w:w w:val="88"/>
              </w:rPr>
              <w:t>beginning</w:t>
            </w:r>
          </w:p>
        </w:tc>
        <w:tc>
          <w:tcPr>
            <w:tcW w:w="1340" w:type="dxa"/>
            <w:vAlign w:val="bottom"/>
            <w:vMerge w:val="continue"/>
          </w:tcPr>
          <w:p>
            <w:pPr>
              <w:spacing w:after="0"/>
              <w:rPr>
                <w:sz w:val="10"/>
                <w:szCs w:val="10"/>
                <w:color w:val="auto"/>
              </w:rPr>
            </w:pPr>
          </w:p>
        </w:tc>
        <w:tc>
          <w:tcPr>
            <w:tcW w:w="300" w:type="dxa"/>
            <w:vAlign w:val="bottom"/>
            <w:tcBorders>
              <w:right w:val="single" w:sz="8" w:color="auto"/>
            </w:tcBorders>
          </w:tcPr>
          <w:p>
            <w:pPr>
              <w:spacing w:after="0"/>
              <w:rPr>
                <w:sz w:val="10"/>
                <w:szCs w:val="10"/>
                <w:color w:val="auto"/>
              </w:rPr>
            </w:pPr>
          </w:p>
        </w:tc>
        <w:tc>
          <w:tcPr>
            <w:tcW w:w="1400" w:type="dxa"/>
            <w:vAlign w:val="bottom"/>
            <w:vMerge w:val="restart"/>
          </w:tcPr>
          <w:p>
            <w:pPr>
              <w:jc w:val="center"/>
              <w:ind w:left="290"/>
              <w:spacing w:after="0"/>
              <w:rPr>
                <w:sz w:val="20"/>
                <w:szCs w:val="20"/>
                <w:color w:val="auto"/>
              </w:rPr>
            </w:pPr>
            <w:r>
              <w:rPr>
                <w:rFonts w:ascii="Arial" w:cs="Arial" w:eastAsia="Arial" w:hAnsi="Arial"/>
                <w:sz w:val="18"/>
                <w:szCs w:val="18"/>
                <w:b w:val="1"/>
                <w:bCs w:val="1"/>
                <w:color w:val="auto"/>
                <w:w w:val="89"/>
              </w:rPr>
              <w:t>output</w:t>
            </w:r>
          </w:p>
        </w:tc>
        <w:tc>
          <w:tcPr>
            <w:tcW w:w="400" w:type="dxa"/>
            <w:vAlign w:val="bottom"/>
            <w:tcBorders>
              <w:right w:val="single" w:sz="8" w:color="auto"/>
            </w:tcBorders>
          </w:tcPr>
          <w:p>
            <w:pPr>
              <w:spacing w:after="0"/>
              <w:rPr>
                <w:sz w:val="10"/>
                <w:szCs w:val="10"/>
                <w:color w:val="auto"/>
              </w:rPr>
            </w:pPr>
          </w:p>
        </w:tc>
        <w:tc>
          <w:tcPr>
            <w:tcW w:w="1180" w:type="dxa"/>
            <w:vAlign w:val="bottom"/>
            <w:vMerge w:val="restart"/>
          </w:tcPr>
          <w:p>
            <w:pPr>
              <w:jc w:val="center"/>
              <w:ind w:left="50"/>
              <w:spacing w:after="0"/>
              <w:rPr>
                <w:sz w:val="20"/>
                <w:szCs w:val="20"/>
                <w:color w:val="auto"/>
              </w:rPr>
            </w:pPr>
            <w:r>
              <w:rPr>
                <w:rFonts w:ascii="Arial" w:cs="Arial" w:eastAsia="Arial" w:hAnsi="Arial"/>
                <w:sz w:val="18"/>
                <w:szCs w:val="18"/>
                <w:b w:val="1"/>
                <w:bCs w:val="1"/>
                <w:color w:val="auto"/>
                <w:w w:val="91"/>
              </w:rPr>
              <w:t>at the</w:t>
            </w:r>
          </w:p>
        </w:tc>
        <w:tc>
          <w:tcPr>
            <w:tcW w:w="160" w:type="dxa"/>
            <w:vAlign w:val="bottom"/>
            <w:tcBorders>
              <w:right w:val="single" w:sz="8" w:color="auto"/>
            </w:tcBorders>
          </w:tcPr>
          <w:p>
            <w:pPr>
              <w:spacing w:after="0"/>
              <w:rPr>
                <w:sz w:val="10"/>
                <w:szCs w:val="10"/>
                <w:color w:val="auto"/>
              </w:rPr>
            </w:pPr>
          </w:p>
        </w:tc>
        <w:tc>
          <w:tcPr>
            <w:tcW w:w="1400" w:type="dxa"/>
            <w:vAlign w:val="bottom"/>
            <w:tcBorders>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1100" w:type="dxa"/>
            <w:vAlign w:val="bottom"/>
            <w:tcBorders>
              <w:left w:val="single" w:sz="8" w:color="auto"/>
              <w:right w:val="single" w:sz="8" w:color="auto"/>
            </w:tcBorders>
          </w:tcPr>
          <w:p>
            <w:pPr>
              <w:spacing w:after="0"/>
              <w:rPr>
                <w:sz w:val="9"/>
                <w:szCs w:val="9"/>
                <w:color w:val="auto"/>
              </w:rPr>
            </w:pPr>
          </w:p>
        </w:tc>
        <w:tc>
          <w:tcPr>
            <w:tcW w:w="2060" w:type="dxa"/>
            <w:vAlign w:val="bottom"/>
            <w:vMerge w:val="continue"/>
          </w:tcPr>
          <w:p>
            <w:pPr>
              <w:spacing w:after="0"/>
              <w:rPr>
                <w:sz w:val="9"/>
                <w:szCs w:val="9"/>
                <w:color w:val="auto"/>
              </w:rPr>
            </w:pPr>
          </w:p>
        </w:tc>
        <w:tc>
          <w:tcPr>
            <w:tcW w:w="380" w:type="dxa"/>
            <w:vAlign w:val="bottom"/>
            <w:tcBorders>
              <w:right w:val="single" w:sz="8" w:color="auto"/>
            </w:tcBorders>
          </w:tcPr>
          <w:p>
            <w:pPr>
              <w:spacing w:after="0"/>
              <w:rPr>
                <w:sz w:val="9"/>
                <w:szCs w:val="9"/>
                <w:color w:val="auto"/>
              </w:rPr>
            </w:pPr>
          </w:p>
        </w:tc>
        <w:tc>
          <w:tcPr>
            <w:tcW w:w="1520" w:type="dxa"/>
            <w:vAlign w:val="bottom"/>
            <w:tcBorders>
              <w:right w:val="single" w:sz="8" w:color="auto"/>
            </w:tcBorders>
            <w:vMerge w:val="continue"/>
          </w:tcPr>
          <w:p>
            <w:pPr>
              <w:spacing w:after="0"/>
              <w:rPr>
                <w:sz w:val="9"/>
                <w:szCs w:val="9"/>
                <w:color w:val="auto"/>
              </w:rPr>
            </w:pPr>
          </w:p>
        </w:tc>
        <w:tc>
          <w:tcPr>
            <w:tcW w:w="1340" w:type="dxa"/>
            <w:vAlign w:val="bottom"/>
            <w:vMerge w:val="restart"/>
          </w:tcPr>
          <w:p>
            <w:pPr>
              <w:jc w:val="center"/>
              <w:ind w:left="230"/>
              <w:spacing w:after="0"/>
              <w:rPr>
                <w:sz w:val="20"/>
                <w:szCs w:val="20"/>
                <w:color w:val="auto"/>
              </w:rPr>
            </w:pPr>
            <w:r>
              <w:rPr>
                <w:rFonts w:ascii="Arial" w:cs="Arial" w:eastAsia="Arial" w:hAnsi="Arial"/>
                <w:sz w:val="18"/>
                <w:szCs w:val="18"/>
                <w:b w:val="1"/>
                <w:bCs w:val="1"/>
                <w:color w:val="auto"/>
                <w:w w:val="91"/>
              </w:rPr>
              <w:t>the current</w:t>
            </w:r>
          </w:p>
        </w:tc>
        <w:tc>
          <w:tcPr>
            <w:tcW w:w="300" w:type="dxa"/>
            <w:vAlign w:val="bottom"/>
            <w:tcBorders>
              <w:right w:val="single" w:sz="8" w:color="auto"/>
            </w:tcBorders>
          </w:tcPr>
          <w:p>
            <w:pPr>
              <w:spacing w:after="0"/>
              <w:rPr>
                <w:sz w:val="9"/>
                <w:szCs w:val="9"/>
                <w:color w:val="auto"/>
              </w:rPr>
            </w:pPr>
          </w:p>
        </w:tc>
        <w:tc>
          <w:tcPr>
            <w:tcW w:w="1400" w:type="dxa"/>
            <w:vAlign w:val="bottom"/>
            <w:vMerge w:val="continue"/>
          </w:tcPr>
          <w:p>
            <w:pPr>
              <w:spacing w:after="0"/>
              <w:rPr>
                <w:sz w:val="9"/>
                <w:szCs w:val="9"/>
                <w:color w:val="auto"/>
              </w:rPr>
            </w:pPr>
          </w:p>
        </w:tc>
        <w:tc>
          <w:tcPr>
            <w:tcW w:w="400" w:type="dxa"/>
            <w:vAlign w:val="bottom"/>
            <w:tcBorders>
              <w:right w:val="single" w:sz="8" w:color="auto"/>
            </w:tcBorders>
          </w:tcPr>
          <w:p>
            <w:pPr>
              <w:spacing w:after="0"/>
              <w:rPr>
                <w:sz w:val="9"/>
                <w:szCs w:val="9"/>
                <w:color w:val="auto"/>
              </w:rPr>
            </w:pPr>
          </w:p>
        </w:tc>
        <w:tc>
          <w:tcPr>
            <w:tcW w:w="1180" w:type="dxa"/>
            <w:vAlign w:val="bottom"/>
            <w:vMerge w:val="continue"/>
          </w:tcPr>
          <w:p>
            <w:pPr>
              <w:spacing w:after="0"/>
              <w:rPr>
                <w:sz w:val="9"/>
                <w:szCs w:val="9"/>
                <w:color w:val="auto"/>
              </w:rPr>
            </w:pPr>
          </w:p>
        </w:tc>
        <w:tc>
          <w:tcPr>
            <w:tcW w:w="160" w:type="dxa"/>
            <w:vAlign w:val="bottom"/>
            <w:tcBorders>
              <w:right w:val="single" w:sz="8" w:color="auto"/>
            </w:tcBorders>
          </w:tcPr>
          <w:p>
            <w:pPr>
              <w:spacing w:after="0"/>
              <w:rPr>
                <w:sz w:val="9"/>
                <w:szCs w:val="9"/>
                <w:color w:val="auto"/>
              </w:rPr>
            </w:pPr>
          </w:p>
        </w:tc>
        <w:tc>
          <w:tcPr>
            <w:tcW w:w="1400" w:type="dxa"/>
            <w:vAlign w:val="bottom"/>
            <w:tcBorders>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1100" w:type="dxa"/>
            <w:vAlign w:val="bottom"/>
            <w:tcBorders>
              <w:left w:val="single" w:sz="8" w:color="auto"/>
              <w:right w:val="single" w:sz="8" w:color="auto"/>
            </w:tcBorders>
          </w:tcPr>
          <w:p>
            <w:pPr>
              <w:spacing w:after="0"/>
              <w:rPr>
                <w:sz w:val="9"/>
                <w:szCs w:val="9"/>
                <w:color w:val="auto"/>
              </w:rPr>
            </w:pPr>
          </w:p>
        </w:tc>
        <w:tc>
          <w:tcPr>
            <w:tcW w:w="2060" w:type="dxa"/>
            <w:vAlign w:val="bottom"/>
          </w:tcPr>
          <w:p>
            <w:pPr>
              <w:spacing w:after="0"/>
              <w:rPr>
                <w:sz w:val="9"/>
                <w:szCs w:val="9"/>
                <w:color w:val="auto"/>
              </w:rPr>
            </w:pPr>
          </w:p>
        </w:tc>
        <w:tc>
          <w:tcPr>
            <w:tcW w:w="380" w:type="dxa"/>
            <w:vAlign w:val="bottom"/>
            <w:tcBorders>
              <w:right w:val="single" w:sz="8" w:color="auto"/>
            </w:tcBorders>
          </w:tcPr>
          <w:p>
            <w:pPr>
              <w:spacing w:after="0"/>
              <w:rPr>
                <w:sz w:val="9"/>
                <w:szCs w:val="9"/>
                <w:color w:val="auto"/>
              </w:rPr>
            </w:pPr>
          </w:p>
        </w:tc>
        <w:tc>
          <w:tcPr>
            <w:tcW w:w="15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b w:val="1"/>
                <w:bCs w:val="1"/>
                <w:color w:val="auto"/>
                <w:w w:val="89"/>
              </w:rPr>
              <w:t>of the</w:t>
            </w:r>
          </w:p>
        </w:tc>
        <w:tc>
          <w:tcPr>
            <w:tcW w:w="1340" w:type="dxa"/>
            <w:vAlign w:val="bottom"/>
            <w:vMerge w:val="continue"/>
          </w:tcPr>
          <w:p>
            <w:pPr>
              <w:spacing w:after="0"/>
              <w:rPr>
                <w:sz w:val="9"/>
                <w:szCs w:val="9"/>
                <w:color w:val="auto"/>
              </w:rPr>
            </w:pPr>
          </w:p>
        </w:tc>
        <w:tc>
          <w:tcPr>
            <w:tcW w:w="300" w:type="dxa"/>
            <w:vAlign w:val="bottom"/>
            <w:tcBorders>
              <w:right w:val="single" w:sz="8" w:color="auto"/>
            </w:tcBorders>
          </w:tcPr>
          <w:p>
            <w:pPr>
              <w:spacing w:after="0"/>
              <w:rPr>
                <w:sz w:val="9"/>
                <w:szCs w:val="9"/>
                <w:color w:val="auto"/>
              </w:rPr>
            </w:pPr>
          </w:p>
        </w:tc>
        <w:tc>
          <w:tcPr>
            <w:tcW w:w="1400" w:type="dxa"/>
            <w:vAlign w:val="bottom"/>
          </w:tcPr>
          <w:p>
            <w:pPr>
              <w:spacing w:after="0"/>
              <w:rPr>
                <w:sz w:val="9"/>
                <w:szCs w:val="9"/>
                <w:color w:val="auto"/>
              </w:rPr>
            </w:pPr>
          </w:p>
        </w:tc>
        <w:tc>
          <w:tcPr>
            <w:tcW w:w="400" w:type="dxa"/>
            <w:vAlign w:val="bottom"/>
            <w:tcBorders>
              <w:right w:val="single" w:sz="8" w:color="auto"/>
            </w:tcBorders>
          </w:tcPr>
          <w:p>
            <w:pPr>
              <w:spacing w:after="0"/>
              <w:rPr>
                <w:sz w:val="9"/>
                <w:szCs w:val="9"/>
                <w:color w:val="auto"/>
              </w:rPr>
            </w:pPr>
          </w:p>
        </w:tc>
        <w:tc>
          <w:tcPr>
            <w:tcW w:w="1180" w:type="dxa"/>
            <w:vAlign w:val="bottom"/>
            <w:vMerge w:val="restart"/>
          </w:tcPr>
          <w:p>
            <w:pPr>
              <w:jc w:val="center"/>
              <w:ind w:left="50"/>
              <w:spacing w:after="0"/>
              <w:rPr>
                <w:sz w:val="20"/>
                <w:szCs w:val="20"/>
                <w:color w:val="auto"/>
              </w:rPr>
            </w:pPr>
            <w:r>
              <w:rPr>
                <w:rFonts w:ascii="Arial" w:cs="Arial" w:eastAsia="Arial" w:hAnsi="Arial"/>
                <w:sz w:val="18"/>
                <w:szCs w:val="18"/>
                <w:b w:val="1"/>
                <w:bCs w:val="1"/>
                <w:color w:val="auto"/>
                <w:w w:val="88"/>
              </w:rPr>
              <w:t>end of the</w:t>
            </w:r>
          </w:p>
        </w:tc>
        <w:tc>
          <w:tcPr>
            <w:tcW w:w="160" w:type="dxa"/>
            <w:vAlign w:val="bottom"/>
            <w:tcBorders>
              <w:right w:val="single" w:sz="8" w:color="auto"/>
            </w:tcBorders>
          </w:tcPr>
          <w:p>
            <w:pPr>
              <w:spacing w:after="0"/>
              <w:rPr>
                <w:sz w:val="9"/>
                <w:szCs w:val="9"/>
                <w:color w:val="auto"/>
              </w:rPr>
            </w:pPr>
          </w:p>
        </w:tc>
        <w:tc>
          <w:tcPr>
            <w:tcW w:w="1400" w:type="dxa"/>
            <w:vAlign w:val="bottom"/>
            <w:tcBorders>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1100" w:type="dxa"/>
            <w:vAlign w:val="bottom"/>
            <w:tcBorders>
              <w:left w:val="single" w:sz="8" w:color="auto"/>
              <w:right w:val="single" w:sz="8" w:color="auto"/>
            </w:tcBorders>
          </w:tcPr>
          <w:p>
            <w:pPr>
              <w:spacing w:after="0"/>
              <w:rPr>
                <w:sz w:val="9"/>
                <w:szCs w:val="9"/>
                <w:color w:val="auto"/>
              </w:rPr>
            </w:pPr>
          </w:p>
        </w:tc>
        <w:tc>
          <w:tcPr>
            <w:tcW w:w="2060" w:type="dxa"/>
            <w:vAlign w:val="bottom"/>
          </w:tcPr>
          <w:p>
            <w:pPr>
              <w:spacing w:after="0"/>
              <w:rPr>
                <w:sz w:val="9"/>
                <w:szCs w:val="9"/>
                <w:color w:val="auto"/>
              </w:rPr>
            </w:pPr>
          </w:p>
        </w:tc>
        <w:tc>
          <w:tcPr>
            <w:tcW w:w="380" w:type="dxa"/>
            <w:vAlign w:val="bottom"/>
            <w:tcBorders>
              <w:right w:val="single" w:sz="8" w:color="auto"/>
            </w:tcBorders>
          </w:tcPr>
          <w:p>
            <w:pPr>
              <w:spacing w:after="0"/>
              <w:rPr>
                <w:sz w:val="9"/>
                <w:szCs w:val="9"/>
                <w:color w:val="auto"/>
              </w:rPr>
            </w:pPr>
          </w:p>
        </w:tc>
        <w:tc>
          <w:tcPr>
            <w:tcW w:w="1520" w:type="dxa"/>
            <w:vAlign w:val="bottom"/>
            <w:tcBorders>
              <w:right w:val="single" w:sz="8" w:color="auto"/>
            </w:tcBorders>
            <w:vMerge w:val="continue"/>
          </w:tcPr>
          <w:p>
            <w:pPr>
              <w:spacing w:after="0"/>
              <w:rPr>
                <w:sz w:val="9"/>
                <w:szCs w:val="9"/>
                <w:color w:val="auto"/>
              </w:rPr>
            </w:pPr>
          </w:p>
        </w:tc>
        <w:tc>
          <w:tcPr>
            <w:tcW w:w="1340" w:type="dxa"/>
            <w:vAlign w:val="bottom"/>
            <w:vMerge w:val="restart"/>
          </w:tcPr>
          <w:p>
            <w:pPr>
              <w:jc w:val="center"/>
              <w:ind w:left="190"/>
              <w:spacing w:after="0"/>
              <w:rPr>
                <w:sz w:val="20"/>
                <w:szCs w:val="20"/>
                <w:color w:val="auto"/>
              </w:rPr>
            </w:pPr>
            <w:r>
              <w:rPr>
                <w:rFonts w:ascii="Arial" w:cs="Arial" w:eastAsia="Arial" w:hAnsi="Arial"/>
                <w:sz w:val="18"/>
                <w:szCs w:val="18"/>
                <w:b w:val="1"/>
                <w:bCs w:val="1"/>
                <w:color w:val="auto"/>
                <w:w w:val="90"/>
              </w:rPr>
              <w:t>period</w:t>
            </w:r>
          </w:p>
        </w:tc>
        <w:tc>
          <w:tcPr>
            <w:tcW w:w="300" w:type="dxa"/>
            <w:vAlign w:val="bottom"/>
            <w:tcBorders>
              <w:right w:val="single" w:sz="8" w:color="auto"/>
            </w:tcBorders>
          </w:tcPr>
          <w:p>
            <w:pPr>
              <w:spacing w:after="0"/>
              <w:rPr>
                <w:sz w:val="9"/>
                <w:szCs w:val="9"/>
                <w:color w:val="auto"/>
              </w:rPr>
            </w:pPr>
          </w:p>
        </w:tc>
        <w:tc>
          <w:tcPr>
            <w:tcW w:w="1400" w:type="dxa"/>
            <w:vAlign w:val="bottom"/>
          </w:tcPr>
          <w:p>
            <w:pPr>
              <w:spacing w:after="0"/>
              <w:rPr>
                <w:sz w:val="9"/>
                <w:szCs w:val="9"/>
                <w:color w:val="auto"/>
              </w:rPr>
            </w:pPr>
          </w:p>
        </w:tc>
        <w:tc>
          <w:tcPr>
            <w:tcW w:w="400" w:type="dxa"/>
            <w:vAlign w:val="bottom"/>
            <w:tcBorders>
              <w:right w:val="single" w:sz="8" w:color="auto"/>
            </w:tcBorders>
          </w:tcPr>
          <w:p>
            <w:pPr>
              <w:spacing w:after="0"/>
              <w:rPr>
                <w:sz w:val="9"/>
                <w:szCs w:val="9"/>
                <w:color w:val="auto"/>
              </w:rPr>
            </w:pPr>
          </w:p>
        </w:tc>
        <w:tc>
          <w:tcPr>
            <w:tcW w:w="1180" w:type="dxa"/>
            <w:vAlign w:val="bottom"/>
            <w:vMerge w:val="continue"/>
          </w:tcPr>
          <w:p>
            <w:pPr>
              <w:spacing w:after="0"/>
              <w:rPr>
                <w:sz w:val="9"/>
                <w:szCs w:val="9"/>
                <w:color w:val="auto"/>
              </w:rPr>
            </w:pPr>
          </w:p>
        </w:tc>
        <w:tc>
          <w:tcPr>
            <w:tcW w:w="160" w:type="dxa"/>
            <w:vAlign w:val="bottom"/>
            <w:tcBorders>
              <w:right w:val="single" w:sz="8" w:color="auto"/>
            </w:tcBorders>
          </w:tcPr>
          <w:p>
            <w:pPr>
              <w:spacing w:after="0"/>
              <w:rPr>
                <w:sz w:val="9"/>
                <w:szCs w:val="9"/>
                <w:color w:val="auto"/>
              </w:rPr>
            </w:pPr>
          </w:p>
        </w:tc>
        <w:tc>
          <w:tcPr>
            <w:tcW w:w="1400" w:type="dxa"/>
            <w:vAlign w:val="bottom"/>
            <w:tcBorders>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26"/>
        </w:trPr>
        <w:tc>
          <w:tcPr>
            <w:tcW w:w="1100" w:type="dxa"/>
            <w:vAlign w:val="bottom"/>
            <w:tcBorders>
              <w:left w:val="single" w:sz="8" w:color="auto"/>
              <w:right w:val="single" w:sz="8" w:color="auto"/>
            </w:tcBorders>
          </w:tcPr>
          <w:p>
            <w:pPr>
              <w:spacing w:after="0"/>
              <w:rPr>
                <w:sz w:val="10"/>
                <w:szCs w:val="10"/>
                <w:color w:val="auto"/>
              </w:rPr>
            </w:pPr>
          </w:p>
        </w:tc>
        <w:tc>
          <w:tcPr>
            <w:tcW w:w="2060" w:type="dxa"/>
            <w:vAlign w:val="bottom"/>
          </w:tcPr>
          <w:p>
            <w:pPr>
              <w:spacing w:after="0"/>
              <w:rPr>
                <w:sz w:val="10"/>
                <w:szCs w:val="10"/>
                <w:color w:val="auto"/>
              </w:rPr>
            </w:pPr>
          </w:p>
        </w:tc>
        <w:tc>
          <w:tcPr>
            <w:tcW w:w="380" w:type="dxa"/>
            <w:vAlign w:val="bottom"/>
            <w:tcBorders>
              <w:right w:val="single" w:sz="8" w:color="auto"/>
            </w:tcBorders>
          </w:tcPr>
          <w:p>
            <w:pPr>
              <w:spacing w:after="0"/>
              <w:rPr>
                <w:sz w:val="10"/>
                <w:szCs w:val="10"/>
                <w:color w:val="auto"/>
              </w:rPr>
            </w:pPr>
          </w:p>
        </w:tc>
        <w:tc>
          <w:tcPr>
            <w:tcW w:w="15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b w:val="1"/>
                <w:bCs w:val="1"/>
                <w:color w:val="auto"/>
                <w:w w:val="90"/>
              </w:rPr>
              <w:t>period</w:t>
            </w:r>
          </w:p>
        </w:tc>
        <w:tc>
          <w:tcPr>
            <w:tcW w:w="1340" w:type="dxa"/>
            <w:vAlign w:val="bottom"/>
            <w:vMerge w:val="continue"/>
          </w:tcPr>
          <w:p>
            <w:pPr>
              <w:spacing w:after="0"/>
              <w:rPr>
                <w:sz w:val="10"/>
                <w:szCs w:val="10"/>
                <w:color w:val="auto"/>
              </w:rPr>
            </w:pPr>
          </w:p>
        </w:tc>
        <w:tc>
          <w:tcPr>
            <w:tcW w:w="300" w:type="dxa"/>
            <w:vAlign w:val="bottom"/>
            <w:tcBorders>
              <w:right w:val="single" w:sz="8" w:color="auto"/>
            </w:tcBorders>
          </w:tcPr>
          <w:p>
            <w:pPr>
              <w:spacing w:after="0"/>
              <w:rPr>
                <w:sz w:val="10"/>
                <w:szCs w:val="10"/>
                <w:color w:val="auto"/>
              </w:rPr>
            </w:pPr>
          </w:p>
        </w:tc>
        <w:tc>
          <w:tcPr>
            <w:tcW w:w="1400" w:type="dxa"/>
            <w:vAlign w:val="bottom"/>
          </w:tcPr>
          <w:p>
            <w:pPr>
              <w:spacing w:after="0"/>
              <w:rPr>
                <w:sz w:val="10"/>
                <w:szCs w:val="10"/>
                <w:color w:val="auto"/>
              </w:rPr>
            </w:pPr>
          </w:p>
        </w:tc>
        <w:tc>
          <w:tcPr>
            <w:tcW w:w="400" w:type="dxa"/>
            <w:vAlign w:val="bottom"/>
            <w:tcBorders>
              <w:right w:val="single" w:sz="8" w:color="auto"/>
            </w:tcBorders>
          </w:tcPr>
          <w:p>
            <w:pPr>
              <w:spacing w:after="0"/>
              <w:rPr>
                <w:sz w:val="10"/>
                <w:szCs w:val="10"/>
                <w:color w:val="auto"/>
              </w:rPr>
            </w:pPr>
          </w:p>
        </w:tc>
        <w:tc>
          <w:tcPr>
            <w:tcW w:w="1180" w:type="dxa"/>
            <w:vAlign w:val="bottom"/>
            <w:vMerge w:val="restart"/>
          </w:tcPr>
          <w:p>
            <w:pPr>
              <w:jc w:val="center"/>
              <w:ind w:left="70"/>
              <w:spacing w:after="0"/>
              <w:rPr>
                <w:sz w:val="20"/>
                <w:szCs w:val="20"/>
                <w:color w:val="auto"/>
              </w:rPr>
            </w:pPr>
            <w:r>
              <w:rPr>
                <w:rFonts w:ascii="Arial" w:cs="Arial" w:eastAsia="Arial" w:hAnsi="Arial"/>
                <w:sz w:val="18"/>
                <w:szCs w:val="18"/>
                <w:b w:val="1"/>
                <w:bCs w:val="1"/>
                <w:color w:val="auto"/>
                <w:w w:val="90"/>
              </w:rPr>
              <w:t>period</w:t>
            </w:r>
          </w:p>
        </w:tc>
        <w:tc>
          <w:tcPr>
            <w:tcW w:w="160" w:type="dxa"/>
            <w:vAlign w:val="bottom"/>
            <w:tcBorders>
              <w:right w:val="single" w:sz="8" w:color="auto"/>
            </w:tcBorders>
          </w:tcPr>
          <w:p>
            <w:pPr>
              <w:spacing w:after="0"/>
              <w:rPr>
                <w:sz w:val="10"/>
                <w:szCs w:val="10"/>
                <w:color w:val="auto"/>
              </w:rPr>
            </w:pPr>
          </w:p>
        </w:tc>
        <w:tc>
          <w:tcPr>
            <w:tcW w:w="1400" w:type="dxa"/>
            <w:vAlign w:val="bottom"/>
            <w:tcBorders>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15"/>
        </w:trPr>
        <w:tc>
          <w:tcPr>
            <w:tcW w:w="1100" w:type="dxa"/>
            <w:vAlign w:val="bottom"/>
            <w:tcBorders>
              <w:left w:val="single" w:sz="8" w:color="auto"/>
              <w:bottom w:val="single" w:sz="8" w:color="auto"/>
              <w:right w:val="single" w:sz="8" w:color="auto"/>
            </w:tcBorders>
          </w:tcPr>
          <w:p>
            <w:pPr>
              <w:spacing w:after="0"/>
              <w:rPr>
                <w:sz w:val="10"/>
                <w:szCs w:val="10"/>
                <w:color w:val="auto"/>
              </w:rPr>
            </w:pPr>
          </w:p>
        </w:tc>
        <w:tc>
          <w:tcPr>
            <w:tcW w:w="2060" w:type="dxa"/>
            <w:vAlign w:val="bottom"/>
            <w:tcBorders>
              <w:bottom w:val="single" w:sz="8" w:color="auto"/>
            </w:tcBorders>
          </w:tcPr>
          <w:p>
            <w:pPr>
              <w:spacing w:after="0"/>
              <w:rPr>
                <w:sz w:val="10"/>
                <w:szCs w:val="10"/>
                <w:color w:val="auto"/>
              </w:rPr>
            </w:pPr>
          </w:p>
        </w:tc>
        <w:tc>
          <w:tcPr>
            <w:tcW w:w="380" w:type="dxa"/>
            <w:vAlign w:val="bottom"/>
            <w:tcBorders>
              <w:bottom w:val="single" w:sz="8" w:color="auto"/>
              <w:right w:val="single" w:sz="8" w:color="auto"/>
            </w:tcBorders>
          </w:tcPr>
          <w:p>
            <w:pPr>
              <w:spacing w:after="0"/>
              <w:rPr>
                <w:sz w:val="10"/>
                <w:szCs w:val="10"/>
                <w:color w:val="auto"/>
              </w:rPr>
            </w:pPr>
          </w:p>
        </w:tc>
        <w:tc>
          <w:tcPr>
            <w:tcW w:w="1520" w:type="dxa"/>
            <w:vAlign w:val="bottom"/>
            <w:tcBorders>
              <w:bottom w:val="single" w:sz="8" w:color="auto"/>
              <w:right w:val="single" w:sz="8" w:color="auto"/>
            </w:tcBorders>
            <w:vMerge w:val="continue"/>
          </w:tcPr>
          <w:p>
            <w:pPr>
              <w:spacing w:after="0"/>
              <w:rPr>
                <w:sz w:val="10"/>
                <w:szCs w:val="10"/>
                <w:color w:val="auto"/>
              </w:rPr>
            </w:pPr>
          </w:p>
        </w:tc>
        <w:tc>
          <w:tcPr>
            <w:tcW w:w="1340" w:type="dxa"/>
            <w:vAlign w:val="bottom"/>
            <w:tcBorders>
              <w:bottom w:val="single" w:sz="8" w:color="auto"/>
            </w:tcBorders>
          </w:tcPr>
          <w:p>
            <w:pPr>
              <w:spacing w:after="0"/>
              <w:rPr>
                <w:sz w:val="10"/>
                <w:szCs w:val="10"/>
                <w:color w:val="auto"/>
              </w:rPr>
            </w:pPr>
          </w:p>
        </w:tc>
        <w:tc>
          <w:tcPr>
            <w:tcW w:w="300" w:type="dxa"/>
            <w:vAlign w:val="bottom"/>
            <w:tcBorders>
              <w:bottom w:val="single" w:sz="8" w:color="auto"/>
              <w:right w:val="single" w:sz="8" w:color="auto"/>
            </w:tcBorders>
          </w:tcPr>
          <w:p>
            <w:pPr>
              <w:spacing w:after="0"/>
              <w:rPr>
                <w:sz w:val="10"/>
                <w:szCs w:val="10"/>
                <w:color w:val="auto"/>
              </w:rPr>
            </w:pPr>
          </w:p>
        </w:tc>
        <w:tc>
          <w:tcPr>
            <w:tcW w:w="1400" w:type="dxa"/>
            <w:vAlign w:val="bottom"/>
            <w:tcBorders>
              <w:bottom w:val="single" w:sz="8" w:color="auto"/>
            </w:tcBorders>
          </w:tcPr>
          <w:p>
            <w:pPr>
              <w:spacing w:after="0"/>
              <w:rPr>
                <w:sz w:val="10"/>
                <w:szCs w:val="10"/>
                <w:color w:val="auto"/>
              </w:rPr>
            </w:pPr>
          </w:p>
        </w:tc>
        <w:tc>
          <w:tcPr>
            <w:tcW w:w="400" w:type="dxa"/>
            <w:vAlign w:val="bottom"/>
            <w:tcBorders>
              <w:bottom w:val="single" w:sz="8" w:color="auto"/>
              <w:right w:val="single" w:sz="8" w:color="auto"/>
            </w:tcBorders>
          </w:tcPr>
          <w:p>
            <w:pPr>
              <w:spacing w:after="0"/>
              <w:rPr>
                <w:sz w:val="10"/>
                <w:szCs w:val="10"/>
                <w:color w:val="auto"/>
              </w:rPr>
            </w:pPr>
          </w:p>
        </w:tc>
        <w:tc>
          <w:tcPr>
            <w:tcW w:w="1180" w:type="dxa"/>
            <w:vAlign w:val="bottom"/>
            <w:tcBorders>
              <w:bottom w:val="single" w:sz="8" w:color="auto"/>
            </w:tcBorders>
            <w:vMerge w:val="continue"/>
          </w:tcPr>
          <w:p>
            <w:pPr>
              <w:spacing w:after="0"/>
              <w:rPr>
                <w:sz w:val="10"/>
                <w:szCs w:val="10"/>
                <w:color w:val="auto"/>
              </w:rPr>
            </w:pPr>
          </w:p>
        </w:tc>
        <w:tc>
          <w:tcPr>
            <w:tcW w:w="160" w:type="dxa"/>
            <w:vAlign w:val="bottom"/>
            <w:tcBorders>
              <w:bottom w:val="single" w:sz="8" w:color="auto"/>
              <w:right w:val="single" w:sz="8" w:color="auto"/>
            </w:tcBorders>
          </w:tcPr>
          <w:p>
            <w:pPr>
              <w:spacing w:after="0"/>
              <w:rPr>
                <w:sz w:val="10"/>
                <w:szCs w:val="10"/>
                <w:color w:val="auto"/>
              </w:rPr>
            </w:pPr>
          </w:p>
        </w:tc>
        <w:tc>
          <w:tcPr>
            <w:tcW w:w="1400" w:type="dxa"/>
            <w:vAlign w:val="bottom"/>
            <w:tcBorders>
              <w:bottom w:val="single" w:sz="8" w:color="auto"/>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223"/>
        </w:trPr>
        <w:tc>
          <w:tcPr>
            <w:tcW w:w="110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92"/>
              </w:rPr>
              <w:t>Formula</w:t>
            </w:r>
          </w:p>
        </w:tc>
        <w:tc>
          <w:tcPr>
            <w:tcW w:w="2060" w:type="dxa"/>
            <w:vAlign w:val="bottom"/>
            <w:tcBorders>
              <w:bottom w:val="single" w:sz="8" w:color="auto"/>
            </w:tcBorders>
          </w:tcPr>
          <w:p>
            <w:pPr>
              <w:jc w:val="center"/>
              <w:ind w:left="250"/>
              <w:spacing w:after="0" w:line="181" w:lineRule="exact"/>
              <w:rPr>
                <w:sz w:val="20"/>
                <w:szCs w:val="20"/>
                <w:color w:val="auto"/>
              </w:rPr>
            </w:pPr>
            <w:r>
              <w:rPr>
                <w:rFonts w:ascii="MS PGothic" w:cs="MS PGothic" w:eastAsia="MS PGothic" w:hAnsi="MS PGothic"/>
                <w:sz w:val="18"/>
                <w:szCs w:val="18"/>
                <w:color w:val="auto"/>
                <w:w w:val="88"/>
              </w:rPr>
              <w:t>①</w:t>
            </w:r>
          </w:p>
        </w:tc>
        <w:tc>
          <w:tcPr>
            <w:tcW w:w="380" w:type="dxa"/>
            <w:vAlign w:val="bottom"/>
            <w:tcBorders>
              <w:bottom w:val="single" w:sz="8" w:color="auto"/>
              <w:right w:val="single" w:sz="8" w:color="auto"/>
            </w:tcBorders>
          </w:tcPr>
          <w:p>
            <w:pPr>
              <w:spacing w:after="0"/>
              <w:rPr>
                <w:sz w:val="19"/>
                <w:szCs w:val="19"/>
                <w:color w:val="auto"/>
              </w:rPr>
            </w:pPr>
          </w:p>
        </w:tc>
        <w:tc>
          <w:tcPr>
            <w:tcW w:w="1520" w:type="dxa"/>
            <w:vAlign w:val="bottom"/>
            <w:tcBorders>
              <w:bottom w:val="single" w:sz="8" w:color="auto"/>
              <w:right w:val="single" w:sz="8" w:color="auto"/>
            </w:tcBorders>
          </w:tcPr>
          <w:p>
            <w:pPr>
              <w:jc w:val="center"/>
              <w:spacing w:after="0" w:line="181" w:lineRule="exact"/>
              <w:rPr>
                <w:sz w:val="20"/>
                <w:szCs w:val="20"/>
                <w:color w:val="auto"/>
              </w:rPr>
            </w:pPr>
            <w:r>
              <w:rPr>
                <w:rFonts w:ascii="MS PGothic" w:cs="MS PGothic" w:eastAsia="MS PGothic" w:hAnsi="MS PGothic"/>
                <w:sz w:val="18"/>
                <w:szCs w:val="18"/>
                <w:color w:val="auto"/>
                <w:w w:val="88"/>
              </w:rPr>
              <w:t>②</w:t>
            </w:r>
          </w:p>
        </w:tc>
        <w:tc>
          <w:tcPr>
            <w:tcW w:w="1340" w:type="dxa"/>
            <w:vAlign w:val="bottom"/>
            <w:tcBorders>
              <w:bottom w:val="single" w:sz="8" w:color="auto"/>
            </w:tcBorders>
          </w:tcPr>
          <w:p>
            <w:pPr>
              <w:jc w:val="center"/>
              <w:ind w:left="170"/>
              <w:spacing w:after="0" w:line="181" w:lineRule="exact"/>
              <w:rPr>
                <w:sz w:val="20"/>
                <w:szCs w:val="20"/>
                <w:color w:val="auto"/>
              </w:rPr>
            </w:pPr>
            <w:r>
              <w:rPr>
                <w:rFonts w:ascii="MS PGothic" w:cs="MS PGothic" w:eastAsia="MS PGothic" w:hAnsi="MS PGothic"/>
                <w:sz w:val="18"/>
                <w:szCs w:val="18"/>
                <w:color w:val="auto"/>
                <w:w w:val="88"/>
              </w:rPr>
              <w:t>③</w:t>
            </w:r>
          </w:p>
        </w:tc>
        <w:tc>
          <w:tcPr>
            <w:tcW w:w="300" w:type="dxa"/>
            <w:vAlign w:val="bottom"/>
            <w:tcBorders>
              <w:bottom w:val="single" w:sz="8" w:color="auto"/>
              <w:right w:val="single" w:sz="8" w:color="auto"/>
            </w:tcBorders>
          </w:tcPr>
          <w:p>
            <w:pPr>
              <w:spacing w:after="0"/>
              <w:rPr>
                <w:sz w:val="19"/>
                <w:szCs w:val="19"/>
                <w:color w:val="auto"/>
              </w:rPr>
            </w:pPr>
          </w:p>
        </w:tc>
        <w:tc>
          <w:tcPr>
            <w:tcW w:w="1400" w:type="dxa"/>
            <w:vAlign w:val="bottom"/>
            <w:tcBorders>
              <w:bottom w:val="single" w:sz="8" w:color="auto"/>
            </w:tcBorders>
          </w:tcPr>
          <w:p>
            <w:pPr>
              <w:jc w:val="center"/>
              <w:ind w:left="270"/>
              <w:spacing w:after="0" w:line="181" w:lineRule="exact"/>
              <w:rPr>
                <w:sz w:val="20"/>
                <w:szCs w:val="20"/>
                <w:color w:val="auto"/>
              </w:rPr>
            </w:pPr>
            <w:r>
              <w:rPr>
                <w:rFonts w:ascii="MS PGothic" w:cs="MS PGothic" w:eastAsia="MS PGothic" w:hAnsi="MS PGothic"/>
                <w:sz w:val="18"/>
                <w:szCs w:val="18"/>
                <w:color w:val="auto"/>
                <w:w w:val="88"/>
              </w:rPr>
              <w:t>④</w:t>
            </w:r>
          </w:p>
        </w:tc>
        <w:tc>
          <w:tcPr>
            <w:tcW w:w="400" w:type="dxa"/>
            <w:vAlign w:val="bottom"/>
            <w:tcBorders>
              <w:bottom w:val="single" w:sz="8" w:color="auto"/>
              <w:right w:val="single" w:sz="8" w:color="auto"/>
            </w:tcBorders>
          </w:tcPr>
          <w:p>
            <w:pPr>
              <w:spacing w:after="0"/>
              <w:rPr>
                <w:sz w:val="19"/>
                <w:szCs w:val="19"/>
                <w:color w:val="auto"/>
              </w:rPr>
            </w:pPr>
          </w:p>
        </w:tc>
        <w:tc>
          <w:tcPr>
            <w:tcW w:w="1180" w:type="dxa"/>
            <w:vAlign w:val="bottom"/>
            <w:tcBorders>
              <w:bottom w:val="single" w:sz="8" w:color="auto"/>
            </w:tcBorders>
          </w:tcPr>
          <w:p>
            <w:pPr>
              <w:jc w:val="center"/>
              <w:ind w:left="50"/>
              <w:spacing w:after="0" w:line="207" w:lineRule="exact"/>
              <w:rPr>
                <w:sz w:val="20"/>
                <w:szCs w:val="20"/>
                <w:color w:val="auto"/>
              </w:rPr>
            </w:pPr>
            <w:r>
              <w:rPr>
                <w:rFonts w:ascii="MS PGothic" w:cs="MS PGothic" w:eastAsia="MS PGothic" w:hAnsi="MS PGothic"/>
                <w:sz w:val="18"/>
                <w:szCs w:val="18"/>
                <w:color w:val="auto"/>
                <w:w w:val="92"/>
              </w:rPr>
              <w:t>⑤</w:t>
            </w:r>
            <w:r>
              <w:rPr>
                <w:rFonts w:ascii="Arial" w:cs="Arial" w:eastAsia="Arial" w:hAnsi="Arial"/>
                <w:sz w:val="18"/>
                <w:szCs w:val="18"/>
                <w:color w:val="auto"/>
                <w:w w:val="92"/>
              </w:rPr>
              <w:t>=</w:t>
            </w:r>
            <w:r>
              <w:rPr>
                <w:rFonts w:ascii="MS PGothic" w:cs="MS PGothic" w:eastAsia="MS PGothic" w:hAnsi="MS PGothic"/>
                <w:sz w:val="18"/>
                <w:szCs w:val="18"/>
                <w:color w:val="auto"/>
                <w:w w:val="92"/>
              </w:rPr>
              <w:t>②</w:t>
            </w:r>
            <w:r>
              <w:rPr>
                <w:rFonts w:ascii="Arial" w:cs="Arial" w:eastAsia="Arial" w:hAnsi="Arial"/>
                <w:sz w:val="18"/>
                <w:szCs w:val="18"/>
                <w:color w:val="auto"/>
                <w:w w:val="92"/>
              </w:rPr>
              <w:t>+</w:t>
            </w:r>
            <w:r>
              <w:rPr>
                <w:rFonts w:ascii="MS PGothic" w:cs="MS PGothic" w:eastAsia="MS PGothic" w:hAnsi="MS PGothic"/>
                <w:sz w:val="18"/>
                <w:szCs w:val="18"/>
                <w:color w:val="auto"/>
                <w:w w:val="92"/>
              </w:rPr>
              <w:t>③</w:t>
            </w:r>
            <w:r>
              <w:rPr>
                <w:rFonts w:ascii="Arial" w:cs="Arial" w:eastAsia="Arial" w:hAnsi="Arial"/>
                <w:sz w:val="18"/>
                <w:szCs w:val="18"/>
                <w:color w:val="auto"/>
                <w:w w:val="92"/>
              </w:rPr>
              <w:t>-</w:t>
            </w:r>
            <w:r>
              <w:rPr>
                <w:rFonts w:ascii="MS PGothic" w:cs="MS PGothic" w:eastAsia="MS PGothic" w:hAnsi="MS PGothic"/>
                <w:sz w:val="18"/>
                <w:szCs w:val="18"/>
                <w:color w:val="auto"/>
                <w:w w:val="92"/>
              </w:rPr>
              <w:t>④</w:t>
            </w:r>
          </w:p>
        </w:tc>
        <w:tc>
          <w:tcPr>
            <w:tcW w:w="160" w:type="dxa"/>
            <w:vAlign w:val="bottom"/>
            <w:tcBorders>
              <w:bottom w:val="single" w:sz="8" w:color="auto"/>
              <w:right w:val="single" w:sz="8" w:color="auto"/>
            </w:tcBorders>
          </w:tcPr>
          <w:p>
            <w:pPr>
              <w:spacing w:after="0"/>
              <w:rPr>
                <w:sz w:val="19"/>
                <w:szCs w:val="19"/>
                <w:color w:val="auto"/>
              </w:rPr>
            </w:pPr>
          </w:p>
        </w:tc>
        <w:tc>
          <w:tcPr>
            <w:tcW w:w="1400" w:type="dxa"/>
            <w:vAlign w:val="bottom"/>
            <w:tcBorders>
              <w:bottom w:val="single" w:sz="8" w:color="auto"/>
              <w:right w:val="single" w:sz="8" w:color="auto"/>
            </w:tcBorders>
          </w:tcPr>
          <w:p>
            <w:pPr>
              <w:jc w:val="center"/>
              <w:spacing w:after="0" w:line="207" w:lineRule="exact"/>
              <w:rPr>
                <w:sz w:val="20"/>
                <w:szCs w:val="20"/>
                <w:color w:val="auto"/>
              </w:rPr>
            </w:pPr>
            <w:r>
              <w:rPr>
                <w:rFonts w:ascii="MS PGothic" w:cs="MS PGothic" w:eastAsia="MS PGothic" w:hAnsi="MS PGothic"/>
                <w:sz w:val="18"/>
                <w:szCs w:val="18"/>
                <w:color w:val="auto"/>
                <w:w w:val="93"/>
              </w:rPr>
              <w:t>⑥</w:t>
            </w:r>
            <w:r>
              <w:rPr>
                <w:rFonts w:ascii="Arial" w:cs="Arial" w:eastAsia="Arial" w:hAnsi="Arial"/>
                <w:sz w:val="18"/>
                <w:szCs w:val="18"/>
                <w:color w:val="auto"/>
                <w:w w:val="93"/>
              </w:rPr>
              <w:t>=</w:t>
            </w:r>
            <w:r>
              <w:rPr>
                <w:rFonts w:ascii="MS PGothic" w:cs="MS PGothic" w:eastAsia="MS PGothic" w:hAnsi="MS PGothic"/>
                <w:sz w:val="18"/>
                <w:szCs w:val="18"/>
                <w:color w:val="auto"/>
                <w:w w:val="93"/>
              </w:rPr>
              <w:t>①</w:t>
            </w:r>
            <w:r>
              <w:rPr>
                <w:rFonts w:ascii="Arial" w:cs="Arial" w:eastAsia="Arial" w:hAnsi="Arial"/>
                <w:sz w:val="18"/>
                <w:szCs w:val="18"/>
                <w:color w:val="auto"/>
                <w:w w:val="93"/>
              </w:rPr>
              <w:t>-</w:t>
            </w:r>
            <w:r>
              <w:rPr>
                <w:rFonts w:ascii="MS PGothic" w:cs="MS PGothic" w:eastAsia="MS PGothic" w:hAnsi="MS PGothic"/>
                <w:sz w:val="18"/>
                <w:szCs w:val="18"/>
                <w:color w:val="auto"/>
                <w:w w:val="93"/>
              </w:rPr>
              <w:t>③</w:t>
            </w:r>
          </w:p>
        </w:tc>
        <w:tc>
          <w:tcPr>
            <w:tcW w:w="0" w:type="dxa"/>
            <w:vAlign w:val="bottom"/>
          </w:tcPr>
          <w:p>
            <w:pPr>
              <w:spacing w:after="0"/>
              <w:rPr>
                <w:sz w:val="1"/>
                <w:szCs w:val="1"/>
                <w:color w:val="auto"/>
              </w:rPr>
            </w:pPr>
          </w:p>
        </w:tc>
      </w:tr>
      <w:tr>
        <w:trPr>
          <w:trHeight w:val="223"/>
        </w:trPr>
        <w:tc>
          <w:tcPr>
            <w:tcW w:w="110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9"/>
              </w:rPr>
              <w:t>2019</w:t>
            </w:r>
          </w:p>
        </w:tc>
        <w:tc>
          <w:tcPr>
            <w:tcW w:w="2060" w:type="dxa"/>
            <w:vAlign w:val="bottom"/>
            <w:tcBorders>
              <w:bottom w:val="single" w:sz="8" w:color="auto"/>
            </w:tcBorders>
          </w:tcPr>
          <w:p>
            <w:pPr>
              <w:spacing w:after="0"/>
              <w:rPr>
                <w:sz w:val="19"/>
                <w:szCs w:val="19"/>
                <w:color w:val="auto"/>
              </w:rPr>
            </w:pPr>
          </w:p>
        </w:tc>
        <w:tc>
          <w:tcPr>
            <w:tcW w:w="38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32</w:t>
            </w:r>
          </w:p>
        </w:tc>
        <w:tc>
          <w:tcPr>
            <w:tcW w:w="152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3</w:t>
            </w:r>
          </w:p>
        </w:tc>
        <w:tc>
          <w:tcPr>
            <w:tcW w:w="1340" w:type="dxa"/>
            <w:vAlign w:val="bottom"/>
            <w:tcBorders>
              <w:bottom w:val="single" w:sz="8" w:color="auto"/>
            </w:tcBorders>
          </w:tcPr>
          <w:p>
            <w:pPr>
              <w:spacing w:after="0"/>
              <w:rPr>
                <w:sz w:val="19"/>
                <w:szCs w:val="19"/>
                <w:color w:val="auto"/>
              </w:rPr>
            </w:pPr>
          </w:p>
        </w:tc>
        <w:tc>
          <w:tcPr>
            <w:tcW w:w="30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31</w:t>
            </w:r>
          </w:p>
        </w:tc>
        <w:tc>
          <w:tcPr>
            <w:tcW w:w="1400" w:type="dxa"/>
            <w:vAlign w:val="bottom"/>
            <w:tcBorders>
              <w:bottom w:val="single" w:sz="8" w:color="auto"/>
            </w:tcBorders>
          </w:tcPr>
          <w:p>
            <w:pPr>
              <w:spacing w:after="0"/>
              <w:rPr>
                <w:sz w:val="19"/>
                <w:szCs w:val="19"/>
                <w:color w:val="auto"/>
              </w:rPr>
            </w:pPr>
          </w:p>
        </w:tc>
        <w:tc>
          <w:tcPr>
            <w:tcW w:w="40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32</w:t>
            </w:r>
          </w:p>
        </w:tc>
        <w:tc>
          <w:tcPr>
            <w:tcW w:w="1180" w:type="dxa"/>
            <w:vAlign w:val="bottom"/>
            <w:tcBorders>
              <w:bottom w:val="single" w:sz="8" w:color="auto"/>
            </w:tcBorders>
          </w:tcPr>
          <w:p>
            <w:pPr>
              <w:spacing w:after="0"/>
              <w:rPr>
                <w:sz w:val="19"/>
                <w:szCs w:val="19"/>
                <w:color w:val="auto"/>
              </w:rPr>
            </w:pPr>
          </w:p>
        </w:tc>
        <w:tc>
          <w:tcPr>
            <w:tcW w:w="16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2</w:t>
            </w:r>
          </w:p>
        </w:tc>
        <w:tc>
          <w:tcPr>
            <w:tcW w:w="140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bl>
    <w:p>
      <w:pPr>
        <w:spacing w:after="0" w:line="222" w:lineRule="exact"/>
        <w:rPr>
          <w:sz w:val="20"/>
          <w:szCs w:val="20"/>
          <w:color w:val="auto"/>
        </w:rPr>
      </w:pPr>
    </w:p>
    <w:p>
      <w:pPr>
        <w:ind w:left="340"/>
        <w:spacing w:after="0"/>
        <w:rPr>
          <w:sz w:val="20"/>
          <w:szCs w:val="20"/>
          <w:color w:val="auto"/>
        </w:rPr>
      </w:pPr>
      <w:r>
        <w:rPr>
          <w:rFonts w:ascii="Arial" w:cs="Arial" w:eastAsia="Arial" w:hAnsi="Arial"/>
          <w:sz w:val="21"/>
          <w:szCs w:val="21"/>
          <w:color w:val="auto"/>
        </w:rPr>
        <w:t>Note: The current output in the above table refers to the production of equipment with robotic arms from NINEBELL.</w:t>
      </w: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8-4-1-43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2" w:right="339" w:bottom="1440" w:gutter="0" w:footer="0" w:header="0"/>
        </w:sectPr>
      </w:pPr>
    </w:p>
    <w:bookmarkStart w:id="47" w:name="page48"/>
    <w:bookmarkEnd w:id="47"/>
    <w:p>
      <w:pPr>
        <w:jc w:val="both"/>
        <w:ind w:firstLine="324"/>
        <w:spacing w:after="0" w:line="257" w:lineRule="auto"/>
        <w:rPr>
          <w:sz w:val="20"/>
          <w:szCs w:val="20"/>
          <w:color w:val="auto"/>
        </w:rPr>
      </w:pPr>
      <w:r>
        <w:rPr>
          <w:rFonts w:ascii="Arial" w:cs="Arial" w:eastAsia="Arial" w:hAnsi="Arial"/>
          <w:sz w:val="18"/>
          <w:szCs w:val="18"/>
          <w:color w:val="auto"/>
        </w:rPr>
        <w:t>The reason for the discrepancy of 1 set in 2019 between the Company’s current consumption of robotic arms (8-chamber) and the new production quantity of 8-chamber equipment using such arms as raw materials for production in the current period is that the robotic arm of 1 set of 8-chamber equipment delivered by the Company to PSI was damaged during the unloading operation by the customer. The loss from such circumstances was borne by the customer or the logistic company (given the trading term of EXW involved), and accordingly PSI purchased a robotic arm from the Company separately.</w:t>
      </w:r>
    </w:p>
    <w:p>
      <w:pPr>
        <w:spacing w:after="0" w:line="208" w:lineRule="exact"/>
        <w:rPr>
          <w:sz w:val="20"/>
          <w:szCs w:val="20"/>
          <w:color w:val="auto"/>
        </w:rPr>
      </w:pPr>
    </w:p>
    <w:p>
      <w:pPr>
        <w:ind w:left="340"/>
        <w:spacing w:after="0"/>
        <w:rPr>
          <w:sz w:val="20"/>
          <w:szCs w:val="20"/>
          <w:color w:val="auto"/>
        </w:rPr>
      </w:pPr>
      <w:r>
        <w:rPr>
          <w:rFonts w:ascii="Arial" w:cs="Arial" w:eastAsia="Arial" w:hAnsi="Arial"/>
          <w:sz w:val="22"/>
          <w:szCs w:val="22"/>
          <w:color w:val="auto"/>
        </w:rPr>
        <w:t>In conclusion, the robotic arms purchased by the Issuer from NINEBELL match those used in production.</w:t>
      </w:r>
    </w:p>
    <w:p>
      <w:pPr>
        <w:spacing w:after="0" w:line="227" w:lineRule="exact"/>
        <w:rPr>
          <w:sz w:val="20"/>
          <w:szCs w:val="20"/>
          <w:color w:val="auto"/>
        </w:rPr>
      </w:pPr>
    </w:p>
    <w:p>
      <w:pPr>
        <w:ind w:left="600" w:hanging="268"/>
        <w:spacing w:after="0"/>
        <w:tabs>
          <w:tab w:leader="none" w:pos="600" w:val="left"/>
        </w:tabs>
        <w:numPr>
          <w:ilvl w:val="0"/>
          <w:numId w:val="40"/>
        </w:numPr>
        <w:rPr>
          <w:rFonts w:ascii="Arial" w:cs="Arial" w:eastAsia="Arial" w:hAnsi="Arial"/>
          <w:sz w:val="22"/>
          <w:szCs w:val="22"/>
          <w:b w:val="1"/>
          <w:bCs w:val="1"/>
          <w:color w:val="auto"/>
        </w:rPr>
      </w:pPr>
      <w:r>
        <w:rPr>
          <w:rFonts w:ascii="Arial" w:cs="Arial" w:eastAsia="Arial" w:hAnsi="Arial"/>
          <w:sz w:val="22"/>
          <w:szCs w:val="22"/>
          <w:b w:val="1"/>
          <w:bCs w:val="1"/>
          <w:color w:val="auto"/>
        </w:rPr>
        <w:t>Verification Procedures and Opinions</w:t>
      </w:r>
    </w:p>
    <w:p>
      <w:pPr>
        <w:spacing w:after="0" w:line="233" w:lineRule="exact"/>
        <w:rPr>
          <w:rFonts w:ascii="Arial" w:cs="Arial" w:eastAsia="Arial" w:hAnsi="Arial"/>
          <w:sz w:val="22"/>
          <w:szCs w:val="22"/>
          <w:b w:val="1"/>
          <w:bCs w:val="1"/>
          <w:color w:val="auto"/>
        </w:rPr>
      </w:pPr>
    </w:p>
    <w:p>
      <w:pPr>
        <w:ind w:left="340"/>
        <w:spacing w:after="0"/>
        <w:rPr>
          <w:rFonts w:ascii="Arial" w:cs="Arial" w:eastAsia="Arial" w:hAnsi="Arial"/>
          <w:sz w:val="22"/>
          <w:szCs w:val="22"/>
          <w:b w:val="1"/>
          <w:bCs w:val="1"/>
          <w:color w:val="auto"/>
        </w:rPr>
      </w:pPr>
      <w:r>
        <w:rPr>
          <w:rFonts w:ascii="Arial" w:cs="Arial" w:eastAsia="Arial" w:hAnsi="Arial"/>
          <w:sz w:val="22"/>
          <w:szCs w:val="22"/>
          <w:b w:val="1"/>
          <w:bCs w:val="1"/>
          <w:color w:val="auto"/>
        </w:rPr>
        <w:t>(i) Verification Procedures</w:t>
      </w:r>
    </w:p>
    <w:p>
      <w:pPr>
        <w:spacing w:after="0" w:line="239" w:lineRule="exact"/>
        <w:rPr>
          <w:sz w:val="20"/>
          <w:szCs w:val="20"/>
          <w:color w:val="auto"/>
        </w:rPr>
      </w:pPr>
    </w:p>
    <w:p>
      <w:pPr>
        <w:ind w:left="340"/>
        <w:spacing w:after="0"/>
        <w:rPr>
          <w:sz w:val="20"/>
          <w:szCs w:val="20"/>
          <w:color w:val="auto"/>
        </w:rPr>
      </w:pPr>
      <w:r>
        <w:rPr>
          <w:rFonts w:ascii="Arial" w:cs="Arial" w:eastAsia="Arial" w:hAnsi="Arial"/>
          <w:sz w:val="22"/>
          <w:szCs w:val="22"/>
          <w:color w:val="auto"/>
        </w:rPr>
        <w:t>Before the release of the Short-sell Report, the Sponsor performed the following verification procedures:</w:t>
      </w:r>
    </w:p>
    <w:p>
      <w:pPr>
        <w:spacing w:after="0" w:line="233" w:lineRule="exact"/>
        <w:rPr>
          <w:sz w:val="20"/>
          <w:szCs w:val="20"/>
          <w:color w:val="auto"/>
        </w:rPr>
      </w:pPr>
    </w:p>
    <w:p>
      <w:pPr>
        <w:ind w:firstLine="332"/>
        <w:spacing w:after="0" w:line="328" w:lineRule="auto"/>
        <w:tabs>
          <w:tab w:leader="none" w:pos="559" w:val="left"/>
        </w:tabs>
        <w:numPr>
          <w:ilvl w:val="0"/>
          <w:numId w:val="41"/>
        </w:numPr>
        <w:rPr>
          <w:rFonts w:ascii="Arial" w:cs="Arial" w:eastAsia="Arial" w:hAnsi="Arial"/>
          <w:sz w:val="19"/>
          <w:szCs w:val="19"/>
          <w:color w:val="auto"/>
        </w:rPr>
      </w:pPr>
      <w:r>
        <w:rPr>
          <w:rFonts w:ascii="Arial" w:cs="Arial" w:eastAsia="Arial" w:hAnsi="Arial"/>
          <w:sz w:val="19"/>
          <w:szCs w:val="19"/>
          <w:color w:val="auto"/>
        </w:rPr>
        <w:t>Having access to the Company’s purchase-sell-stock data and purchase price comparison data over the years on specific type of robotic arms; checking the matching relationship with the purchase-sell-stock data of main cleaning equipment;</w:t>
      </w:r>
    </w:p>
    <w:p>
      <w:pPr>
        <w:spacing w:after="0" w:line="131" w:lineRule="exact"/>
        <w:rPr>
          <w:rFonts w:ascii="Arial" w:cs="Arial" w:eastAsia="Arial" w:hAnsi="Arial"/>
          <w:sz w:val="19"/>
          <w:szCs w:val="19"/>
          <w:color w:val="auto"/>
        </w:rPr>
      </w:pPr>
    </w:p>
    <w:p>
      <w:pPr>
        <w:ind w:right="20" w:firstLine="332"/>
        <w:spacing w:after="0" w:line="250" w:lineRule="auto"/>
        <w:tabs>
          <w:tab w:leader="none" w:pos="540" w:val="left"/>
        </w:tabs>
        <w:numPr>
          <w:ilvl w:val="0"/>
          <w:numId w:val="41"/>
        </w:numPr>
        <w:rPr>
          <w:rFonts w:ascii="Arial" w:cs="Arial" w:eastAsia="Arial" w:hAnsi="Arial"/>
          <w:sz w:val="22"/>
          <w:szCs w:val="22"/>
          <w:color w:val="auto"/>
        </w:rPr>
      </w:pPr>
      <w:r>
        <w:rPr>
          <w:rFonts w:ascii="Arial" w:cs="Arial" w:eastAsia="Arial" w:hAnsi="Arial"/>
          <w:sz w:val="22"/>
          <w:szCs w:val="22"/>
          <w:color w:val="auto"/>
        </w:rPr>
        <w:t>Checking the procurement process of the Company concerning robotic arms, and consulting the fee inquiries from different suppliers and records on price negotiation process with NINEBELL;</w:t>
      </w:r>
    </w:p>
    <w:p>
      <w:pPr>
        <w:spacing w:after="0" w:line="201" w:lineRule="exact"/>
        <w:rPr>
          <w:rFonts w:ascii="Arial" w:cs="Arial" w:eastAsia="Arial" w:hAnsi="Arial"/>
          <w:sz w:val="22"/>
          <w:szCs w:val="22"/>
          <w:color w:val="auto"/>
        </w:rPr>
      </w:pPr>
    </w:p>
    <w:p>
      <w:pPr>
        <w:ind w:firstLine="332"/>
        <w:spacing w:after="0" w:line="250" w:lineRule="auto"/>
        <w:tabs>
          <w:tab w:leader="none" w:pos="558" w:val="left"/>
        </w:tabs>
        <w:numPr>
          <w:ilvl w:val="0"/>
          <w:numId w:val="41"/>
        </w:numPr>
        <w:rPr>
          <w:rFonts w:ascii="Arial" w:cs="Arial" w:eastAsia="Arial" w:hAnsi="Arial"/>
          <w:sz w:val="22"/>
          <w:szCs w:val="22"/>
          <w:color w:val="auto"/>
        </w:rPr>
      </w:pPr>
      <w:r>
        <w:rPr>
          <w:rFonts w:ascii="Arial" w:cs="Arial" w:eastAsia="Arial" w:hAnsi="Arial"/>
          <w:sz w:val="22"/>
          <w:szCs w:val="22"/>
          <w:color w:val="auto"/>
        </w:rPr>
        <w:t>Inquiring engineers of the Issuer about the differences between NINEBELL and other suppliers on the supply of robotic arms, and the application of such robotic arms in different equipment of the Issuer;</w:t>
      </w:r>
    </w:p>
    <w:p>
      <w:pPr>
        <w:spacing w:after="0" w:line="209" w:lineRule="exact"/>
        <w:rPr>
          <w:rFonts w:ascii="Arial" w:cs="Arial" w:eastAsia="Arial" w:hAnsi="Arial"/>
          <w:sz w:val="22"/>
          <w:szCs w:val="22"/>
          <w:color w:val="auto"/>
        </w:rPr>
      </w:pPr>
    </w:p>
    <w:p>
      <w:pPr>
        <w:ind w:left="560" w:hanging="228"/>
        <w:spacing w:after="0"/>
        <w:tabs>
          <w:tab w:leader="none" w:pos="560" w:val="left"/>
        </w:tabs>
        <w:numPr>
          <w:ilvl w:val="0"/>
          <w:numId w:val="41"/>
        </w:numPr>
        <w:rPr>
          <w:rFonts w:ascii="Arial" w:cs="Arial" w:eastAsia="Arial" w:hAnsi="Arial"/>
          <w:sz w:val="17"/>
          <w:szCs w:val="17"/>
          <w:color w:val="auto"/>
        </w:rPr>
      </w:pPr>
      <w:r>
        <w:rPr>
          <w:rFonts w:ascii="Arial" w:cs="Arial" w:eastAsia="Arial" w:hAnsi="Arial"/>
          <w:sz w:val="17"/>
          <w:szCs w:val="17"/>
          <w:color w:val="auto"/>
        </w:rPr>
        <w:t>Seeking confirmations on the transaction between the Company and NINEBELL, and interviewing NINEBELL to understand the business</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relationship between them; and</w:t>
      </w:r>
    </w:p>
    <w:p>
      <w:pPr>
        <w:spacing w:after="0" w:line="238" w:lineRule="exact"/>
        <w:rPr>
          <w:sz w:val="20"/>
          <w:szCs w:val="20"/>
          <w:color w:val="auto"/>
        </w:rPr>
      </w:pPr>
    </w:p>
    <w:p>
      <w:pPr>
        <w:ind w:left="340"/>
        <w:spacing w:after="0"/>
        <w:rPr>
          <w:sz w:val="20"/>
          <w:szCs w:val="20"/>
          <w:color w:val="auto"/>
        </w:rPr>
      </w:pPr>
      <w:r>
        <w:rPr>
          <w:rFonts w:ascii="Arial" w:cs="Arial" w:eastAsia="Arial" w:hAnsi="Arial"/>
          <w:sz w:val="18"/>
          <w:szCs w:val="18"/>
          <w:color w:val="auto"/>
        </w:rPr>
        <w:t>5. Checking NINEBELL’s statements and reports.</w:t>
      </w:r>
    </w:p>
    <w:p>
      <w:pPr>
        <w:spacing w:after="0" w:line="252" w:lineRule="exact"/>
        <w:rPr>
          <w:sz w:val="20"/>
          <w:szCs w:val="20"/>
          <w:color w:val="auto"/>
        </w:rPr>
      </w:pPr>
    </w:p>
    <w:p>
      <w:pPr>
        <w:ind w:left="340"/>
        <w:spacing w:after="0"/>
        <w:rPr>
          <w:sz w:val="20"/>
          <w:szCs w:val="20"/>
          <w:color w:val="auto"/>
        </w:rPr>
      </w:pPr>
      <w:r>
        <w:rPr>
          <w:rFonts w:ascii="Arial" w:cs="Arial" w:eastAsia="Arial" w:hAnsi="Arial"/>
          <w:sz w:val="16"/>
          <w:szCs w:val="16"/>
          <w:color w:val="auto"/>
        </w:rPr>
        <w:t>After the release of the Short-sell Report, the Sponsor performed the following further procedures with respect to the Company’s supplier NINEBELL:</w:t>
      </w:r>
    </w:p>
    <w:p>
      <w:pPr>
        <w:spacing w:after="0" w:line="268" w:lineRule="exact"/>
        <w:rPr>
          <w:sz w:val="20"/>
          <w:szCs w:val="20"/>
          <w:color w:val="auto"/>
        </w:rPr>
      </w:pPr>
    </w:p>
    <w:p>
      <w:pPr>
        <w:ind w:right="320" w:firstLine="332"/>
        <w:spacing w:after="0" w:line="328" w:lineRule="auto"/>
        <w:tabs>
          <w:tab w:leader="none" w:pos="540" w:val="left"/>
        </w:tabs>
        <w:numPr>
          <w:ilvl w:val="0"/>
          <w:numId w:val="42"/>
        </w:numPr>
        <w:rPr>
          <w:rFonts w:ascii="Arial" w:cs="Arial" w:eastAsia="Arial" w:hAnsi="Arial"/>
          <w:sz w:val="19"/>
          <w:szCs w:val="19"/>
          <w:color w:val="auto"/>
        </w:rPr>
      </w:pPr>
      <w:r>
        <w:rPr>
          <w:rFonts w:ascii="Arial" w:cs="Arial" w:eastAsia="Arial" w:hAnsi="Arial"/>
          <w:sz w:val="19"/>
          <w:szCs w:val="19"/>
          <w:color w:val="auto"/>
        </w:rPr>
        <w:t>Inquiring the management of NINEBELL by email to understand the application of materials purchased by NINEBELL from YASKAWA in NINEBELL robotic arms and the importance of such materials to NINEBELL robotic arms;</w:t>
      </w:r>
    </w:p>
    <w:p>
      <w:pPr>
        <w:spacing w:after="0" w:line="131" w:lineRule="exact"/>
        <w:rPr>
          <w:rFonts w:ascii="Arial" w:cs="Arial" w:eastAsia="Arial" w:hAnsi="Arial"/>
          <w:sz w:val="19"/>
          <w:szCs w:val="19"/>
          <w:color w:val="auto"/>
        </w:rPr>
      </w:pPr>
    </w:p>
    <w:p>
      <w:pPr>
        <w:ind w:left="540" w:hanging="208"/>
        <w:spacing w:after="0"/>
        <w:tabs>
          <w:tab w:leader="none" w:pos="540" w:val="left"/>
        </w:tabs>
        <w:numPr>
          <w:ilvl w:val="0"/>
          <w:numId w:val="42"/>
        </w:numPr>
        <w:rPr>
          <w:rFonts w:ascii="Arial" w:cs="Arial" w:eastAsia="Arial" w:hAnsi="Arial"/>
          <w:sz w:val="22"/>
          <w:szCs w:val="22"/>
          <w:color w:val="auto"/>
        </w:rPr>
      </w:pPr>
      <w:r>
        <w:rPr>
          <w:rFonts w:ascii="Arial" w:cs="Arial" w:eastAsia="Arial" w:hAnsi="Arial"/>
          <w:sz w:val="22"/>
          <w:szCs w:val="22"/>
          <w:color w:val="auto"/>
        </w:rPr>
        <w:t>Rechecking the purchase, sales and stock of robotic arms from NINEBELL;</w:t>
      </w:r>
    </w:p>
    <w:p>
      <w:pPr>
        <w:spacing w:after="0" w:line="233" w:lineRule="exact"/>
        <w:rPr>
          <w:rFonts w:ascii="Arial" w:cs="Arial" w:eastAsia="Arial" w:hAnsi="Arial"/>
          <w:sz w:val="22"/>
          <w:szCs w:val="22"/>
          <w:color w:val="auto"/>
        </w:rPr>
      </w:pPr>
    </w:p>
    <w:p>
      <w:pPr>
        <w:ind w:left="540" w:hanging="208"/>
        <w:spacing w:after="0"/>
        <w:tabs>
          <w:tab w:leader="none" w:pos="540" w:val="left"/>
        </w:tabs>
        <w:numPr>
          <w:ilvl w:val="0"/>
          <w:numId w:val="42"/>
        </w:numPr>
        <w:rPr>
          <w:rFonts w:ascii="Arial" w:cs="Arial" w:eastAsia="Arial" w:hAnsi="Arial"/>
          <w:sz w:val="22"/>
          <w:szCs w:val="22"/>
          <w:color w:val="auto"/>
        </w:rPr>
      </w:pPr>
      <w:r>
        <w:rPr>
          <w:rFonts w:ascii="Arial" w:cs="Arial" w:eastAsia="Arial" w:hAnsi="Arial"/>
          <w:sz w:val="22"/>
          <w:szCs w:val="22"/>
          <w:color w:val="auto"/>
        </w:rPr>
        <w:t>Learning from the Issuer about purchases by NINEBELL from YASKAWA;</w:t>
      </w:r>
    </w:p>
    <w:p>
      <w:pPr>
        <w:spacing w:after="0" w:line="240" w:lineRule="exact"/>
        <w:rPr>
          <w:rFonts w:ascii="Arial" w:cs="Arial" w:eastAsia="Arial" w:hAnsi="Arial"/>
          <w:sz w:val="22"/>
          <w:szCs w:val="22"/>
          <w:color w:val="auto"/>
        </w:rPr>
      </w:pPr>
    </w:p>
    <w:p>
      <w:pPr>
        <w:ind w:left="520" w:hanging="188"/>
        <w:spacing w:after="0"/>
        <w:tabs>
          <w:tab w:leader="none" w:pos="520" w:val="left"/>
        </w:tabs>
        <w:numPr>
          <w:ilvl w:val="0"/>
          <w:numId w:val="42"/>
        </w:numPr>
        <w:rPr>
          <w:rFonts w:ascii="Arial" w:cs="Arial" w:eastAsia="Arial" w:hAnsi="Arial"/>
          <w:sz w:val="18"/>
          <w:szCs w:val="18"/>
          <w:color w:val="auto"/>
        </w:rPr>
      </w:pPr>
      <w:r>
        <w:rPr>
          <w:rFonts w:ascii="Arial" w:cs="Arial" w:eastAsia="Arial" w:hAnsi="Arial"/>
          <w:sz w:val="18"/>
          <w:szCs w:val="18"/>
          <w:color w:val="auto"/>
        </w:rPr>
        <w:t>Checking the profitability of comparable listed companies related to robotic arms; and</w:t>
      </w: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8-4-1-44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8" w:name="page49"/>
    <w:bookmarkEnd w:id="48"/>
    <w:p>
      <w:pPr>
        <w:ind w:left="340"/>
        <w:spacing w:after="0"/>
        <w:rPr>
          <w:sz w:val="20"/>
          <w:szCs w:val="20"/>
          <w:color w:val="auto"/>
        </w:rPr>
      </w:pPr>
      <w:r>
        <w:rPr>
          <w:rFonts w:ascii="Arial" w:cs="Arial" w:eastAsia="Arial" w:hAnsi="Arial"/>
          <w:sz w:val="22"/>
          <w:szCs w:val="22"/>
          <w:color w:val="auto"/>
        </w:rPr>
        <w:t>5. Analyzing the profitability of NINEBELL.</w:t>
      </w:r>
    </w:p>
    <w:p>
      <w:pPr>
        <w:spacing w:after="0" w:line="228" w:lineRule="exact"/>
        <w:rPr>
          <w:sz w:val="20"/>
          <w:szCs w:val="20"/>
          <w:color w:val="auto"/>
        </w:rPr>
      </w:pPr>
    </w:p>
    <w:p>
      <w:pPr>
        <w:ind w:left="340"/>
        <w:spacing w:after="0"/>
        <w:rPr>
          <w:sz w:val="20"/>
          <w:szCs w:val="20"/>
          <w:color w:val="auto"/>
        </w:rPr>
      </w:pPr>
      <w:r>
        <w:rPr>
          <w:rFonts w:ascii="Arial" w:cs="Arial" w:eastAsia="Arial" w:hAnsi="Arial"/>
          <w:sz w:val="22"/>
          <w:szCs w:val="22"/>
          <w:b w:val="1"/>
          <w:bCs w:val="1"/>
          <w:color w:val="auto"/>
        </w:rPr>
        <w:t>(ii) Verification Opinions</w:t>
      </w:r>
    </w:p>
    <w:p>
      <w:pPr>
        <w:spacing w:after="0" w:line="239" w:lineRule="exact"/>
        <w:rPr>
          <w:sz w:val="20"/>
          <w:szCs w:val="20"/>
          <w:color w:val="auto"/>
        </w:rPr>
      </w:pPr>
    </w:p>
    <w:p>
      <w:pPr>
        <w:ind w:left="340"/>
        <w:spacing w:after="0"/>
        <w:rPr>
          <w:sz w:val="20"/>
          <w:szCs w:val="20"/>
          <w:color w:val="auto"/>
        </w:rPr>
      </w:pPr>
      <w:r>
        <w:rPr>
          <w:rFonts w:ascii="Arial" w:cs="Arial" w:eastAsia="Arial" w:hAnsi="Arial"/>
          <w:sz w:val="22"/>
          <w:szCs w:val="22"/>
          <w:color w:val="auto"/>
        </w:rPr>
        <w:t>Upon verification, the Sponsor opines that:</w:t>
      </w:r>
    </w:p>
    <w:p>
      <w:pPr>
        <w:spacing w:after="0" w:line="240" w:lineRule="exact"/>
        <w:rPr>
          <w:sz w:val="20"/>
          <w:szCs w:val="20"/>
          <w:color w:val="auto"/>
        </w:rPr>
      </w:pPr>
    </w:p>
    <w:p>
      <w:pPr>
        <w:ind w:left="520" w:hanging="188"/>
        <w:spacing w:after="0"/>
        <w:tabs>
          <w:tab w:leader="none" w:pos="520" w:val="left"/>
        </w:tabs>
        <w:numPr>
          <w:ilvl w:val="0"/>
          <w:numId w:val="43"/>
        </w:numPr>
        <w:rPr>
          <w:rFonts w:ascii="Arial" w:cs="Arial" w:eastAsia="Arial" w:hAnsi="Arial"/>
          <w:sz w:val="18"/>
          <w:szCs w:val="18"/>
          <w:color w:val="auto"/>
        </w:rPr>
      </w:pPr>
      <w:r>
        <w:rPr>
          <w:rFonts w:ascii="Arial" w:cs="Arial" w:eastAsia="Arial" w:hAnsi="Arial"/>
          <w:sz w:val="18"/>
          <w:szCs w:val="18"/>
          <w:color w:val="auto"/>
        </w:rPr>
        <w:t>The robotic arms purchased by the Issuer from NINEBELL are in line with the robotic arms used in production; and</w:t>
      </w:r>
    </w:p>
    <w:p>
      <w:pPr>
        <w:spacing w:after="0" w:line="252" w:lineRule="exact"/>
        <w:rPr>
          <w:rFonts w:ascii="Arial" w:cs="Arial" w:eastAsia="Arial" w:hAnsi="Arial"/>
          <w:sz w:val="18"/>
          <w:szCs w:val="18"/>
          <w:color w:val="auto"/>
        </w:rPr>
      </w:pPr>
    </w:p>
    <w:p>
      <w:pPr>
        <w:ind w:left="520" w:hanging="188"/>
        <w:spacing w:after="0"/>
        <w:tabs>
          <w:tab w:leader="none" w:pos="520" w:val="left"/>
        </w:tabs>
        <w:numPr>
          <w:ilvl w:val="0"/>
          <w:numId w:val="43"/>
        </w:numPr>
        <w:rPr>
          <w:rFonts w:ascii="Arial" w:cs="Arial" w:eastAsia="Arial" w:hAnsi="Arial"/>
          <w:sz w:val="17"/>
          <w:szCs w:val="17"/>
          <w:color w:val="auto"/>
        </w:rPr>
      </w:pPr>
      <w:r>
        <w:rPr>
          <w:rFonts w:ascii="Arial" w:cs="Arial" w:eastAsia="Arial" w:hAnsi="Arial"/>
          <w:sz w:val="17"/>
          <w:szCs w:val="17"/>
          <w:color w:val="auto"/>
        </w:rPr>
        <w:t>The allegation in the Short-sell Report that “NINEBELL is buying the robotic arms it sells to ACMR from a Japanese supplier” is incorrect.</w:t>
      </w:r>
    </w:p>
    <w:p>
      <w:pPr>
        <w:spacing w:after="0" w:line="250" w:lineRule="exact"/>
        <w:rPr>
          <w:sz w:val="20"/>
          <w:szCs w:val="20"/>
          <w:color w:val="auto"/>
        </w:rPr>
      </w:pPr>
    </w:p>
    <w:p>
      <w:pPr>
        <w:ind w:left="340"/>
        <w:spacing w:after="0"/>
        <w:rPr>
          <w:sz w:val="20"/>
          <w:szCs w:val="20"/>
          <w:color w:val="auto"/>
        </w:rPr>
      </w:pPr>
      <w:r>
        <w:rPr>
          <w:rFonts w:ascii="Arial" w:cs="Arial" w:eastAsia="Arial" w:hAnsi="Arial"/>
          <w:sz w:val="22"/>
          <w:szCs w:val="22"/>
          <w:b w:val="1"/>
          <w:bCs w:val="1"/>
          <w:color w:val="auto"/>
        </w:rPr>
        <w:t>Part B - Other Challenges in the Short-sell Report and the Responses thereto</w:t>
      </w:r>
    </w:p>
    <w:p>
      <w:pPr>
        <w:spacing w:after="0" w:line="233" w:lineRule="exact"/>
        <w:rPr>
          <w:sz w:val="20"/>
          <w:szCs w:val="20"/>
          <w:color w:val="auto"/>
        </w:rPr>
      </w:pPr>
    </w:p>
    <w:p>
      <w:pPr>
        <w:ind w:left="340" w:right="1100" w:hanging="8"/>
        <w:spacing w:after="0" w:line="463" w:lineRule="auto"/>
        <w:tabs>
          <w:tab w:leader="none" w:pos="556" w:val="left"/>
        </w:tabs>
        <w:numPr>
          <w:ilvl w:val="0"/>
          <w:numId w:val="44"/>
        </w:numPr>
        <w:rPr>
          <w:rFonts w:ascii="Arial" w:cs="Arial" w:eastAsia="Arial" w:hAnsi="Arial"/>
          <w:sz w:val="22"/>
          <w:szCs w:val="22"/>
          <w:b w:val="1"/>
          <w:bCs w:val="1"/>
          <w:color w:val="auto"/>
        </w:rPr>
      </w:pPr>
      <w:r>
        <w:rPr>
          <w:rFonts w:ascii="Arial" w:cs="Arial" w:eastAsia="Arial" w:hAnsi="Arial"/>
          <w:sz w:val="22"/>
          <w:szCs w:val="22"/>
          <w:b w:val="1"/>
          <w:bCs w:val="1"/>
          <w:color w:val="auto"/>
        </w:rPr>
        <w:t>Other Challenge 1: About Fixed Assets (Index of Verification in Response to the Short-sell Report, No.5) Challenge in the Short-sell Report (Short-sell Report, pp.5-8):</w:t>
      </w:r>
    </w:p>
    <w:p>
      <w:pPr>
        <w:spacing w:after="0" w:line="2" w:lineRule="exact"/>
        <w:rPr>
          <w:sz w:val="20"/>
          <w:szCs w:val="20"/>
          <w:color w:val="auto"/>
        </w:rPr>
      </w:pPr>
    </w:p>
    <w:p>
      <w:pPr>
        <w:jc w:val="both"/>
        <w:ind w:firstLine="324"/>
        <w:spacing w:after="0" w:line="246" w:lineRule="auto"/>
        <w:rPr>
          <w:sz w:val="20"/>
          <w:szCs w:val="20"/>
          <w:color w:val="auto"/>
        </w:rPr>
      </w:pPr>
      <w:r>
        <w:rPr>
          <w:rFonts w:ascii="Arial" w:cs="Arial" w:eastAsia="Arial" w:hAnsi="Arial"/>
          <w:sz w:val="21"/>
          <w:szCs w:val="21"/>
          <w:color w:val="auto"/>
        </w:rPr>
        <w:t>“The true nature of ACMR’s business is readily available for investors to see in the company’s disclosures. ACMR has virtually no capital equipment. So-called “manufacturing equipment” at cost on the balance sheet in Q2 2020 amounted to $3.9 mln. This equipment was actually reduced in 2019 when production was supposed to “ramp.” The value of office equipment added since the start of 2019 greatly exceeds the value of added manufacturing equipment. The company opened a new factory in 2018, yet the amount spent on construction in progress during 2017 and 2018 is negligible, and the depreciated PPE machinery values clearly show older machinery, not brand new and still barely depreciated capital assets. By far the most valuable piece of equipment in the factory is for testing, not production.</w:t>
      </w:r>
    </w:p>
    <w:p>
      <w:pPr>
        <w:spacing w:after="0" w:line="211" w:lineRule="exact"/>
        <w:rPr>
          <w:sz w:val="20"/>
          <w:szCs w:val="20"/>
          <w:color w:val="auto"/>
        </w:rPr>
      </w:pPr>
    </w:p>
    <w:p>
      <w:pPr>
        <w:ind w:left="340"/>
        <w:spacing w:after="0"/>
        <w:rPr>
          <w:sz w:val="20"/>
          <w:szCs w:val="20"/>
          <w:color w:val="auto"/>
        </w:rPr>
      </w:pPr>
      <w:r>
        <w:rPr>
          <w:rFonts w:ascii="Arial" w:cs="Arial" w:eastAsia="Arial" w:hAnsi="Arial"/>
          <w:sz w:val="22"/>
          <w:szCs w:val="22"/>
          <w:color w:val="auto"/>
        </w:rPr>
        <w:t>How do you build high-tech machines with $3.9 mln in manufacturing equipment at cost?</w:t>
      </w:r>
    </w:p>
    <w:p>
      <w:pPr>
        <w:spacing w:after="0" w:line="233" w:lineRule="exact"/>
        <w:rPr>
          <w:sz w:val="20"/>
          <w:szCs w:val="20"/>
          <w:color w:val="auto"/>
        </w:rPr>
      </w:pPr>
    </w:p>
    <w:p>
      <w:pPr>
        <w:jc w:val="both"/>
        <w:ind w:firstLine="324"/>
        <w:spacing w:after="0" w:line="252" w:lineRule="auto"/>
        <w:rPr>
          <w:sz w:val="20"/>
          <w:szCs w:val="20"/>
          <w:color w:val="auto"/>
        </w:rPr>
      </w:pPr>
      <w:r>
        <w:rPr>
          <w:rFonts w:ascii="Arial" w:cs="Arial" w:eastAsia="Arial" w:hAnsi="Arial"/>
          <w:sz w:val="21"/>
          <w:szCs w:val="21"/>
          <w:color w:val="auto"/>
        </w:rPr>
        <w:t>ACMR is building a new, 1 mln square foot production and R&amp;D base in the Lingang park in Shanghai. Only 11% of the roughly $127 mln being invested is for “equipment and software investment,” while a staggering 31%, or $40.9 mln, is for “raw materials for trial production.”7 We question why the company needs to capitalize such large amounts of otherwise inventory costs for “trial” production when it already has an apparently established production process.</w:t>
      </w:r>
    </w:p>
    <w:p>
      <w:pPr>
        <w:spacing w:after="0" w:line="201" w:lineRule="exact"/>
        <w:rPr>
          <w:sz w:val="20"/>
          <w:szCs w:val="20"/>
          <w:color w:val="auto"/>
        </w:rPr>
      </w:pPr>
    </w:p>
    <w:p>
      <w:pPr>
        <w:jc w:val="both"/>
        <w:ind w:right="20" w:firstLine="324"/>
        <w:spacing w:after="0" w:line="250" w:lineRule="auto"/>
        <w:rPr>
          <w:sz w:val="20"/>
          <w:szCs w:val="20"/>
          <w:color w:val="auto"/>
        </w:rPr>
      </w:pPr>
      <w:r>
        <w:rPr>
          <w:rFonts w:ascii="Arial" w:cs="Arial" w:eastAsia="Arial" w:hAnsi="Arial"/>
          <w:sz w:val="22"/>
          <w:szCs w:val="22"/>
          <w:color w:val="auto"/>
        </w:rPr>
        <w:t>ACMR is spending nearly 3x as much on “materials for trial production” in the new facility as on manufacturing equipment and software.”</w:t>
      </w:r>
    </w:p>
    <w:p>
      <w:pPr>
        <w:spacing w:after="0" w:line="196" w:lineRule="exact"/>
        <w:rPr>
          <w:sz w:val="20"/>
          <w:szCs w:val="20"/>
          <w:color w:val="auto"/>
        </w:rPr>
      </w:pPr>
    </w:p>
    <w:p>
      <w:pPr>
        <w:ind w:left="340"/>
        <w:spacing w:after="0"/>
        <w:rPr>
          <w:sz w:val="20"/>
          <w:szCs w:val="20"/>
          <w:color w:val="auto"/>
        </w:rPr>
      </w:pPr>
      <w:r>
        <w:rPr>
          <w:rFonts w:ascii="Arial" w:cs="Arial" w:eastAsia="Arial" w:hAnsi="Arial"/>
          <w:sz w:val="22"/>
          <w:szCs w:val="22"/>
          <w:b w:val="1"/>
          <w:bCs w:val="1"/>
          <w:color w:val="auto"/>
        </w:rPr>
        <w:t>Response:</w:t>
      </w:r>
    </w:p>
    <w:p>
      <w:pPr>
        <w:spacing w:after="0" w:line="233" w:lineRule="exact"/>
        <w:rPr>
          <w:sz w:val="20"/>
          <w:szCs w:val="20"/>
          <w:color w:val="auto"/>
        </w:rPr>
      </w:pPr>
    </w:p>
    <w:p>
      <w:pPr>
        <w:ind w:left="340"/>
        <w:spacing w:after="0"/>
        <w:rPr>
          <w:sz w:val="20"/>
          <w:szCs w:val="20"/>
          <w:color w:val="auto"/>
        </w:rPr>
      </w:pPr>
      <w:r>
        <w:rPr>
          <w:rFonts w:ascii="Arial" w:cs="Arial" w:eastAsia="Arial" w:hAnsi="Arial"/>
          <w:sz w:val="22"/>
          <w:szCs w:val="22"/>
          <w:b w:val="1"/>
          <w:bCs w:val="1"/>
          <w:color w:val="auto"/>
        </w:rPr>
        <w:t>I. Clarification by the Issuer</w:t>
      </w:r>
    </w:p>
    <w:p>
      <w:pPr>
        <w:spacing w:after="0" w:line="239" w:lineRule="exact"/>
        <w:rPr>
          <w:sz w:val="20"/>
          <w:szCs w:val="20"/>
          <w:color w:val="auto"/>
        </w:rPr>
      </w:pPr>
    </w:p>
    <w:p>
      <w:pPr>
        <w:jc w:val="both"/>
        <w:ind w:firstLine="324"/>
        <w:spacing w:after="0"/>
        <w:rPr>
          <w:sz w:val="20"/>
          <w:szCs w:val="20"/>
          <w:color w:val="auto"/>
        </w:rPr>
      </w:pPr>
      <w:r>
        <w:rPr>
          <w:rFonts w:ascii="Arial" w:cs="Arial" w:eastAsia="Arial" w:hAnsi="Arial"/>
          <w:sz w:val="22"/>
          <w:szCs w:val="22"/>
          <w:color w:val="auto"/>
        </w:rPr>
        <w:t>The Company’s use of less production equipment is in line with the practice of semiconductor special equipment industry, and is rational. The Company has disclosed and clarified its fixed assets in “Section VI.V.(I) Main Fixed Assets” of the Prospectus, as detailed below:</w:t>
      </w:r>
    </w:p>
    <w:p>
      <w:pPr>
        <w:spacing w:after="0" w:line="39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8-4-1-45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49" w:name="page50"/>
    <w:bookmarkEnd w:id="49"/>
    <w:p>
      <w:pPr>
        <w:ind w:left="340"/>
        <w:spacing w:after="0"/>
        <w:rPr>
          <w:sz w:val="20"/>
          <w:szCs w:val="20"/>
          <w:color w:val="auto"/>
        </w:rPr>
      </w:pPr>
      <w:r>
        <w:rPr>
          <w:rFonts w:ascii="Arial" w:cs="Arial" w:eastAsia="Arial" w:hAnsi="Arial"/>
          <w:sz w:val="22"/>
          <w:szCs w:val="22"/>
          <w:color w:val="auto"/>
        </w:rPr>
        <w:t>“As of June 30, 2020, the Company’s fixed assets were as follows:</w:t>
      </w:r>
    </w:p>
    <w:p>
      <w:pPr>
        <w:spacing w:after="0" w:line="234" w:lineRule="exact"/>
        <w:rPr>
          <w:sz w:val="20"/>
          <w:szCs w:val="20"/>
          <w:color w:val="auto"/>
        </w:rPr>
      </w:pPr>
    </w:p>
    <w:tbl>
      <w:tblPr>
        <w:tblLayout w:type="fixed"/>
        <w:tblInd w:w="10" w:type="dxa"/>
        <w:tblCellMar>
          <w:top w:w="0" w:type="dxa"/>
          <w:left w:w="0" w:type="dxa"/>
          <w:bottom w:w="0" w:type="dxa"/>
          <w:right w:w="0" w:type="dxa"/>
        </w:tblCellMar>
      </w:tblPr>
      <w:tr>
        <w:trPr>
          <w:trHeight w:val="274"/>
        </w:trPr>
        <w:tc>
          <w:tcPr>
            <w:tcW w:w="3900" w:type="dxa"/>
            <w:vAlign w:val="bottom"/>
          </w:tcPr>
          <w:p>
            <w:pPr>
              <w:spacing w:after="0"/>
              <w:rPr>
                <w:sz w:val="23"/>
                <w:szCs w:val="23"/>
                <w:color w:val="auto"/>
              </w:rPr>
            </w:pPr>
          </w:p>
        </w:tc>
        <w:tc>
          <w:tcPr>
            <w:tcW w:w="2580" w:type="dxa"/>
            <w:vAlign w:val="bottom"/>
          </w:tcPr>
          <w:p>
            <w:pPr>
              <w:spacing w:after="0"/>
              <w:rPr>
                <w:sz w:val="23"/>
                <w:szCs w:val="23"/>
                <w:color w:val="auto"/>
              </w:rPr>
            </w:pPr>
          </w:p>
        </w:tc>
        <w:tc>
          <w:tcPr>
            <w:tcW w:w="2580" w:type="dxa"/>
            <w:vAlign w:val="bottom"/>
          </w:tcPr>
          <w:p>
            <w:pPr>
              <w:spacing w:after="0"/>
              <w:rPr>
                <w:sz w:val="23"/>
                <w:szCs w:val="23"/>
                <w:color w:val="auto"/>
              </w:rPr>
            </w:pPr>
          </w:p>
        </w:tc>
        <w:tc>
          <w:tcPr>
            <w:tcW w:w="2180" w:type="dxa"/>
            <w:vAlign w:val="bottom"/>
          </w:tcPr>
          <w:p>
            <w:pPr>
              <w:jc w:val="right"/>
              <w:spacing w:after="0"/>
              <w:rPr>
                <w:sz w:val="20"/>
                <w:szCs w:val="20"/>
                <w:color w:val="auto"/>
              </w:rPr>
            </w:pPr>
            <w:r>
              <w:rPr>
                <w:rFonts w:ascii="Arial" w:cs="Arial" w:eastAsia="Arial" w:hAnsi="Arial"/>
                <w:sz w:val="22"/>
                <w:szCs w:val="22"/>
                <w:color w:val="auto"/>
              </w:rPr>
              <w:t>Unit: RMB10,000</w:t>
            </w:r>
          </w:p>
        </w:tc>
      </w:tr>
      <w:tr>
        <w:trPr>
          <w:trHeight w:val="240"/>
        </w:trPr>
        <w:tc>
          <w:tcPr>
            <w:tcW w:w="3900" w:type="dxa"/>
            <w:vAlign w:val="bottom"/>
            <w:tcBorders>
              <w:bottom w:val="single" w:sz="8" w:color="auto"/>
            </w:tcBorders>
          </w:tcPr>
          <w:p>
            <w:pPr>
              <w:spacing w:after="0"/>
              <w:rPr>
                <w:sz w:val="20"/>
                <w:szCs w:val="20"/>
                <w:color w:val="auto"/>
              </w:rPr>
            </w:pPr>
          </w:p>
        </w:tc>
        <w:tc>
          <w:tcPr>
            <w:tcW w:w="2580" w:type="dxa"/>
            <w:vAlign w:val="bottom"/>
            <w:tcBorders>
              <w:bottom w:val="single" w:sz="8" w:color="auto"/>
            </w:tcBorders>
          </w:tcPr>
          <w:p>
            <w:pPr>
              <w:spacing w:after="0"/>
              <w:rPr>
                <w:sz w:val="20"/>
                <w:szCs w:val="20"/>
                <w:color w:val="auto"/>
              </w:rPr>
            </w:pPr>
          </w:p>
        </w:tc>
        <w:tc>
          <w:tcPr>
            <w:tcW w:w="2580" w:type="dxa"/>
            <w:vAlign w:val="bottom"/>
            <w:tcBorders>
              <w:bottom w:val="single" w:sz="8" w:color="auto"/>
            </w:tcBorders>
          </w:tcPr>
          <w:p>
            <w:pPr>
              <w:spacing w:after="0"/>
              <w:rPr>
                <w:sz w:val="20"/>
                <w:szCs w:val="20"/>
                <w:color w:val="auto"/>
              </w:rPr>
            </w:pPr>
          </w:p>
        </w:tc>
        <w:tc>
          <w:tcPr>
            <w:tcW w:w="2180" w:type="dxa"/>
            <w:vAlign w:val="bottom"/>
            <w:tcBorders>
              <w:bottom w:val="single" w:sz="8" w:color="auto"/>
            </w:tcBorders>
          </w:tcPr>
          <w:p>
            <w:pPr>
              <w:spacing w:after="0"/>
              <w:rPr>
                <w:sz w:val="20"/>
                <w:szCs w:val="20"/>
                <w:color w:val="auto"/>
              </w:rPr>
            </w:pPr>
          </w:p>
        </w:tc>
      </w:tr>
      <w:tr>
        <w:trPr>
          <w:trHeight w:val="223"/>
        </w:trPr>
        <w:tc>
          <w:tcPr>
            <w:tcW w:w="390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92"/>
              </w:rPr>
              <w:t>Category</w:t>
            </w:r>
          </w:p>
        </w:tc>
        <w:tc>
          <w:tcPr>
            <w:tcW w:w="2580" w:type="dxa"/>
            <w:vAlign w:val="bottom"/>
            <w:tcBorders>
              <w:bottom w:val="single" w:sz="8" w:color="auto"/>
              <w:right w:val="single" w:sz="8" w:color="auto"/>
            </w:tcBorders>
          </w:tcPr>
          <w:p>
            <w:pPr>
              <w:jc w:val="right"/>
              <w:ind w:right="650"/>
              <w:spacing w:after="0"/>
              <w:rPr>
                <w:sz w:val="20"/>
                <w:szCs w:val="20"/>
                <w:color w:val="auto"/>
              </w:rPr>
            </w:pPr>
            <w:r>
              <w:rPr>
                <w:rFonts w:ascii="Arial" w:cs="Arial" w:eastAsia="Arial" w:hAnsi="Arial"/>
                <w:sz w:val="18"/>
                <w:szCs w:val="18"/>
                <w:b w:val="1"/>
                <w:bCs w:val="1"/>
                <w:color w:val="auto"/>
              </w:rPr>
              <w:t>Original Value</w:t>
            </w:r>
          </w:p>
        </w:tc>
        <w:tc>
          <w:tcPr>
            <w:tcW w:w="2580" w:type="dxa"/>
            <w:vAlign w:val="bottom"/>
            <w:tcBorders>
              <w:bottom w:val="single" w:sz="8" w:color="auto"/>
              <w:right w:val="single" w:sz="8" w:color="auto"/>
            </w:tcBorders>
          </w:tcPr>
          <w:p>
            <w:pPr>
              <w:jc w:val="right"/>
              <w:ind w:right="770"/>
              <w:spacing w:after="0"/>
              <w:rPr>
                <w:sz w:val="20"/>
                <w:szCs w:val="20"/>
                <w:color w:val="auto"/>
              </w:rPr>
            </w:pPr>
            <w:r>
              <w:rPr>
                <w:rFonts w:ascii="Arial" w:cs="Arial" w:eastAsia="Arial" w:hAnsi="Arial"/>
                <w:sz w:val="18"/>
                <w:szCs w:val="18"/>
                <w:b w:val="1"/>
                <w:bCs w:val="1"/>
                <w:color w:val="auto"/>
              </w:rPr>
              <w:t>Book Value</w:t>
            </w:r>
          </w:p>
        </w:tc>
        <w:tc>
          <w:tcPr>
            <w:tcW w:w="2180" w:type="dxa"/>
            <w:vAlign w:val="bottom"/>
            <w:tcBorders>
              <w:bottom w:val="single" w:sz="8" w:color="auto"/>
              <w:right w:val="single" w:sz="8" w:color="auto"/>
            </w:tcBorders>
          </w:tcPr>
          <w:p>
            <w:pPr>
              <w:jc w:val="right"/>
              <w:ind w:right="467"/>
              <w:spacing w:after="0"/>
              <w:rPr>
                <w:sz w:val="20"/>
                <w:szCs w:val="20"/>
                <w:color w:val="auto"/>
              </w:rPr>
            </w:pPr>
            <w:r>
              <w:rPr>
                <w:rFonts w:ascii="Arial" w:cs="Arial" w:eastAsia="Arial" w:hAnsi="Arial"/>
                <w:sz w:val="18"/>
                <w:szCs w:val="18"/>
                <w:b w:val="1"/>
                <w:bCs w:val="1"/>
                <w:color w:val="auto"/>
              </w:rPr>
              <w:t>Newness Rate</w:t>
            </w:r>
          </w:p>
        </w:tc>
      </w:tr>
      <w:tr>
        <w:trPr>
          <w:trHeight w:val="223"/>
        </w:trPr>
        <w:tc>
          <w:tcPr>
            <w:tcW w:w="390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9"/>
              </w:rPr>
              <w:t>Machines and equipment</w:t>
            </w:r>
          </w:p>
        </w:tc>
        <w:tc>
          <w:tcPr>
            <w:tcW w:w="258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2,819.09</w:t>
            </w:r>
          </w:p>
        </w:tc>
        <w:tc>
          <w:tcPr>
            <w:tcW w:w="258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1,124.06</w:t>
            </w:r>
          </w:p>
        </w:tc>
        <w:tc>
          <w:tcPr>
            <w:tcW w:w="218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39.87%</w:t>
            </w:r>
          </w:p>
        </w:tc>
      </w:tr>
      <w:tr>
        <w:trPr>
          <w:trHeight w:val="223"/>
        </w:trPr>
        <w:tc>
          <w:tcPr>
            <w:tcW w:w="390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0"/>
              </w:rPr>
              <w:t>Means of transport</w:t>
            </w:r>
          </w:p>
        </w:tc>
        <w:tc>
          <w:tcPr>
            <w:tcW w:w="258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120.68</w:t>
            </w:r>
          </w:p>
        </w:tc>
        <w:tc>
          <w:tcPr>
            <w:tcW w:w="258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58.88</w:t>
            </w:r>
          </w:p>
        </w:tc>
        <w:tc>
          <w:tcPr>
            <w:tcW w:w="218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48.79%</w:t>
            </w:r>
          </w:p>
        </w:tc>
      </w:tr>
      <w:tr>
        <w:trPr>
          <w:trHeight w:val="223"/>
        </w:trPr>
        <w:tc>
          <w:tcPr>
            <w:tcW w:w="390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9"/>
              </w:rPr>
              <w:t>Computers and electronic devices</w:t>
            </w:r>
          </w:p>
        </w:tc>
        <w:tc>
          <w:tcPr>
            <w:tcW w:w="258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389.41</w:t>
            </w:r>
          </w:p>
        </w:tc>
        <w:tc>
          <w:tcPr>
            <w:tcW w:w="258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211.66</w:t>
            </w:r>
          </w:p>
        </w:tc>
        <w:tc>
          <w:tcPr>
            <w:tcW w:w="218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54.35%</w:t>
            </w:r>
          </w:p>
        </w:tc>
      </w:tr>
      <w:tr>
        <w:trPr>
          <w:trHeight w:val="223"/>
        </w:trPr>
        <w:tc>
          <w:tcPr>
            <w:tcW w:w="390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2"/>
              </w:rPr>
              <w:t>Office equipment</w:t>
            </w:r>
          </w:p>
        </w:tc>
        <w:tc>
          <w:tcPr>
            <w:tcW w:w="258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84.82</w:t>
            </w:r>
          </w:p>
        </w:tc>
        <w:tc>
          <w:tcPr>
            <w:tcW w:w="258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29.13</w:t>
            </w:r>
          </w:p>
        </w:tc>
        <w:tc>
          <w:tcPr>
            <w:tcW w:w="218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34.34%</w:t>
            </w:r>
          </w:p>
        </w:tc>
      </w:tr>
      <w:tr>
        <w:trPr>
          <w:trHeight w:val="223"/>
        </w:trPr>
        <w:tc>
          <w:tcPr>
            <w:tcW w:w="390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92"/>
              </w:rPr>
              <w:t>Total</w:t>
            </w:r>
          </w:p>
        </w:tc>
        <w:tc>
          <w:tcPr>
            <w:tcW w:w="258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3,414.00</w:t>
            </w:r>
          </w:p>
        </w:tc>
        <w:tc>
          <w:tcPr>
            <w:tcW w:w="258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1,423.73</w:t>
            </w:r>
          </w:p>
        </w:tc>
        <w:tc>
          <w:tcPr>
            <w:tcW w:w="218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41.70%</w:t>
            </w:r>
          </w:p>
        </w:tc>
      </w:tr>
    </w:tbl>
    <w:p>
      <w:pPr>
        <w:spacing w:after="0" w:line="216" w:lineRule="exact"/>
        <w:rPr>
          <w:sz w:val="20"/>
          <w:szCs w:val="20"/>
          <w:color w:val="auto"/>
        </w:rPr>
      </w:pPr>
    </w:p>
    <w:p>
      <w:pPr>
        <w:ind w:left="340"/>
        <w:spacing w:after="0"/>
        <w:rPr>
          <w:sz w:val="20"/>
          <w:szCs w:val="20"/>
          <w:color w:val="auto"/>
        </w:rPr>
      </w:pPr>
      <w:r>
        <w:rPr>
          <w:rFonts w:ascii="Arial" w:cs="Arial" w:eastAsia="Arial" w:hAnsi="Arial"/>
          <w:sz w:val="22"/>
          <w:szCs w:val="22"/>
          <w:b w:val="1"/>
          <w:bCs w:val="1"/>
          <w:color w:val="auto"/>
        </w:rPr>
        <w:t>1. Issuer’s equipment</w:t>
      </w:r>
    </w:p>
    <w:p>
      <w:pPr>
        <w:spacing w:after="0" w:line="246"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As of June 30, 2020, the Company’s main R&amp;D and production equipment were as follows:</w:t>
      </w:r>
    </w:p>
    <w:p>
      <w:pPr>
        <w:spacing w:after="0" w:line="245" w:lineRule="exact"/>
        <w:rPr>
          <w:sz w:val="20"/>
          <w:szCs w:val="20"/>
          <w:color w:val="auto"/>
        </w:rPr>
      </w:pPr>
    </w:p>
    <w:tbl>
      <w:tblPr>
        <w:tblLayout w:type="fixed"/>
        <w:tblInd w:w="10" w:type="dxa"/>
        <w:tblCellMar>
          <w:top w:w="0" w:type="dxa"/>
          <w:left w:w="0" w:type="dxa"/>
          <w:bottom w:w="0" w:type="dxa"/>
          <w:right w:w="0" w:type="dxa"/>
        </w:tblCellMar>
      </w:tblPr>
      <w:tr>
        <w:trPr>
          <w:trHeight w:val="274"/>
        </w:trPr>
        <w:tc>
          <w:tcPr>
            <w:tcW w:w="1040" w:type="dxa"/>
            <w:vAlign w:val="bottom"/>
          </w:tcPr>
          <w:p>
            <w:pPr>
              <w:spacing w:after="0"/>
              <w:rPr>
                <w:sz w:val="23"/>
                <w:szCs w:val="23"/>
                <w:color w:val="auto"/>
              </w:rPr>
            </w:pPr>
          </w:p>
        </w:tc>
        <w:tc>
          <w:tcPr>
            <w:tcW w:w="582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1460" w:type="dxa"/>
            <w:vAlign w:val="bottom"/>
          </w:tcPr>
          <w:p>
            <w:pPr>
              <w:spacing w:after="0"/>
              <w:rPr>
                <w:sz w:val="23"/>
                <w:szCs w:val="23"/>
                <w:color w:val="auto"/>
              </w:rPr>
            </w:pPr>
          </w:p>
        </w:tc>
        <w:tc>
          <w:tcPr>
            <w:tcW w:w="1800" w:type="dxa"/>
            <w:vAlign w:val="bottom"/>
            <w:gridSpan w:val="2"/>
          </w:tcPr>
          <w:p>
            <w:pPr>
              <w:ind w:left="220"/>
              <w:spacing w:after="0"/>
              <w:rPr>
                <w:sz w:val="20"/>
                <w:szCs w:val="20"/>
                <w:color w:val="auto"/>
              </w:rPr>
            </w:pPr>
            <w:r>
              <w:rPr>
                <w:rFonts w:ascii="Arial" w:cs="Arial" w:eastAsia="Arial" w:hAnsi="Arial"/>
                <w:sz w:val="22"/>
                <w:szCs w:val="22"/>
                <w:color w:val="auto"/>
                <w:w w:val="93"/>
              </w:rPr>
              <w:t>Unit: RMB10,000</w:t>
            </w:r>
          </w:p>
        </w:tc>
        <w:tc>
          <w:tcPr>
            <w:tcW w:w="0" w:type="dxa"/>
            <w:vAlign w:val="bottom"/>
          </w:tcPr>
          <w:p>
            <w:pPr>
              <w:spacing w:after="0"/>
              <w:rPr>
                <w:sz w:val="1"/>
                <w:szCs w:val="1"/>
                <w:color w:val="auto"/>
              </w:rPr>
            </w:pPr>
          </w:p>
        </w:tc>
      </w:tr>
      <w:tr>
        <w:trPr>
          <w:trHeight w:val="240"/>
        </w:trPr>
        <w:tc>
          <w:tcPr>
            <w:tcW w:w="1040" w:type="dxa"/>
            <w:vAlign w:val="bottom"/>
          </w:tcPr>
          <w:p>
            <w:pPr>
              <w:spacing w:after="0"/>
              <w:rPr>
                <w:sz w:val="20"/>
                <w:szCs w:val="20"/>
                <w:color w:val="auto"/>
              </w:rPr>
            </w:pPr>
          </w:p>
        </w:tc>
        <w:tc>
          <w:tcPr>
            <w:tcW w:w="58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1040" w:type="dxa"/>
            <w:vAlign w:val="bottom"/>
            <w:tcBorders>
              <w:top w:val="single" w:sz="8" w:color="auto"/>
              <w:left w:val="single" w:sz="8" w:color="auto"/>
              <w:right w:val="single" w:sz="8" w:color="auto"/>
            </w:tcBorders>
            <w:vMerge w:val="restart"/>
          </w:tcPr>
          <w:p>
            <w:pPr>
              <w:ind w:left="380"/>
              <w:spacing w:after="0"/>
              <w:rPr>
                <w:sz w:val="20"/>
                <w:szCs w:val="20"/>
                <w:color w:val="auto"/>
              </w:rPr>
            </w:pPr>
            <w:r>
              <w:rPr>
                <w:rFonts w:ascii="Arial" w:cs="Arial" w:eastAsia="Arial" w:hAnsi="Arial"/>
                <w:sz w:val="18"/>
                <w:szCs w:val="18"/>
                <w:b w:val="1"/>
                <w:bCs w:val="1"/>
                <w:color w:val="auto"/>
              </w:rPr>
              <w:t>S/N</w:t>
            </w:r>
          </w:p>
        </w:tc>
        <w:tc>
          <w:tcPr>
            <w:tcW w:w="5820" w:type="dxa"/>
            <w:vAlign w:val="bottom"/>
            <w:tcBorders>
              <w:top w:val="single" w:sz="8" w:color="auto"/>
              <w:right w:val="single" w:sz="8" w:color="auto"/>
            </w:tcBorders>
            <w:vMerge w:val="restart"/>
          </w:tcPr>
          <w:p>
            <w:pPr>
              <w:jc w:val="center"/>
              <w:spacing w:after="0"/>
              <w:rPr>
                <w:sz w:val="20"/>
                <w:szCs w:val="20"/>
                <w:color w:val="auto"/>
              </w:rPr>
            </w:pPr>
            <w:r>
              <w:rPr>
                <w:rFonts w:ascii="Arial" w:cs="Arial" w:eastAsia="Arial" w:hAnsi="Arial"/>
                <w:sz w:val="18"/>
                <w:szCs w:val="18"/>
                <w:b w:val="1"/>
                <w:bCs w:val="1"/>
                <w:color w:val="auto"/>
                <w:w w:val="92"/>
              </w:rPr>
              <w:t>Equipment</w:t>
            </w:r>
          </w:p>
        </w:tc>
        <w:tc>
          <w:tcPr>
            <w:tcW w:w="1120" w:type="dxa"/>
            <w:vAlign w:val="bottom"/>
            <w:tcBorders>
              <w:top w:val="single" w:sz="8" w:color="auto"/>
              <w:right w:val="single" w:sz="8" w:color="auto"/>
            </w:tcBorders>
          </w:tcPr>
          <w:p>
            <w:pPr>
              <w:jc w:val="right"/>
              <w:ind w:right="150"/>
              <w:spacing w:after="0" w:line="198" w:lineRule="exact"/>
              <w:rPr>
                <w:sz w:val="20"/>
                <w:szCs w:val="20"/>
                <w:color w:val="auto"/>
              </w:rPr>
            </w:pPr>
            <w:r>
              <w:rPr>
                <w:rFonts w:ascii="Arial" w:cs="Arial" w:eastAsia="Arial" w:hAnsi="Arial"/>
                <w:sz w:val="18"/>
                <w:szCs w:val="18"/>
                <w:b w:val="1"/>
                <w:bCs w:val="1"/>
                <w:color w:val="auto"/>
              </w:rPr>
              <w:t>Original</w:t>
            </w:r>
          </w:p>
        </w:tc>
        <w:tc>
          <w:tcPr>
            <w:tcW w:w="1460" w:type="dxa"/>
            <w:vAlign w:val="bottom"/>
            <w:tcBorders>
              <w:top w:val="single" w:sz="8" w:color="auto"/>
              <w:right w:val="single" w:sz="8" w:color="auto"/>
            </w:tcBorders>
          </w:tcPr>
          <w:p>
            <w:pPr>
              <w:jc w:val="right"/>
              <w:ind w:right="470"/>
              <w:spacing w:after="0" w:line="198" w:lineRule="exact"/>
              <w:rPr>
                <w:sz w:val="20"/>
                <w:szCs w:val="20"/>
                <w:color w:val="auto"/>
              </w:rPr>
            </w:pPr>
            <w:r>
              <w:rPr>
                <w:rFonts w:ascii="Arial" w:cs="Arial" w:eastAsia="Arial" w:hAnsi="Arial"/>
                <w:sz w:val="18"/>
                <w:szCs w:val="18"/>
                <w:b w:val="1"/>
                <w:bCs w:val="1"/>
                <w:color w:val="auto"/>
              </w:rPr>
              <w:t>Book</w:t>
            </w:r>
          </w:p>
        </w:tc>
        <w:tc>
          <w:tcPr>
            <w:tcW w:w="1240" w:type="dxa"/>
            <w:vAlign w:val="bottom"/>
            <w:tcBorders>
              <w:top w:val="single" w:sz="8" w:color="auto"/>
              <w:right w:val="single" w:sz="8" w:color="auto"/>
            </w:tcBorders>
          </w:tcPr>
          <w:p>
            <w:pPr>
              <w:jc w:val="right"/>
              <w:ind w:right="229"/>
              <w:spacing w:after="0" w:line="198" w:lineRule="exact"/>
              <w:rPr>
                <w:sz w:val="20"/>
                <w:szCs w:val="20"/>
                <w:color w:val="auto"/>
              </w:rPr>
            </w:pPr>
            <w:r>
              <w:rPr>
                <w:rFonts w:ascii="Arial" w:cs="Arial" w:eastAsia="Arial" w:hAnsi="Arial"/>
                <w:sz w:val="18"/>
                <w:szCs w:val="18"/>
                <w:b w:val="1"/>
                <w:bCs w:val="1"/>
                <w:color w:val="auto"/>
              </w:rPr>
              <w:t>Newness</w:t>
            </w:r>
          </w:p>
        </w:tc>
        <w:tc>
          <w:tcPr>
            <w:tcW w:w="5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26"/>
        </w:trPr>
        <w:tc>
          <w:tcPr>
            <w:tcW w:w="1040" w:type="dxa"/>
            <w:vAlign w:val="bottom"/>
            <w:tcBorders>
              <w:left w:val="single" w:sz="8" w:color="auto"/>
              <w:right w:val="single" w:sz="8" w:color="auto"/>
            </w:tcBorders>
            <w:vMerge w:val="continue"/>
          </w:tcPr>
          <w:p>
            <w:pPr>
              <w:spacing w:after="0"/>
              <w:rPr>
                <w:sz w:val="10"/>
                <w:szCs w:val="10"/>
                <w:color w:val="auto"/>
              </w:rPr>
            </w:pPr>
          </w:p>
        </w:tc>
        <w:tc>
          <w:tcPr>
            <w:tcW w:w="5820" w:type="dxa"/>
            <w:vAlign w:val="bottom"/>
            <w:tcBorders>
              <w:right w:val="single" w:sz="8" w:color="auto"/>
            </w:tcBorders>
            <w:vMerge w:val="continue"/>
          </w:tcPr>
          <w:p>
            <w:pPr>
              <w:spacing w:after="0"/>
              <w:rPr>
                <w:sz w:val="10"/>
                <w:szCs w:val="10"/>
                <w:color w:val="auto"/>
              </w:rPr>
            </w:pPr>
          </w:p>
        </w:tc>
        <w:tc>
          <w:tcPr>
            <w:tcW w:w="1120" w:type="dxa"/>
            <w:vAlign w:val="bottom"/>
            <w:tcBorders>
              <w:right w:val="single" w:sz="8" w:color="auto"/>
            </w:tcBorders>
            <w:vMerge w:val="restart"/>
          </w:tcPr>
          <w:p>
            <w:pPr>
              <w:jc w:val="right"/>
              <w:ind w:right="270"/>
              <w:spacing w:after="0"/>
              <w:rPr>
                <w:sz w:val="20"/>
                <w:szCs w:val="20"/>
                <w:color w:val="auto"/>
              </w:rPr>
            </w:pPr>
            <w:r>
              <w:rPr>
                <w:rFonts w:ascii="Arial" w:cs="Arial" w:eastAsia="Arial" w:hAnsi="Arial"/>
                <w:sz w:val="18"/>
                <w:szCs w:val="18"/>
                <w:b w:val="1"/>
                <w:bCs w:val="1"/>
                <w:color w:val="auto"/>
              </w:rPr>
              <w:t>Value</w:t>
            </w:r>
          </w:p>
        </w:tc>
        <w:tc>
          <w:tcPr>
            <w:tcW w:w="1460" w:type="dxa"/>
            <w:vAlign w:val="bottom"/>
            <w:tcBorders>
              <w:right w:val="single" w:sz="8" w:color="auto"/>
            </w:tcBorders>
            <w:vMerge w:val="restart"/>
          </w:tcPr>
          <w:p>
            <w:pPr>
              <w:jc w:val="right"/>
              <w:ind w:right="450"/>
              <w:spacing w:after="0"/>
              <w:rPr>
                <w:sz w:val="20"/>
                <w:szCs w:val="20"/>
                <w:color w:val="auto"/>
              </w:rPr>
            </w:pPr>
            <w:r>
              <w:rPr>
                <w:rFonts w:ascii="Arial" w:cs="Arial" w:eastAsia="Arial" w:hAnsi="Arial"/>
                <w:sz w:val="18"/>
                <w:szCs w:val="18"/>
                <w:b w:val="1"/>
                <w:bCs w:val="1"/>
                <w:color w:val="auto"/>
              </w:rPr>
              <w:t>Value</w:t>
            </w:r>
          </w:p>
        </w:tc>
        <w:tc>
          <w:tcPr>
            <w:tcW w:w="1240" w:type="dxa"/>
            <w:vAlign w:val="bottom"/>
            <w:tcBorders>
              <w:right w:val="single" w:sz="8" w:color="auto"/>
            </w:tcBorders>
            <w:vMerge w:val="restart"/>
          </w:tcPr>
          <w:p>
            <w:pPr>
              <w:jc w:val="right"/>
              <w:ind w:right="369"/>
              <w:spacing w:after="0"/>
              <w:rPr>
                <w:sz w:val="20"/>
                <w:szCs w:val="20"/>
                <w:color w:val="auto"/>
              </w:rPr>
            </w:pPr>
            <w:r>
              <w:rPr>
                <w:rFonts w:ascii="Arial" w:cs="Arial" w:eastAsia="Arial" w:hAnsi="Arial"/>
                <w:sz w:val="18"/>
                <w:szCs w:val="18"/>
                <w:b w:val="1"/>
                <w:bCs w:val="1"/>
                <w:color w:val="auto"/>
              </w:rPr>
              <w:t>Rate</w:t>
            </w:r>
          </w:p>
        </w:tc>
        <w:tc>
          <w:tcPr>
            <w:tcW w:w="5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5"/>
        </w:trPr>
        <w:tc>
          <w:tcPr>
            <w:tcW w:w="1040" w:type="dxa"/>
            <w:vAlign w:val="bottom"/>
            <w:tcBorders>
              <w:left w:val="single" w:sz="8" w:color="auto"/>
              <w:bottom w:val="single" w:sz="8" w:color="auto"/>
              <w:right w:val="single" w:sz="8" w:color="auto"/>
            </w:tcBorders>
          </w:tcPr>
          <w:p>
            <w:pPr>
              <w:spacing w:after="0"/>
              <w:rPr>
                <w:sz w:val="10"/>
                <w:szCs w:val="10"/>
                <w:color w:val="auto"/>
              </w:rPr>
            </w:pPr>
          </w:p>
        </w:tc>
        <w:tc>
          <w:tcPr>
            <w:tcW w:w="5820" w:type="dxa"/>
            <w:vAlign w:val="bottom"/>
            <w:tcBorders>
              <w:bottom w:val="single" w:sz="8" w:color="auto"/>
              <w:right w:val="single" w:sz="8" w:color="auto"/>
            </w:tcBorders>
          </w:tcPr>
          <w:p>
            <w:pPr>
              <w:spacing w:after="0"/>
              <w:rPr>
                <w:sz w:val="10"/>
                <w:szCs w:val="10"/>
                <w:color w:val="auto"/>
              </w:rPr>
            </w:pPr>
          </w:p>
        </w:tc>
        <w:tc>
          <w:tcPr>
            <w:tcW w:w="1120" w:type="dxa"/>
            <w:vAlign w:val="bottom"/>
            <w:tcBorders>
              <w:bottom w:val="single" w:sz="8" w:color="auto"/>
              <w:right w:val="single" w:sz="8" w:color="auto"/>
            </w:tcBorders>
            <w:vMerge w:val="continue"/>
          </w:tcPr>
          <w:p>
            <w:pPr>
              <w:spacing w:after="0"/>
              <w:rPr>
                <w:sz w:val="10"/>
                <w:szCs w:val="10"/>
                <w:color w:val="auto"/>
              </w:rPr>
            </w:pPr>
          </w:p>
        </w:tc>
        <w:tc>
          <w:tcPr>
            <w:tcW w:w="1460" w:type="dxa"/>
            <w:vAlign w:val="bottom"/>
            <w:tcBorders>
              <w:bottom w:val="single" w:sz="8" w:color="auto"/>
              <w:right w:val="single" w:sz="8" w:color="auto"/>
            </w:tcBorders>
            <w:vMerge w:val="continue"/>
          </w:tcPr>
          <w:p>
            <w:pPr>
              <w:spacing w:after="0"/>
              <w:rPr>
                <w:sz w:val="10"/>
                <w:szCs w:val="10"/>
                <w:color w:val="auto"/>
              </w:rPr>
            </w:pPr>
          </w:p>
        </w:tc>
        <w:tc>
          <w:tcPr>
            <w:tcW w:w="1240" w:type="dxa"/>
            <w:vAlign w:val="bottom"/>
            <w:tcBorders>
              <w:bottom w:val="single" w:sz="8" w:color="auto"/>
              <w:right w:val="single" w:sz="8" w:color="auto"/>
            </w:tcBorders>
            <w:vMerge w:val="continue"/>
          </w:tcPr>
          <w:p>
            <w:pPr>
              <w:spacing w:after="0"/>
              <w:rPr>
                <w:sz w:val="10"/>
                <w:szCs w:val="10"/>
                <w:color w:val="auto"/>
              </w:rPr>
            </w:pPr>
          </w:p>
        </w:tc>
        <w:tc>
          <w:tcPr>
            <w:tcW w:w="5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23"/>
        </w:trPr>
        <w:tc>
          <w:tcPr>
            <w:tcW w:w="104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79"/>
              </w:rPr>
              <w:t>1</w:t>
            </w:r>
          </w:p>
        </w:tc>
        <w:tc>
          <w:tcPr>
            <w:tcW w:w="58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9"/>
              </w:rPr>
              <w:t>Double-beam system electron microscope</w:t>
            </w:r>
          </w:p>
        </w:tc>
        <w:tc>
          <w:tcPr>
            <w:tcW w:w="112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726.13</w:t>
            </w:r>
          </w:p>
        </w:tc>
        <w:tc>
          <w:tcPr>
            <w:tcW w:w="146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359.00</w:t>
            </w:r>
          </w:p>
        </w:tc>
        <w:tc>
          <w:tcPr>
            <w:tcW w:w="124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49.44%</w:t>
            </w:r>
          </w:p>
        </w:tc>
        <w:tc>
          <w:tcPr>
            <w:tcW w:w="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04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79"/>
              </w:rPr>
              <w:t>2</w:t>
            </w:r>
          </w:p>
        </w:tc>
        <w:tc>
          <w:tcPr>
            <w:tcW w:w="58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9"/>
              </w:rPr>
              <w:t>Wafer surface particle scanning device</w:t>
            </w:r>
          </w:p>
        </w:tc>
        <w:tc>
          <w:tcPr>
            <w:tcW w:w="112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300.53</w:t>
            </w:r>
          </w:p>
        </w:tc>
        <w:tc>
          <w:tcPr>
            <w:tcW w:w="146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143.83</w:t>
            </w:r>
          </w:p>
        </w:tc>
        <w:tc>
          <w:tcPr>
            <w:tcW w:w="124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47.86%</w:t>
            </w:r>
          </w:p>
        </w:tc>
        <w:tc>
          <w:tcPr>
            <w:tcW w:w="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04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79"/>
              </w:rPr>
              <w:t>3</w:t>
            </w:r>
          </w:p>
        </w:tc>
        <w:tc>
          <w:tcPr>
            <w:tcW w:w="58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2"/>
              </w:rPr>
              <w:t>Bench prototype Module 300mm Wet station (SPM+HQDR Module)</w:t>
            </w:r>
          </w:p>
        </w:tc>
        <w:tc>
          <w:tcPr>
            <w:tcW w:w="112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246.26</w:t>
            </w:r>
          </w:p>
        </w:tc>
        <w:tc>
          <w:tcPr>
            <w:tcW w:w="146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205.41</w:t>
            </w:r>
          </w:p>
        </w:tc>
        <w:tc>
          <w:tcPr>
            <w:tcW w:w="124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83.41%</w:t>
            </w:r>
          </w:p>
        </w:tc>
        <w:tc>
          <w:tcPr>
            <w:tcW w:w="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04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79"/>
              </w:rPr>
              <w:t>4</w:t>
            </w:r>
          </w:p>
        </w:tc>
        <w:tc>
          <w:tcPr>
            <w:tcW w:w="58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1"/>
              </w:rPr>
              <w:t>Semiconductor etching equipment</w:t>
            </w:r>
          </w:p>
        </w:tc>
        <w:tc>
          <w:tcPr>
            <w:tcW w:w="112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145.55</w:t>
            </w:r>
          </w:p>
        </w:tc>
        <w:tc>
          <w:tcPr>
            <w:tcW w:w="146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7.28</w:t>
            </w:r>
          </w:p>
        </w:tc>
        <w:tc>
          <w:tcPr>
            <w:tcW w:w="124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5%</w:t>
            </w:r>
          </w:p>
        </w:tc>
        <w:tc>
          <w:tcPr>
            <w:tcW w:w="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04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79"/>
              </w:rPr>
              <w:t>5</w:t>
            </w:r>
          </w:p>
        </w:tc>
        <w:tc>
          <w:tcPr>
            <w:tcW w:w="58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0"/>
              </w:rPr>
              <w:t>Silicon wafer stress and thickness measuring instrument FSM</w:t>
            </w:r>
          </w:p>
        </w:tc>
        <w:tc>
          <w:tcPr>
            <w:tcW w:w="112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125.07</w:t>
            </w:r>
          </w:p>
        </w:tc>
        <w:tc>
          <w:tcPr>
            <w:tcW w:w="146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66.78</w:t>
            </w:r>
          </w:p>
        </w:tc>
        <w:tc>
          <w:tcPr>
            <w:tcW w:w="124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53.39%</w:t>
            </w:r>
          </w:p>
        </w:tc>
        <w:tc>
          <w:tcPr>
            <w:tcW w:w="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04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79"/>
              </w:rPr>
              <w:t>6</w:t>
            </w:r>
          </w:p>
        </w:tc>
        <w:tc>
          <w:tcPr>
            <w:tcW w:w="58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3"/>
              </w:rPr>
              <w:t>Chemical mixer</w:t>
            </w:r>
          </w:p>
        </w:tc>
        <w:tc>
          <w:tcPr>
            <w:tcW w:w="112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82.16</w:t>
            </w:r>
          </w:p>
        </w:tc>
        <w:tc>
          <w:tcPr>
            <w:tcW w:w="146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4.11</w:t>
            </w:r>
          </w:p>
        </w:tc>
        <w:tc>
          <w:tcPr>
            <w:tcW w:w="124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5%</w:t>
            </w:r>
          </w:p>
        </w:tc>
        <w:tc>
          <w:tcPr>
            <w:tcW w:w="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04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79"/>
              </w:rPr>
              <w:t>7</w:t>
            </w:r>
          </w:p>
        </w:tc>
        <w:tc>
          <w:tcPr>
            <w:tcW w:w="58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6"/>
              </w:rPr>
              <w:t>Hitachi Ion Milling Equipment</w:t>
            </w:r>
          </w:p>
        </w:tc>
        <w:tc>
          <w:tcPr>
            <w:tcW w:w="112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72.90</w:t>
            </w:r>
          </w:p>
        </w:tc>
        <w:tc>
          <w:tcPr>
            <w:tcW w:w="146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53.32</w:t>
            </w:r>
          </w:p>
        </w:tc>
        <w:tc>
          <w:tcPr>
            <w:tcW w:w="124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73.14%</w:t>
            </w:r>
          </w:p>
        </w:tc>
        <w:tc>
          <w:tcPr>
            <w:tcW w:w="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04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79"/>
              </w:rPr>
              <w:t>8</w:t>
            </w:r>
          </w:p>
        </w:tc>
        <w:tc>
          <w:tcPr>
            <w:tcW w:w="58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9"/>
              </w:rPr>
              <w:t>POGD-0220 shape measuring instrument</w:t>
            </w:r>
          </w:p>
        </w:tc>
        <w:tc>
          <w:tcPr>
            <w:tcW w:w="112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67.19</w:t>
            </w:r>
          </w:p>
        </w:tc>
        <w:tc>
          <w:tcPr>
            <w:tcW w:w="146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58.70</w:t>
            </w:r>
          </w:p>
        </w:tc>
        <w:tc>
          <w:tcPr>
            <w:tcW w:w="124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87.36%</w:t>
            </w:r>
          </w:p>
        </w:tc>
        <w:tc>
          <w:tcPr>
            <w:tcW w:w="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04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79"/>
              </w:rPr>
              <w:t>9</w:t>
            </w:r>
          </w:p>
        </w:tc>
        <w:tc>
          <w:tcPr>
            <w:tcW w:w="58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9"/>
              </w:rPr>
              <w:t>2 sets of scanning electron microscope</w:t>
            </w:r>
          </w:p>
        </w:tc>
        <w:tc>
          <w:tcPr>
            <w:tcW w:w="112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65.75</w:t>
            </w:r>
          </w:p>
        </w:tc>
        <w:tc>
          <w:tcPr>
            <w:tcW w:w="146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3.29</w:t>
            </w:r>
          </w:p>
        </w:tc>
        <w:tc>
          <w:tcPr>
            <w:tcW w:w="124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5%</w:t>
            </w:r>
          </w:p>
        </w:tc>
        <w:tc>
          <w:tcPr>
            <w:tcW w:w="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04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9"/>
              </w:rPr>
              <w:t>10</w:t>
            </w:r>
          </w:p>
        </w:tc>
        <w:tc>
          <w:tcPr>
            <w:tcW w:w="58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2"/>
              </w:rPr>
              <w:t>ECI Qualilab QL-10EZ copper plating solution analyzer</w:t>
            </w:r>
          </w:p>
        </w:tc>
        <w:tc>
          <w:tcPr>
            <w:tcW w:w="112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58.94</w:t>
            </w:r>
          </w:p>
        </w:tc>
        <w:tc>
          <w:tcPr>
            <w:tcW w:w="146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37.52</w:t>
            </w:r>
          </w:p>
        </w:tc>
        <w:tc>
          <w:tcPr>
            <w:tcW w:w="124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63.66%</w:t>
            </w:r>
          </w:p>
        </w:tc>
        <w:tc>
          <w:tcPr>
            <w:tcW w:w="56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2. Issuer’s facility ownership status</w:t>
      </w:r>
    </w:p>
    <w:p>
      <w:pPr>
        <w:spacing w:after="0" w:line="256"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As of the signing date of this Prospectus, the Company has no facility ownership.</w:t>
      </w:r>
    </w:p>
    <w:p>
      <w:pPr>
        <w:spacing w:after="0" w:line="248" w:lineRule="exact"/>
        <w:rPr>
          <w:sz w:val="20"/>
          <w:szCs w:val="20"/>
          <w:color w:val="auto"/>
        </w:rPr>
      </w:pPr>
    </w:p>
    <w:p>
      <w:pPr>
        <w:ind w:firstLine="332"/>
        <w:spacing w:after="0" w:line="282" w:lineRule="auto"/>
        <w:tabs>
          <w:tab w:leader="none" w:pos="572" w:val="left"/>
        </w:tabs>
        <w:numPr>
          <w:ilvl w:val="0"/>
          <w:numId w:val="45"/>
        </w:numPr>
        <w:rPr>
          <w:rFonts w:ascii="Arial" w:cs="Arial" w:eastAsia="Arial" w:hAnsi="Arial"/>
          <w:sz w:val="18"/>
          <w:szCs w:val="18"/>
          <w:b w:val="1"/>
          <w:bCs w:val="1"/>
          <w:color w:val="auto"/>
        </w:rPr>
      </w:pPr>
      <w:r>
        <w:rPr>
          <w:rFonts w:ascii="Arial" w:cs="Arial" w:eastAsia="Arial" w:hAnsi="Arial"/>
          <w:sz w:val="18"/>
          <w:szCs w:val="18"/>
          <w:b w:val="1"/>
          <w:bCs w:val="1"/>
          <w:color w:val="auto"/>
        </w:rPr>
        <w:t>The production mode of the Issuer conforms to the practice of the semiconductor special equipment industry, with less demand for machinery equipment.</w:t>
      </w:r>
    </w:p>
    <w:p>
      <w:pPr>
        <w:spacing w:after="0" w:line="36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8-4-1-46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50" w:name="page51"/>
    <w:bookmarkEnd w:id="50"/>
    <w:p>
      <w:pPr>
        <w:ind w:left="340"/>
        <w:spacing w:after="0"/>
        <w:rPr>
          <w:sz w:val="20"/>
          <w:szCs w:val="20"/>
          <w:color w:val="auto"/>
        </w:rPr>
      </w:pPr>
      <w:r>
        <w:rPr>
          <w:rFonts w:ascii="Arial" w:cs="Arial" w:eastAsia="Arial" w:hAnsi="Arial"/>
          <w:sz w:val="22"/>
          <w:szCs w:val="22"/>
          <w:b w:val="1"/>
          <w:bCs w:val="1"/>
          <w:color w:val="auto"/>
        </w:rPr>
        <w:t>1. Production Mode</w:t>
      </w:r>
    </w:p>
    <w:p>
      <w:pPr>
        <w:spacing w:after="0" w:line="247" w:lineRule="exact"/>
        <w:rPr>
          <w:sz w:val="20"/>
          <w:szCs w:val="20"/>
          <w:color w:val="auto"/>
        </w:rPr>
      </w:pPr>
    </w:p>
    <w:p>
      <w:pPr>
        <w:jc w:val="both"/>
        <w:ind w:firstLine="324"/>
        <w:spacing w:after="0" w:line="271" w:lineRule="auto"/>
        <w:rPr>
          <w:sz w:val="20"/>
          <w:szCs w:val="20"/>
          <w:color w:val="auto"/>
        </w:rPr>
      </w:pPr>
      <w:r>
        <w:rPr>
          <w:rFonts w:ascii="Arial" w:cs="Arial" w:eastAsia="Arial" w:hAnsi="Arial"/>
          <w:sz w:val="17"/>
          <w:szCs w:val="17"/>
          <w:color w:val="auto"/>
        </w:rPr>
        <w:t>As a company specializing in semiconductor equipment that faces the forefront of international technology and adheres to independent innovation, the Company follows global industry practices. It is mainly focused on technology and process research and development, product design and manufacturing, and provides customers with equipment and process solutions. The Company hardly engages in the processing of parts and components. According to the product design, the Company has organized outsourcing of and external assistance in parts, and has established a complete supply chain system in the United States, South Korea and Mainland China, and developed a close cooperative relationship with core suppliers to guarantee the supply of important parts. With the help of the technological advantages formed through long-term research and development accumulation, the Company maintains a higher product gross profit, and thus maintains a higher proportion for research and development investment and market development and has achieved a higher profit margin during the Reporting Period.</w:t>
      </w:r>
    </w:p>
    <w:p>
      <w:pPr>
        <w:spacing w:after="0" w:line="205" w:lineRule="exact"/>
        <w:rPr>
          <w:sz w:val="20"/>
          <w:szCs w:val="20"/>
          <w:color w:val="auto"/>
        </w:rPr>
      </w:pPr>
    </w:p>
    <w:p>
      <w:pPr>
        <w:jc w:val="both"/>
        <w:ind w:firstLine="324"/>
        <w:spacing w:after="0" w:line="308" w:lineRule="auto"/>
        <w:rPr>
          <w:sz w:val="20"/>
          <w:szCs w:val="20"/>
          <w:color w:val="auto"/>
        </w:rPr>
      </w:pPr>
      <w:r>
        <w:rPr>
          <w:rFonts w:ascii="Arial" w:cs="Arial" w:eastAsia="Arial" w:hAnsi="Arial"/>
          <w:sz w:val="17"/>
          <w:szCs w:val="17"/>
          <w:color w:val="auto"/>
        </w:rPr>
        <w:t>The vast majority of the parts for the Company’s products are obtained through outsourcing and external assistance, the assembly and testing cycle in the factory being comparatively short, and the production process occupying less fixed assets, which is in line with the industry practice.</w:t>
      </w:r>
    </w:p>
    <w:p>
      <w:pPr>
        <w:spacing w:after="0" w:line="160" w:lineRule="exact"/>
        <w:rPr>
          <w:sz w:val="20"/>
          <w:szCs w:val="20"/>
          <w:color w:val="auto"/>
        </w:rPr>
      </w:pPr>
    </w:p>
    <w:p>
      <w:pPr>
        <w:ind w:left="340"/>
        <w:spacing w:after="0"/>
        <w:rPr>
          <w:sz w:val="20"/>
          <w:szCs w:val="20"/>
          <w:color w:val="auto"/>
        </w:rPr>
      </w:pPr>
      <w:r>
        <w:rPr>
          <w:rFonts w:ascii="Arial" w:cs="Arial" w:eastAsia="Arial" w:hAnsi="Arial"/>
          <w:sz w:val="22"/>
          <w:szCs w:val="22"/>
          <w:b w:val="1"/>
          <w:bCs w:val="1"/>
          <w:color w:val="auto"/>
        </w:rPr>
        <w:t>2. Fixed Assets</w:t>
      </w:r>
    </w:p>
    <w:p>
      <w:pPr>
        <w:spacing w:after="0" w:line="239" w:lineRule="exact"/>
        <w:rPr>
          <w:sz w:val="20"/>
          <w:szCs w:val="20"/>
          <w:color w:val="auto"/>
        </w:rPr>
      </w:pPr>
    </w:p>
    <w:p>
      <w:pPr>
        <w:ind w:left="340"/>
        <w:spacing w:after="0"/>
        <w:rPr>
          <w:sz w:val="20"/>
          <w:szCs w:val="20"/>
          <w:color w:val="auto"/>
        </w:rPr>
      </w:pPr>
      <w:r>
        <w:rPr>
          <w:rFonts w:ascii="Arial" w:cs="Arial" w:eastAsia="Arial" w:hAnsi="Arial"/>
          <w:sz w:val="22"/>
          <w:szCs w:val="22"/>
          <w:color w:val="auto"/>
        </w:rPr>
        <w:t>As of June 30, 2020, the Company’s fixed assets were as shown below:</w:t>
      </w:r>
    </w:p>
    <w:p>
      <w:pPr>
        <w:spacing w:after="0" w:line="233" w:lineRule="exact"/>
        <w:rPr>
          <w:sz w:val="20"/>
          <w:szCs w:val="20"/>
          <w:color w:val="auto"/>
        </w:rPr>
      </w:pPr>
    </w:p>
    <w:tbl>
      <w:tblPr>
        <w:tblLayout w:type="fixed"/>
        <w:tblInd w:w="10" w:type="dxa"/>
        <w:tblCellMar>
          <w:top w:w="0" w:type="dxa"/>
          <w:left w:w="0" w:type="dxa"/>
          <w:bottom w:w="0" w:type="dxa"/>
          <w:right w:w="0" w:type="dxa"/>
        </w:tblCellMar>
      </w:tblPr>
      <w:tr>
        <w:trPr>
          <w:trHeight w:val="274"/>
        </w:trPr>
        <w:tc>
          <w:tcPr>
            <w:tcW w:w="3900" w:type="dxa"/>
            <w:vAlign w:val="bottom"/>
          </w:tcPr>
          <w:p>
            <w:pPr>
              <w:spacing w:after="0"/>
              <w:rPr>
                <w:sz w:val="23"/>
                <w:szCs w:val="23"/>
                <w:color w:val="auto"/>
              </w:rPr>
            </w:pPr>
          </w:p>
        </w:tc>
        <w:tc>
          <w:tcPr>
            <w:tcW w:w="2580" w:type="dxa"/>
            <w:vAlign w:val="bottom"/>
          </w:tcPr>
          <w:p>
            <w:pPr>
              <w:spacing w:after="0"/>
              <w:rPr>
                <w:sz w:val="23"/>
                <w:szCs w:val="23"/>
                <w:color w:val="auto"/>
              </w:rPr>
            </w:pPr>
          </w:p>
        </w:tc>
        <w:tc>
          <w:tcPr>
            <w:tcW w:w="2580" w:type="dxa"/>
            <w:vAlign w:val="bottom"/>
          </w:tcPr>
          <w:p>
            <w:pPr>
              <w:spacing w:after="0"/>
              <w:rPr>
                <w:sz w:val="23"/>
                <w:szCs w:val="23"/>
                <w:color w:val="auto"/>
              </w:rPr>
            </w:pPr>
          </w:p>
        </w:tc>
        <w:tc>
          <w:tcPr>
            <w:tcW w:w="2180" w:type="dxa"/>
            <w:vAlign w:val="bottom"/>
          </w:tcPr>
          <w:p>
            <w:pPr>
              <w:jc w:val="right"/>
              <w:spacing w:after="0"/>
              <w:rPr>
                <w:sz w:val="20"/>
                <w:szCs w:val="20"/>
                <w:color w:val="auto"/>
              </w:rPr>
            </w:pPr>
            <w:r>
              <w:rPr>
                <w:rFonts w:ascii="Arial" w:cs="Arial" w:eastAsia="Arial" w:hAnsi="Arial"/>
                <w:sz w:val="22"/>
                <w:szCs w:val="22"/>
                <w:color w:val="auto"/>
              </w:rPr>
              <w:t>Unit: RMB10,000</w:t>
            </w:r>
          </w:p>
        </w:tc>
      </w:tr>
      <w:tr>
        <w:trPr>
          <w:trHeight w:val="240"/>
        </w:trPr>
        <w:tc>
          <w:tcPr>
            <w:tcW w:w="3900" w:type="dxa"/>
            <w:vAlign w:val="bottom"/>
            <w:tcBorders>
              <w:bottom w:val="single" w:sz="8" w:color="auto"/>
            </w:tcBorders>
          </w:tcPr>
          <w:p>
            <w:pPr>
              <w:spacing w:after="0"/>
              <w:rPr>
                <w:sz w:val="20"/>
                <w:szCs w:val="20"/>
                <w:color w:val="auto"/>
              </w:rPr>
            </w:pPr>
          </w:p>
        </w:tc>
        <w:tc>
          <w:tcPr>
            <w:tcW w:w="2580" w:type="dxa"/>
            <w:vAlign w:val="bottom"/>
            <w:tcBorders>
              <w:bottom w:val="single" w:sz="8" w:color="auto"/>
            </w:tcBorders>
          </w:tcPr>
          <w:p>
            <w:pPr>
              <w:spacing w:after="0"/>
              <w:rPr>
                <w:sz w:val="20"/>
                <w:szCs w:val="20"/>
                <w:color w:val="auto"/>
              </w:rPr>
            </w:pPr>
          </w:p>
        </w:tc>
        <w:tc>
          <w:tcPr>
            <w:tcW w:w="2580" w:type="dxa"/>
            <w:vAlign w:val="bottom"/>
            <w:tcBorders>
              <w:bottom w:val="single" w:sz="8" w:color="auto"/>
            </w:tcBorders>
          </w:tcPr>
          <w:p>
            <w:pPr>
              <w:spacing w:after="0"/>
              <w:rPr>
                <w:sz w:val="20"/>
                <w:szCs w:val="20"/>
                <w:color w:val="auto"/>
              </w:rPr>
            </w:pPr>
          </w:p>
        </w:tc>
        <w:tc>
          <w:tcPr>
            <w:tcW w:w="2180" w:type="dxa"/>
            <w:vAlign w:val="bottom"/>
            <w:tcBorders>
              <w:bottom w:val="single" w:sz="8" w:color="auto"/>
            </w:tcBorders>
          </w:tcPr>
          <w:p>
            <w:pPr>
              <w:spacing w:after="0"/>
              <w:rPr>
                <w:sz w:val="20"/>
                <w:szCs w:val="20"/>
                <w:color w:val="auto"/>
              </w:rPr>
            </w:pPr>
          </w:p>
        </w:tc>
      </w:tr>
      <w:tr>
        <w:trPr>
          <w:trHeight w:val="223"/>
        </w:trPr>
        <w:tc>
          <w:tcPr>
            <w:tcW w:w="390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88"/>
              </w:rPr>
              <w:t>Classification</w:t>
            </w:r>
          </w:p>
        </w:tc>
        <w:tc>
          <w:tcPr>
            <w:tcW w:w="2580" w:type="dxa"/>
            <w:vAlign w:val="bottom"/>
            <w:tcBorders>
              <w:bottom w:val="single" w:sz="8" w:color="auto"/>
              <w:right w:val="single" w:sz="8" w:color="auto"/>
            </w:tcBorders>
          </w:tcPr>
          <w:p>
            <w:pPr>
              <w:jc w:val="right"/>
              <w:ind w:right="650"/>
              <w:spacing w:after="0"/>
              <w:rPr>
                <w:sz w:val="20"/>
                <w:szCs w:val="20"/>
                <w:color w:val="auto"/>
              </w:rPr>
            </w:pPr>
            <w:r>
              <w:rPr>
                <w:rFonts w:ascii="Arial" w:cs="Arial" w:eastAsia="Arial" w:hAnsi="Arial"/>
                <w:sz w:val="18"/>
                <w:szCs w:val="18"/>
                <w:b w:val="1"/>
                <w:bCs w:val="1"/>
                <w:color w:val="auto"/>
              </w:rPr>
              <w:t>Original Value</w:t>
            </w:r>
          </w:p>
        </w:tc>
        <w:tc>
          <w:tcPr>
            <w:tcW w:w="2580" w:type="dxa"/>
            <w:vAlign w:val="bottom"/>
            <w:tcBorders>
              <w:bottom w:val="single" w:sz="8" w:color="auto"/>
              <w:right w:val="single" w:sz="8" w:color="auto"/>
            </w:tcBorders>
          </w:tcPr>
          <w:p>
            <w:pPr>
              <w:jc w:val="right"/>
              <w:ind w:right="770"/>
              <w:spacing w:after="0"/>
              <w:rPr>
                <w:sz w:val="20"/>
                <w:szCs w:val="20"/>
                <w:color w:val="auto"/>
              </w:rPr>
            </w:pPr>
            <w:r>
              <w:rPr>
                <w:rFonts w:ascii="Arial" w:cs="Arial" w:eastAsia="Arial" w:hAnsi="Arial"/>
                <w:sz w:val="18"/>
                <w:szCs w:val="18"/>
                <w:b w:val="1"/>
                <w:bCs w:val="1"/>
                <w:color w:val="auto"/>
              </w:rPr>
              <w:t>Book Value</w:t>
            </w:r>
          </w:p>
        </w:tc>
        <w:tc>
          <w:tcPr>
            <w:tcW w:w="2180" w:type="dxa"/>
            <w:vAlign w:val="bottom"/>
            <w:tcBorders>
              <w:bottom w:val="single" w:sz="8" w:color="auto"/>
              <w:right w:val="single" w:sz="8" w:color="auto"/>
            </w:tcBorders>
          </w:tcPr>
          <w:p>
            <w:pPr>
              <w:jc w:val="right"/>
              <w:ind w:right="467"/>
              <w:spacing w:after="0"/>
              <w:rPr>
                <w:sz w:val="20"/>
                <w:szCs w:val="20"/>
                <w:color w:val="auto"/>
              </w:rPr>
            </w:pPr>
            <w:r>
              <w:rPr>
                <w:rFonts w:ascii="Arial" w:cs="Arial" w:eastAsia="Arial" w:hAnsi="Arial"/>
                <w:sz w:val="18"/>
                <w:szCs w:val="18"/>
                <w:b w:val="1"/>
                <w:bCs w:val="1"/>
                <w:color w:val="auto"/>
              </w:rPr>
              <w:t>Newness Rate</w:t>
            </w:r>
          </w:p>
        </w:tc>
      </w:tr>
      <w:tr>
        <w:trPr>
          <w:trHeight w:val="223"/>
        </w:trPr>
        <w:tc>
          <w:tcPr>
            <w:tcW w:w="390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2"/>
              </w:rPr>
              <w:t>Machinery equipment</w:t>
            </w:r>
          </w:p>
        </w:tc>
        <w:tc>
          <w:tcPr>
            <w:tcW w:w="258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2,819.09</w:t>
            </w:r>
          </w:p>
        </w:tc>
        <w:tc>
          <w:tcPr>
            <w:tcW w:w="258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1,124.06</w:t>
            </w:r>
          </w:p>
        </w:tc>
        <w:tc>
          <w:tcPr>
            <w:tcW w:w="218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39.87%</w:t>
            </w:r>
          </w:p>
        </w:tc>
      </w:tr>
      <w:tr>
        <w:trPr>
          <w:trHeight w:val="223"/>
        </w:trPr>
        <w:tc>
          <w:tcPr>
            <w:tcW w:w="390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9"/>
              </w:rPr>
              <w:t>Transportation</w:t>
            </w:r>
          </w:p>
        </w:tc>
        <w:tc>
          <w:tcPr>
            <w:tcW w:w="258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120.68</w:t>
            </w:r>
          </w:p>
        </w:tc>
        <w:tc>
          <w:tcPr>
            <w:tcW w:w="258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58.88</w:t>
            </w:r>
          </w:p>
        </w:tc>
        <w:tc>
          <w:tcPr>
            <w:tcW w:w="218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48.79%</w:t>
            </w:r>
          </w:p>
        </w:tc>
      </w:tr>
      <w:tr>
        <w:trPr>
          <w:trHeight w:val="223"/>
        </w:trPr>
        <w:tc>
          <w:tcPr>
            <w:tcW w:w="390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1"/>
              </w:rPr>
              <w:t>Computer and electronic equipment</w:t>
            </w:r>
          </w:p>
        </w:tc>
        <w:tc>
          <w:tcPr>
            <w:tcW w:w="258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389.41</w:t>
            </w:r>
          </w:p>
        </w:tc>
        <w:tc>
          <w:tcPr>
            <w:tcW w:w="258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211.66</w:t>
            </w:r>
          </w:p>
        </w:tc>
        <w:tc>
          <w:tcPr>
            <w:tcW w:w="218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54.35%</w:t>
            </w:r>
          </w:p>
        </w:tc>
      </w:tr>
      <w:tr>
        <w:trPr>
          <w:trHeight w:val="223"/>
        </w:trPr>
        <w:tc>
          <w:tcPr>
            <w:tcW w:w="390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2"/>
              </w:rPr>
              <w:t>Office equipment</w:t>
            </w:r>
          </w:p>
        </w:tc>
        <w:tc>
          <w:tcPr>
            <w:tcW w:w="258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84.82</w:t>
            </w:r>
          </w:p>
        </w:tc>
        <w:tc>
          <w:tcPr>
            <w:tcW w:w="258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29.13</w:t>
            </w:r>
          </w:p>
        </w:tc>
        <w:tc>
          <w:tcPr>
            <w:tcW w:w="218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34.34%</w:t>
            </w:r>
          </w:p>
        </w:tc>
      </w:tr>
      <w:tr>
        <w:trPr>
          <w:trHeight w:val="223"/>
        </w:trPr>
        <w:tc>
          <w:tcPr>
            <w:tcW w:w="390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92"/>
              </w:rPr>
              <w:t>Total</w:t>
            </w:r>
          </w:p>
        </w:tc>
        <w:tc>
          <w:tcPr>
            <w:tcW w:w="258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3,414.00</w:t>
            </w:r>
          </w:p>
        </w:tc>
        <w:tc>
          <w:tcPr>
            <w:tcW w:w="258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1,423.73</w:t>
            </w:r>
          </w:p>
        </w:tc>
        <w:tc>
          <w:tcPr>
            <w:tcW w:w="218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41.70%</w:t>
            </w:r>
          </w:p>
        </w:tc>
      </w:tr>
    </w:tbl>
    <w:p>
      <w:pPr>
        <w:spacing w:after="0" w:line="229"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The parts required by the Company in production are mainly obtained through outsourcing and external assistance for the Company to carry out pre-assembly, general assembly and testing, involving relatively small number and amount of production equipment; meanwhile, the Company’s office buildings, plants and land are leased, with the Company having relatively few fixed assets.</w:t>
      </w:r>
    </w:p>
    <w:p>
      <w:pPr>
        <w:spacing w:after="0" w:line="203" w:lineRule="exact"/>
        <w:rPr>
          <w:sz w:val="20"/>
          <w:szCs w:val="20"/>
          <w:color w:val="auto"/>
        </w:rPr>
      </w:pPr>
    </w:p>
    <w:p>
      <w:pPr>
        <w:jc w:val="both"/>
        <w:ind w:firstLine="324"/>
        <w:spacing w:after="0" w:line="238" w:lineRule="auto"/>
        <w:rPr>
          <w:sz w:val="20"/>
          <w:szCs w:val="20"/>
          <w:color w:val="auto"/>
        </w:rPr>
      </w:pPr>
      <w:r>
        <w:rPr>
          <w:rFonts w:ascii="Arial" w:cs="Arial" w:eastAsia="Arial" w:hAnsi="Arial"/>
          <w:sz w:val="22"/>
          <w:szCs w:val="22"/>
          <w:color w:val="auto"/>
        </w:rPr>
        <w:t>The equipment details in the 8-K document quoted in the Short-sell Report are the English translations of the equipment details disclosed in the Prospectus among the Company’s application documents concerning the STAR Market announced by ACMR. In the Short-sell Report, the amount is converted into millions of US dollars at a certain exchange rate, resulting in a difference from the amount disclosed in the Prospectus of the Issuer.</w:t>
      </w:r>
    </w:p>
    <w:p>
      <w:pPr>
        <w:spacing w:after="0" w:line="39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8-4-1-47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2" w:right="339" w:bottom="1440" w:gutter="0" w:footer="0" w:header="0"/>
        </w:sectPr>
      </w:pPr>
    </w:p>
    <w:bookmarkStart w:id="51" w:name="page52"/>
    <w:bookmarkEnd w:id="51"/>
    <w:p>
      <w:pPr>
        <w:ind w:left="340"/>
        <w:spacing w:after="0"/>
        <w:rPr>
          <w:sz w:val="20"/>
          <w:szCs w:val="20"/>
          <w:color w:val="auto"/>
        </w:rPr>
      </w:pPr>
      <w:r>
        <w:rPr>
          <w:rFonts w:ascii="Arial" w:cs="Arial" w:eastAsia="Arial" w:hAnsi="Arial"/>
          <w:sz w:val="22"/>
          <w:szCs w:val="22"/>
          <w:b w:val="1"/>
          <w:bCs w:val="1"/>
          <w:color w:val="auto"/>
        </w:rPr>
        <w:t>3. Comparison of Machinery Equipment between the Issuer and Listed Companies in the Same Industry</w:t>
      </w:r>
    </w:p>
    <w:p>
      <w:pPr>
        <w:spacing w:after="0" w:line="240" w:lineRule="exact"/>
        <w:rPr>
          <w:sz w:val="20"/>
          <w:szCs w:val="20"/>
          <w:color w:val="auto"/>
        </w:rPr>
      </w:pPr>
    </w:p>
    <w:p>
      <w:pPr>
        <w:jc w:val="both"/>
        <w:ind w:firstLine="324"/>
        <w:spacing w:after="0" w:line="250" w:lineRule="auto"/>
        <w:rPr>
          <w:sz w:val="20"/>
          <w:szCs w:val="20"/>
          <w:color w:val="auto"/>
        </w:rPr>
      </w:pPr>
      <w:r>
        <w:rPr>
          <w:rFonts w:ascii="Arial" w:cs="Arial" w:eastAsia="Arial" w:hAnsi="Arial"/>
          <w:sz w:val="22"/>
          <w:szCs w:val="22"/>
          <w:color w:val="auto"/>
        </w:rPr>
        <w:t>The Company’s production mode is in line with the practice of the semiconductor special equipment industry. The comparison with the machinery equipment of listed companies in the same industry is as follows:</w:t>
      </w:r>
    </w:p>
    <w:p>
      <w:pPr>
        <w:spacing w:after="0" w:line="202" w:lineRule="exact"/>
        <w:rPr>
          <w:sz w:val="20"/>
          <w:szCs w:val="20"/>
          <w:color w:val="auto"/>
        </w:rPr>
      </w:pPr>
    </w:p>
    <w:tbl>
      <w:tblPr>
        <w:tblLayout w:type="fixed"/>
        <w:tblInd w:w="10" w:type="dxa"/>
        <w:tblCellMar>
          <w:top w:w="0" w:type="dxa"/>
          <w:left w:w="0" w:type="dxa"/>
          <w:bottom w:w="0" w:type="dxa"/>
          <w:right w:w="0" w:type="dxa"/>
        </w:tblCellMar>
      </w:tblPr>
      <w:tr>
        <w:trPr>
          <w:trHeight w:val="274"/>
        </w:trPr>
        <w:tc>
          <w:tcPr>
            <w:tcW w:w="1760" w:type="dxa"/>
            <w:vAlign w:val="bottom"/>
          </w:tcPr>
          <w:p>
            <w:pPr>
              <w:spacing w:after="0"/>
              <w:rPr>
                <w:sz w:val="23"/>
                <w:szCs w:val="23"/>
                <w:color w:val="auto"/>
              </w:rPr>
            </w:pPr>
          </w:p>
        </w:tc>
        <w:tc>
          <w:tcPr>
            <w:tcW w:w="2580" w:type="dxa"/>
            <w:vAlign w:val="bottom"/>
          </w:tcPr>
          <w:p>
            <w:pPr>
              <w:spacing w:after="0"/>
              <w:rPr>
                <w:sz w:val="23"/>
                <w:szCs w:val="23"/>
                <w:color w:val="auto"/>
              </w:rPr>
            </w:pPr>
          </w:p>
        </w:tc>
        <w:tc>
          <w:tcPr>
            <w:tcW w:w="2840" w:type="dxa"/>
            <w:vAlign w:val="bottom"/>
          </w:tcPr>
          <w:p>
            <w:pPr>
              <w:spacing w:after="0"/>
              <w:rPr>
                <w:sz w:val="23"/>
                <w:szCs w:val="23"/>
                <w:color w:val="auto"/>
              </w:rPr>
            </w:pPr>
          </w:p>
        </w:tc>
        <w:tc>
          <w:tcPr>
            <w:tcW w:w="1420" w:type="dxa"/>
            <w:vAlign w:val="bottom"/>
          </w:tcPr>
          <w:p>
            <w:pPr>
              <w:spacing w:after="0"/>
              <w:rPr>
                <w:sz w:val="23"/>
                <w:szCs w:val="23"/>
                <w:color w:val="auto"/>
              </w:rPr>
            </w:pPr>
          </w:p>
        </w:tc>
        <w:tc>
          <w:tcPr>
            <w:tcW w:w="2640" w:type="dxa"/>
            <w:vAlign w:val="bottom"/>
          </w:tcPr>
          <w:p>
            <w:pPr>
              <w:jc w:val="right"/>
              <w:spacing w:after="0"/>
              <w:rPr>
                <w:sz w:val="20"/>
                <w:szCs w:val="20"/>
                <w:color w:val="auto"/>
              </w:rPr>
            </w:pPr>
            <w:r>
              <w:rPr>
                <w:rFonts w:ascii="Arial" w:cs="Arial" w:eastAsia="Arial" w:hAnsi="Arial"/>
                <w:sz w:val="22"/>
                <w:szCs w:val="22"/>
                <w:color w:val="auto"/>
              </w:rPr>
              <w:t>Unit: RMB10,000</w:t>
            </w:r>
          </w:p>
        </w:tc>
      </w:tr>
      <w:tr>
        <w:trPr>
          <w:trHeight w:val="240"/>
        </w:trPr>
        <w:tc>
          <w:tcPr>
            <w:tcW w:w="1760" w:type="dxa"/>
            <w:vAlign w:val="bottom"/>
            <w:tcBorders>
              <w:bottom w:val="single" w:sz="8" w:color="auto"/>
            </w:tcBorders>
          </w:tcPr>
          <w:p>
            <w:pPr>
              <w:spacing w:after="0"/>
              <w:rPr>
                <w:sz w:val="20"/>
                <w:szCs w:val="20"/>
                <w:color w:val="auto"/>
              </w:rPr>
            </w:pPr>
          </w:p>
        </w:tc>
        <w:tc>
          <w:tcPr>
            <w:tcW w:w="2580" w:type="dxa"/>
            <w:vAlign w:val="bottom"/>
            <w:tcBorders>
              <w:bottom w:val="single" w:sz="8" w:color="auto"/>
            </w:tcBorders>
          </w:tcPr>
          <w:p>
            <w:pPr>
              <w:spacing w:after="0"/>
              <w:rPr>
                <w:sz w:val="20"/>
                <w:szCs w:val="20"/>
                <w:color w:val="auto"/>
              </w:rPr>
            </w:pPr>
          </w:p>
        </w:tc>
        <w:tc>
          <w:tcPr>
            <w:tcW w:w="2840" w:type="dxa"/>
            <w:vAlign w:val="bottom"/>
            <w:tcBorders>
              <w:bottom w:val="single" w:sz="8" w:color="auto"/>
            </w:tcBorders>
          </w:tcPr>
          <w:p>
            <w:pPr>
              <w:spacing w:after="0"/>
              <w:rPr>
                <w:sz w:val="20"/>
                <w:szCs w:val="20"/>
                <w:color w:val="auto"/>
              </w:rPr>
            </w:pPr>
          </w:p>
        </w:tc>
        <w:tc>
          <w:tcPr>
            <w:tcW w:w="1420" w:type="dxa"/>
            <w:vAlign w:val="bottom"/>
            <w:tcBorders>
              <w:bottom w:val="single" w:sz="8" w:color="auto"/>
            </w:tcBorders>
          </w:tcPr>
          <w:p>
            <w:pPr>
              <w:spacing w:after="0"/>
              <w:rPr>
                <w:sz w:val="20"/>
                <w:szCs w:val="20"/>
                <w:color w:val="auto"/>
              </w:rPr>
            </w:pPr>
          </w:p>
        </w:tc>
        <w:tc>
          <w:tcPr>
            <w:tcW w:w="2640" w:type="dxa"/>
            <w:vAlign w:val="bottom"/>
            <w:tcBorders>
              <w:bottom w:val="single" w:sz="8" w:color="auto"/>
            </w:tcBorders>
          </w:tcPr>
          <w:p>
            <w:pPr>
              <w:spacing w:after="0"/>
              <w:rPr>
                <w:sz w:val="20"/>
                <w:szCs w:val="20"/>
                <w:color w:val="auto"/>
              </w:rPr>
            </w:pPr>
          </w:p>
        </w:tc>
      </w:tr>
      <w:tr>
        <w:trPr>
          <w:trHeight w:val="198"/>
        </w:trPr>
        <w:tc>
          <w:tcPr>
            <w:tcW w:w="1760" w:type="dxa"/>
            <w:vAlign w:val="bottom"/>
            <w:tcBorders>
              <w:left w:val="single" w:sz="8" w:color="auto"/>
              <w:right w:val="single" w:sz="8" w:color="auto"/>
            </w:tcBorders>
          </w:tcPr>
          <w:p>
            <w:pPr>
              <w:jc w:val="center"/>
              <w:spacing w:after="0" w:line="198" w:lineRule="exact"/>
              <w:rPr>
                <w:sz w:val="20"/>
                <w:szCs w:val="20"/>
                <w:color w:val="auto"/>
              </w:rPr>
            </w:pPr>
            <w:r>
              <w:rPr>
                <w:rFonts w:ascii="Arial" w:cs="Arial" w:eastAsia="Arial" w:hAnsi="Arial"/>
                <w:sz w:val="18"/>
                <w:szCs w:val="18"/>
                <w:b w:val="1"/>
                <w:bCs w:val="1"/>
                <w:color w:val="auto"/>
                <w:w w:val="90"/>
              </w:rPr>
              <w:t>Company</w:t>
            </w:r>
          </w:p>
        </w:tc>
        <w:tc>
          <w:tcPr>
            <w:tcW w:w="2580" w:type="dxa"/>
            <w:vAlign w:val="bottom"/>
            <w:tcBorders>
              <w:right w:val="single" w:sz="8" w:color="auto"/>
            </w:tcBorders>
          </w:tcPr>
          <w:p>
            <w:pPr>
              <w:jc w:val="right"/>
              <w:ind w:right="570"/>
              <w:spacing w:after="0" w:line="198" w:lineRule="exact"/>
              <w:rPr>
                <w:sz w:val="20"/>
                <w:szCs w:val="20"/>
                <w:color w:val="auto"/>
              </w:rPr>
            </w:pPr>
            <w:r>
              <w:rPr>
                <w:rFonts w:ascii="Arial" w:cs="Arial" w:eastAsia="Arial" w:hAnsi="Arial"/>
                <w:sz w:val="18"/>
                <w:szCs w:val="18"/>
                <w:b w:val="1"/>
                <w:bCs w:val="1"/>
                <w:color w:val="auto"/>
              </w:rPr>
              <w:t>Original value at</w:t>
            </w:r>
          </w:p>
        </w:tc>
        <w:tc>
          <w:tcPr>
            <w:tcW w:w="2840" w:type="dxa"/>
            <w:vAlign w:val="bottom"/>
            <w:tcBorders>
              <w:right w:val="single" w:sz="8" w:color="auto"/>
            </w:tcBorders>
          </w:tcPr>
          <w:p>
            <w:pPr>
              <w:jc w:val="right"/>
              <w:ind w:right="670"/>
              <w:spacing w:after="0" w:line="198" w:lineRule="exact"/>
              <w:rPr>
                <w:sz w:val="20"/>
                <w:szCs w:val="20"/>
                <w:color w:val="auto"/>
              </w:rPr>
            </w:pPr>
            <w:r>
              <w:rPr>
                <w:rFonts w:ascii="Arial" w:cs="Arial" w:eastAsia="Arial" w:hAnsi="Arial"/>
                <w:sz w:val="18"/>
                <w:szCs w:val="18"/>
                <w:b w:val="1"/>
                <w:bCs w:val="1"/>
                <w:color w:val="auto"/>
              </w:rPr>
              <w:t>Book value at the</w:t>
            </w:r>
          </w:p>
        </w:tc>
        <w:tc>
          <w:tcPr>
            <w:tcW w:w="1420" w:type="dxa"/>
            <w:vAlign w:val="bottom"/>
            <w:tcBorders>
              <w:right w:val="single" w:sz="8" w:color="auto"/>
            </w:tcBorders>
          </w:tcPr>
          <w:p>
            <w:pPr>
              <w:jc w:val="right"/>
              <w:ind w:right="310"/>
              <w:spacing w:after="0" w:line="198" w:lineRule="exact"/>
              <w:rPr>
                <w:sz w:val="20"/>
                <w:szCs w:val="20"/>
                <w:color w:val="auto"/>
              </w:rPr>
            </w:pPr>
            <w:r>
              <w:rPr>
                <w:rFonts w:ascii="Arial" w:cs="Arial" w:eastAsia="Arial" w:hAnsi="Arial"/>
                <w:sz w:val="18"/>
                <w:szCs w:val="18"/>
                <w:b w:val="1"/>
                <w:bCs w:val="1"/>
                <w:color w:val="auto"/>
              </w:rPr>
              <w:t>Newness</w:t>
            </w:r>
          </w:p>
        </w:tc>
        <w:tc>
          <w:tcPr>
            <w:tcW w:w="2640" w:type="dxa"/>
            <w:vAlign w:val="bottom"/>
            <w:tcBorders>
              <w:right w:val="single" w:sz="8" w:color="auto"/>
            </w:tcBorders>
          </w:tcPr>
          <w:p>
            <w:pPr>
              <w:jc w:val="right"/>
              <w:ind w:right="548"/>
              <w:spacing w:after="0" w:line="198" w:lineRule="exact"/>
              <w:rPr>
                <w:sz w:val="20"/>
                <w:szCs w:val="20"/>
                <w:color w:val="auto"/>
              </w:rPr>
            </w:pPr>
            <w:r>
              <w:rPr>
                <w:rFonts w:ascii="Arial" w:cs="Arial" w:eastAsia="Arial" w:hAnsi="Arial"/>
                <w:sz w:val="18"/>
                <w:szCs w:val="18"/>
                <w:b w:val="1"/>
                <w:bCs w:val="1"/>
                <w:color w:val="auto"/>
              </w:rPr>
              <w:t>Operating income</w:t>
            </w:r>
          </w:p>
        </w:tc>
      </w:tr>
      <w:tr>
        <w:trPr>
          <w:trHeight w:val="241"/>
        </w:trPr>
        <w:tc>
          <w:tcPr>
            <w:tcW w:w="176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name</w:t>
            </w:r>
          </w:p>
        </w:tc>
        <w:tc>
          <w:tcPr>
            <w:tcW w:w="2580" w:type="dxa"/>
            <w:vAlign w:val="bottom"/>
            <w:tcBorders>
              <w:bottom w:val="single" w:sz="8" w:color="auto"/>
              <w:right w:val="single" w:sz="8" w:color="auto"/>
            </w:tcBorders>
          </w:tcPr>
          <w:p>
            <w:pPr>
              <w:jc w:val="right"/>
              <w:ind w:right="630"/>
              <w:spacing w:after="0"/>
              <w:rPr>
                <w:sz w:val="20"/>
                <w:szCs w:val="20"/>
                <w:color w:val="auto"/>
              </w:rPr>
            </w:pPr>
            <w:r>
              <w:rPr>
                <w:rFonts w:ascii="Arial" w:cs="Arial" w:eastAsia="Arial" w:hAnsi="Arial"/>
                <w:sz w:val="18"/>
                <w:szCs w:val="18"/>
                <w:b w:val="1"/>
                <w:bCs w:val="1"/>
                <w:color w:val="auto"/>
              </w:rPr>
              <w:t>the end of 2019</w:t>
            </w:r>
          </w:p>
        </w:tc>
        <w:tc>
          <w:tcPr>
            <w:tcW w:w="2840" w:type="dxa"/>
            <w:vAlign w:val="bottom"/>
            <w:tcBorders>
              <w:bottom w:val="single" w:sz="8" w:color="auto"/>
              <w:right w:val="single" w:sz="8" w:color="auto"/>
            </w:tcBorders>
          </w:tcPr>
          <w:p>
            <w:pPr>
              <w:jc w:val="right"/>
              <w:ind w:right="910"/>
              <w:spacing w:after="0"/>
              <w:rPr>
                <w:sz w:val="20"/>
                <w:szCs w:val="20"/>
                <w:color w:val="auto"/>
              </w:rPr>
            </w:pPr>
            <w:r>
              <w:rPr>
                <w:rFonts w:ascii="Arial" w:cs="Arial" w:eastAsia="Arial" w:hAnsi="Arial"/>
                <w:sz w:val="18"/>
                <w:szCs w:val="18"/>
                <w:b w:val="1"/>
                <w:bCs w:val="1"/>
                <w:color w:val="auto"/>
              </w:rPr>
              <w:t>end of 2019</w:t>
            </w:r>
          </w:p>
        </w:tc>
        <w:tc>
          <w:tcPr>
            <w:tcW w:w="1420" w:type="dxa"/>
            <w:vAlign w:val="bottom"/>
            <w:tcBorders>
              <w:bottom w:val="single" w:sz="8" w:color="auto"/>
              <w:right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rate</w:t>
            </w:r>
          </w:p>
        </w:tc>
        <w:tc>
          <w:tcPr>
            <w:tcW w:w="2640" w:type="dxa"/>
            <w:vAlign w:val="bottom"/>
            <w:tcBorders>
              <w:bottom w:val="single" w:sz="8" w:color="auto"/>
              <w:right w:val="single" w:sz="8" w:color="auto"/>
            </w:tcBorders>
          </w:tcPr>
          <w:p>
            <w:pPr>
              <w:jc w:val="right"/>
              <w:ind w:right="968"/>
              <w:spacing w:after="0"/>
              <w:rPr>
                <w:sz w:val="20"/>
                <w:szCs w:val="20"/>
                <w:color w:val="auto"/>
              </w:rPr>
            </w:pPr>
            <w:r>
              <w:rPr>
                <w:rFonts w:ascii="Arial" w:cs="Arial" w:eastAsia="Arial" w:hAnsi="Arial"/>
                <w:sz w:val="18"/>
                <w:szCs w:val="18"/>
                <w:b w:val="1"/>
                <w:bCs w:val="1"/>
                <w:color w:val="auto"/>
              </w:rPr>
              <w:t>in 2019</w:t>
            </w:r>
          </w:p>
        </w:tc>
      </w:tr>
      <w:tr>
        <w:trPr>
          <w:trHeight w:val="223"/>
        </w:trPr>
        <w:tc>
          <w:tcPr>
            <w:tcW w:w="176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9"/>
              </w:rPr>
              <w:t>AMEC</w:t>
            </w:r>
          </w:p>
        </w:tc>
        <w:tc>
          <w:tcPr>
            <w:tcW w:w="258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13,072.64</w:t>
            </w:r>
          </w:p>
        </w:tc>
        <w:tc>
          <w:tcPr>
            <w:tcW w:w="284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2,201.88</w:t>
            </w:r>
          </w:p>
        </w:tc>
        <w:tc>
          <w:tcPr>
            <w:tcW w:w="142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16.84%</w:t>
            </w:r>
          </w:p>
        </w:tc>
        <w:tc>
          <w:tcPr>
            <w:tcW w:w="264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194,694.93</w:t>
            </w:r>
          </w:p>
        </w:tc>
      </w:tr>
      <w:tr>
        <w:trPr>
          <w:trHeight w:val="223"/>
        </w:trPr>
        <w:tc>
          <w:tcPr>
            <w:tcW w:w="176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9"/>
              </w:rPr>
              <w:t>KINGSEMI</w:t>
            </w:r>
          </w:p>
        </w:tc>
        <w:tc>
          <w:tcPr>
            <w:tcW w:w="258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6,107.81</w:t>
            </w:r>
          </w:p>
        </w:tc>
        <w:tc>
          <w:tcPr>
            <w:tcW w:w="284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3,977.98</w:t>
            </w:r>
          </w:p>
        </w:tc>
        <w:tc>
          <w:tcPr>
            <w:tcW w:w="142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65.13%</w:t>
            </w:r>
          </w:p>
        </w:tc>
        <w:tc>
          <w:tcPr>
            <w:tcW w:w="264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21,315.67</w:t>
            </w:r>
          </w:p>
        </w:tc>
      </w:tr>
      <w:tr>
        <w:trPr>
          <w:trHeight w:val="223"/>
        </w:trPr>
        <w:tc>
          <w:tcPr>
            <w:tcW w:w="176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NAURA</w:t>
            </w:r>
          </w:p>
        </w:tc>
        <w:tc>
          <w:tcPr>
            <w:tcW w:w="258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130,169.82</w:t>
            </w:r>
          </w:p>
        </w:tc>
        <w:tc>
          <w:tcPr>
            <w:tcW w:w="284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78,092.77</w:t>
            </w:r>
          </w:p>
        </w:tc>
        <w:tc>
          <w:tcPr>
            <w:tcW w:w="142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59.99%</w:t>
            </w:r>
          </w:p>
        </w:tc>
        <w:tc>
          <w:tcPr>
            <w:tcW w:w="264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405,831.29</w:t>
            </w:r>
          </w:p>
        </w:tc>
      </w:tr>
      <w:tr>
        <w:trPr>
          <w:trHeight w:val="223"/>
        </w:trPr>
        <w:tc>
          <w:tcPr>
            <w:tcW w:w="176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4"/>
              </w:rPr>
              <w:t>HZCCTECH</w:t>
            </w:r>
          </w:p>
        </w:tc>
        <w:tc>
          <w:tcPr>
            <w:tcW w:w="258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4,593.42</w:t>
            </w:r>
          </w:p>
        </w:tc>
        <w:tc>
          <w:tcPr>
            <w:tcW w:w="284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2,084.90</w:t>
            </w:r>
          </w:p>
        </w:tc>
        <w:tc>
          <w:tcPr>
            <w:tcW w:w="142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45.39%</w:t>
            </w:r>
          </w:p>
        </w:tc>
        <w:tc>
          <w:tcPr>
            <w:tcW w:w="264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39,883.41</w:t>
            </w:r>
          </w:p>
        </w:tc>
      </w:tr>
      <w:tr>
        <w:trPr>
          <w:trHeight w:val="223"/>
        </w:trPr>
        <w:tc>
          <w:tcPr>
            <w:tcW w:w="176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5"/>
              </w:rPr>
              <w:t>Issuer</w:t>
            </w:r>
          </w:p>
        </w:tc>
        <w:tc>
          <w:tcPr>
            <w:tcW w:w="258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2,787.16</w:t>
            </w:r>
          </w:p>
        </w:tc>
        <w:tc>
          <w:tcPr>
            <w:tcW w:w="284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1,196.90</w:t>
            </w:r>
          </w:p>
        </w:tc>
        <w:tc>
          <w:tcPr>
            <w:tcW w:w="142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42.94%</w:t>
            </w:r>
          </w:p>
        </w:tc>
        <w:tc>
          <w:tcPr>
            <w:tcW w:w="264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75,673.30</w:t>
            </w:r>
          </w:p>
        </w:tc>
      </w:tr>
    </w:tbl>
    <w:p>
      <w:pPr>
        <w:spacing w:after="0" w:line="222" w:lineRule="exact"/>
        <w:rPr>
          <w:sz w:val="20"/>
          <w:szCs w:val="20"/>
          <w:color w:val="auto"/>
        </w:rPr>
      </w:pPr>
    </w:p>
    <w:p>
      <w:pPr>
        <w:jc w:val="both"/>
        <w:ind w:firstLine="324"/>
        <w:spacing w:after="0" w:line="250" w:lineRule="auto"/>
        <w:rPr>
          <w:sz w:val="20"/>
          <w:szCs w:val="20"/>
          <w:color w:val="auto"/>
        </w:rPr>
      </w:pPr>
      <w:r>
        <w:rPr>
          <w:rFonts w:ascii="Arial" w:cs="Arial" w:eastAsia="Arial" w:hAnsi="Arial"/>
          <w:sz w:val="22"/>
          <w:szCs w:val="22"/>
          <w:color w:val="auto"/>
        </w:rPr>
        <w:t>Note: According to the annual report of HZCCTECH in 2019, its machinery equipment includes general equipment and special equipment.</w:t>
      </w:r>
    </w:p>
    <w:p>
      <w:pPr>
        <w:spacing w:after="0" w:line="209" w:lineRule="exact"/>
        <w:rPr>
          <w:sz w:val="20"/>
          <w:szCs w:val="20"/>
          <w:color w:val="auto"/>
        </w:rPr>
      </w:pPr>
    </w:p>
    <w:p>
      <w:pPr>
        <w:jc w:val="both"/>
        <w:ind w:right="20" w:firstLine="324"/>
        <w:spacing w:after="0" w:line="308" w:lineRule="auto"/>
        <w:rPr>
          <w:sz w:val="20"/>
          <w:szCs w:val="20"/>
          <w:color w:val="auto"/>
        </w:rPr>
      </w:pPr>
      <w:r>
        <w:rPr>
          <w:rFonts w:ascii="Arial" w:cs="Arial" w:eastAsia="Arial" w:hAnsi="Arial"/>
          <w:sz w:val="17"/>
          <w:szCs w:val="17"/>
          <w:color w:val="auto"/>
        </w:rPr>
        <w:t>As shown in the table above, except for NAURA, the book value of the Company’s machinery equipment at the end of 2019 was not significantly different from that of the listed companies in the same industry and is in line with the Company’s business scale and the industry practice.</w:t>
      </w:r>
    </w:p>
    <w:p>
      <w:pPr>
        <w:spacing w:after="0" w:line="173" w:lineRule="exact"/>
        <w:rPr>
          <w:sz w:val="20"/>
          <w:szCs w:val="20"/>
          <w:color w:val="auto"/>
        </w:rPr>
      </w:pPr>
    </w:p>
    <w:p>
      <w:pPr>
        <w:jc w:val="both"/>
        <w:ind w:firstLine="324"/>
        <w:spacing w:after="0" w:line="301" w:lineRule="auto"/>
        <w:rPr>
          <w:sz w:val="20"/>
          <w:szCs w:val="20"/>
          <w:color w:val="auto"/>
        </w:rPr>
      </w:pPr>
      <w:r>
        <w:rPr>
          <w:rFonts w:ascii="Arial" w:cs="Arial" w:eastAsia="Arial" w:hAnsi="Arial"/>
          <w:sz w:val="16"/>
          <w:szCs w:val="16"/>
          <w:color w:val="auto"/>
        </w:rPr>
        <w:t>In sum, the Company does not engage in the business of parts processing. The Company designs the equipment scheme according to the customers’ differentiated needs, assembles the raw materials and parts, tests and debugs the product performance and parameters, and delivers the products to the customers’ sites for further debugging and improvement, to finally meet the customers’ acceptance requirements. In addition, the Company uses the facilities and plants by leasing, with its fixed assets accounting for a relatively low proportion of operating income, which is reasonable.</w:t>
      </w:r>
    </w:p>
    <w:p>
      <w:pPr>
        <w:spacing w:after="0" w:line="180" w:lineRule="exact"/>
        <w:rPr>
          <w:sz w:val="20"/>
          <w:szCs w:val="20"/>
          <w:color w:val="auto"/>
        </w:rPr>
      </w:pPr>
    </w:p>
    <w:p>
      <w:pPr>
        <w:ind w:firstLine="332"/>
        <w:spacing w:after="0" w:line="282" w:lineRule="auto"/>
        <w:tabs>
          <w:tab w:leader="none" w:pos="615" w:val="left"/>
        </w:tabs>
        <w:numPr>
          <w:ilvl w:val="0"/>
          <w:numId w:val="46"/>
        </w:numPr>
        <w:rPr>
          <w:rFonts w:ascii="Arial" w:cs="Arial" w:eastAsia="Arial" w:hAnsi="Arial"/>
          <w:sz w:val="18"/>
          <w:szCs w:val="18"/>
          <w:b w:val="1"/>
          <w:bCs w:val="1"/>
          <w:color w:val="auto"/>
        </w:rPr>
      </w:pPr>
      <w:r>
        <w:rPr>
          <w:rFonts w:ascii="Arial" w:cs="Arial" w:eastAsia="Arial" w:hAnsi="Arial"/>
          <w:sz w:val="18"/>
          <w:szCs w:val="18"/>
          <w:b w:val="1"/>
          <w:bCs w:val="1"/>
          <w:color w:val="auto"/>
        </w:rPr>
        <w:t>In the future, “ACMSH Equipment R&amp;D and Manufacturing Center,” one of the projects to be invested by the Issuer through fund raising, will be built into the R&amp;D and production base of the Company.</w:t>
      </w:r>
    </w:p>
    <w:p>
      <w:pPr>
        <w:spacing w:after="0" w:line="193"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color w:val="auto"/>
        </w:rPr>
        <w:t>A total investment of RMB882.45 million is expected to be made for the “ACMSH Equipment R&amp;D and Manufacturing Center,” one of the investment projects targeted by the Issuer’s fund raising. The investment budget for the same is as follows:</w:t>
      </w:r>
    </w:p>
    <w:p>
      <w:pPr>
        <w:spacing w:after="0" w:line="190" w:lineRule="exact"/>
        <w:rPr>
          <w:sz w:val="20"/>
          <w:szCs w:val="20"/>
          <w:color w:val="auto"/>
        </w:rPr>
      </w:pPr>
    </w:p>
    <w:tbl>
      <w:tblPr>
        <w:tblLayout w:type="fixed"/>
        <w:tblInd w:w="10" w:type="dxa"/>
        <w:tblCellMar>
          <w:top w:w="0" w:type="dxa"/>
          <w:left w:w="0" w:type="dxa"/>
          <w:bottom w:w="0" w:type="dxa"/>
          <w:right w:w="0" w:type="dxa"/>
        </w:tblCellMar>
      </w:tblPr>
      <w:tr>
        <w:trPr>
          <w:trHeight w:val="274"/>
        </w:trPr>
        <w:tc>
          <w:tcPr>
            <w:tcW w:w="1280" w:type="dxa"/>
            <w:vAlign w:val="bottom"/>
          </w:tcPr>
          <w:p>
            <w:pPr>
              <w:spacing w:after="0"/>
              <w:rPr>
                <w:sz w:val="23"/>
                <w:szCs w:val="23"/>
                <w:color w:val="auto"/>
              </w:rPr>
            </w:pPr>
          </w:p>
        </w:tc>
        <w:tc>
          <w:tcPr>
            <w:tcW w:w="340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2820" w:type="dxa"/>
            <w:vAlign w:val="bottom"/>
          </w:tcPr>
          <w:p>
            <w:pPr>
              <w:spacing w:after="0"/>
              <w:rPr>
                <w:sz w:val="23"/>
                <w:szCs w:val="23"/>
                <w:color w:val="auto"/>
              </w:rPr>
            </w:pPr>
          </w:p>
        </w:tc>
        <w:tc>
          <w:tcPr>
            <w:tcW w:w="2780" w:type="dxa"/>
            <w:vAlign w:val="bottom"/>
          </w:tcPr>
          <w:p>
            <w:pPr>
              <w:jc w:val="right"/>
              <w:spacing w:after="0"/>
              <w:rPr>
                <w:sz w:val="20"/>
                <w:szCs w:val="20"/>
                <w:color w:val="auto"/>
              </w:rPr>
            </w:pPr>
            <w:r>
              <w:rPr>
                <w:rFonts w:ascii="Arial" w:cs="Arial" w:eastAsia="Arial" w:hAnsi="Arial"/>
                <w:sz w:val="22"/>
                <w:szCs w:val="22"/>
                <w:color w:val="auto"/>
              </w:rPr>
              <w:t>Unit: RMB10,000</w:t>
            </w:r>
          </w:p>
        </w:tc>
      </w:tr>
      <w:tr>
        <w:trPr>
          <w:trHeight w:val="240"/>
        </w:trPr>
        <w:tc>
          <w:tcPr>
            <w:tcW w:w="1280" w:type="dxa"/>
            <w:vAlign w:val="bottom"/>
            <w:tcBorders>
              <w:bottom w:val="single" w:sz="8" w:color="auto"/>
            </w:tcBorders>
          </w:tcPr>
          <w:p>
            <w:pPr>
              <w:spacing w:after="0"/>
              <w:rPr>
                <w:sz w:val="20"/>
                <w:szCs w:val="20"/>
                <w:color w:val="auto"/>
              </w:rPr>
            </w:pPr>
          </w:p>
        </w:tc>
        <w:tc>
          <w:tcPr>
            <w:tcW w:w="340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spacing w:after="0"/>
              <w:rPr>
                <w:sz w:val="20"/>
                <w:szCs w:val="20"/>
                <w:color w:val="auto"/>
              </w:rPr>
            </w:pPr>
          </w:p>
        </w:tc>
        <w:tc>
          <w:tcPr>
            <w:tcW w:w="2820" w:type="dxa"/>
            <w:vAlign w:val="bottom"/>
            <w:tcBorders>
              <w:bottom w:val="single" w:sz="8" w:color="auto"/>
            </w:tcBorders>
          </w:tcPr>
          <w:p>
            <w:pPr>
              <w:spacing w:after="0"/>
              <w:rPr>
                <w:sz w:val="20"/>
                <w:szCs w:val="20"/>
                <w:color w:val="auto"/>
              </w:rPr>
            </w:pPr>
          </w:p>
        </w:tc>
        <w:tc>
          <w:tcPr>
            <w:tcW w:w="2780" w:type="dxa"/>
            <w:vAlign w:val="bottom"/>
            <w:tcBorders>
              <w:bottom w:val="single" w:sz="8" w:color="auto"/>
            </w:tcBorders>
          </w:tcPr>
          <w:p>
            <w:pPr>
              <w:spacing w:after="0"/>
              <w:rPr>
                <w:sz w:val="20"/>
                <w:szCs w:val="20"/>
                <w:color w:val="auto"/>
              </w:rPr>
            </w:pPr>
          </w:p>
        </w:tc>
      </w:tr>
      <w:tr>
        <w:trPr>
          <w:trHeight w:val="223"/>
        </w:trPr>
        <w:tc>
          <w:tcPr>
            <w:tcW w:w="128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93"/>
              </w:rPr>
              <w:t>S/N</w:t>
            </w:r>
          </w:p>
        </w:tc>
        <w:tc>
          <w:tcPr>
            <w:tcW w:w="3400" w:type="dxa"/>
            <w:vAlign w:val="bottom"/>
            <w:tcBorders>
              <w:bottom w:val="single" w:sz="8" w:color="auto"/>
            </w:tcBorders>
          </w:tcPr>
          <w:p>
            <w:pPr>
              <w:ind w:left="1640"/>
              <w:spacing w:after="0"/>
              <w:rPr>
                <w:sz w:val="20"/>
                <w:szCs w:val="20"/>
                <w:color w:val="auto"/>
              </w:rPr>
            </w:pPr>
            <w:r>
              <w:rPr>
                <w:rFonts w:ascii="Arial" w:cs="Arial" w:eastAsia="Arial" w:hAnsi="Arial"/>
                <w:sz w:val="18"/>
                <w:szCs w:val="18"/>
                <w:b w:val="1"/>
                <w:bCs w:val="1"/>
                <w:color w:val="auto"/>
              </w:rPr>
              <w:t>Project Name</w:t>
            </w:r>
          </w:p>
        </w:tc>
        <w:tc>
          <w:tcPr>
            <w:tcW w:w="960" w:type="dxa"/>
            <w:vAlign w:val="bottom"/>
            <w:tcBorders>
              <w:bottom w:val="single" w:sz="8" w:color="auto"/>
              <w:right w:val="single" w:sz="8" w:color="auto"/>
            </w:tcBorders>
          </w:tcPr>
          <w:p>
            <w:pPr>
              <w:spacing w:after="0"/>
              <w:rPr>
                <w:sz w:val="19"/>
                <w:szCs w:val="19"/>
                <w:color w:val="auto"/>
              </w:rPr>
            </w:pPr>
          </w:p>
        </w:tc>
        <w:tc>
          <w:tcPr>
            <w:tcW w:w="2820" w:type="dxa"/>
            <w:vAlign w:val="bottom"/>
            <w:tcBorders>
              <w:bottom w:val="single" w:sz="8" w:color="auto"/>
              <w:right w:val="single" w:sz="8" w:color="auto"/>
            </w:tcBorders>
          </w:tcPr>
          <w:p>
            <w:pPr>
              <w:jc w:val="right"/>
              <w:ind w:right="1030"/>
              <w:spacing w:after="0"/>
              <w:rPr>
                <w:sz w:val="20"/>
                <w:szCs w:val="20"/>
                <w:color w:val="auto"/>
              </w:rPr>
            </w:pPr>
            <w:r>
              <w:rPr>
                <w:rFonts w:ascii="Arial" w:cs="Arial" w:eastAsia="Arial" w:hAnsi="Arial"/>
                <w:sz w:val="18"/>
                <w:szCs w:val="18"/>
                <w:b w:val="1"/>
                <w:bCs w:val="1"/>
                <w:color w:val="auto"/>
              </w:rPr>
              <w:t>Amount</w:t>
            </w:r>
          </w:p>
        </w:tc>
        <w:tc>
          <w:tcPr>
            <w:tcW w:w="2780" w:type="dxa"/>
            <w:vAlign w:val="bottom"/>
            <w:tcBorders>
              <w:bottom w:val="single" w:sz="8" w:color="auto"/>
              <w:right w:val="single" w:sz="8" w:color="auto"/>
            </w:tcBorders>
          </w:tcPr>
          <w:p>
            <w:pPr>
              <w:jc w:val="right"/>
              <w:ind w:right="1108"/>
              <w:spacing w:after="0"/>
              <w:rPr>
                <w:sz w:val="20"/>
                <w:szCs w:val="20"/>
                <w:color w:val="auto"/>
              </w:rPr>
            </w:pPr>
            <w:r>
              <w:rPr>
                <w:rFonts w:ascii="Arial" w:cs="Arial" w:eastAsia="Arial" w:hAnsi="Arial"/>
                <w:sz w:val="18"/>
                <w:szCs w:val="18"/>
                <w:b w:val="1"/>
                <w:bCs w:val="1"/>
                <w:color w:val="auto"/>
              </w:rPr>
              <w:t>Ratio</w:t>
            </w:r>
          </w:p>
        </w:tc>
      </w:tr>
      <w:tr>
        <w:trPr>
          <w:trHeight w:val="223"/>
        </w:trPr>
        <w:tc>
          <w:tcPr>
            <w:tcW w:w="128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79"/>
              </w:rPr>
              <w:t>1</w:t>
            </w:r>
          </w:p>
        </w:tc>
        <w:tc>
          <w:tcPr>
            <w:tcW w:w="34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Civil engineering and decoration</w:t>
            </w:r>
          </w:p>
        </w:tc>
        <w:tc>
          <w:tcPr>
            <w:tcW w:w="960" w:type="dxa"/>
            <w:vAlign w:val="bottom"/>
            <w:tcBorders>
              <w:bottom w:val="single" w:sz="8" w:color="auto"/>
              <w:right w:val="single" w:sz="8" w:color="auto"/>
            </w:tcBorders>
          </w:tcPr>
          <w:p>
            <w:pPr>
              <w:spacing w:after="0"/>
              <w:rPr>
                <w:sz w:val="19"/>
                <w:szCs w:val="19"/>
                <w:color w:val="auto"/>
              </w:rPr>
            </w:pPr>
          </w:p>
        </w:tc>
        <w:tc>
          <w:tcPr>
            <w:tcW w:w="282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30,337.28</w:t>
            </w:r>
          </w:p>
        </w:tc>
        <w:tc>
          <w:tcPr>
            <w:tcW w:w="278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34.38%</w:t>
            </w:r>
          </w:p>
        </w:tc>
      </w:tr>
      <w:tr>
        <w:trPr>
          <w:trHeight w:val="223"/>
        </w:trPr>
        <w:tc>
          <w:tcPr>
            <w:tcW w:w="128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79"/>
              </w:rPr>
              <w:t>2</w:t>
            </w:r>
          </w:p>
        </w:tc>
        <w:tc>
          <w:tcPr>
            <w:tcW w:w="34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Equipment and software investment</w:t>
            </w:r>
          </w:p>
        </w:tc>
        <w:tc>
          <w:tcPr>
            <w:tcW w:w="960" w:type="dxa"/>
            <w:vAlign w:val="bottom"/>
            <w:tcBorders>
              <w:bottom w:val="single" w:sz="8" w:color="auto"/>
              <w:right w:val="single" w:sz="8" w:color="auto"/>
            </w:tcBorders>
          </w:tcPr>
          <w:p>
            <w:pPr>
              <w:spacing w:after="0"/>
              <w:rPr>
                <w:sz w:val="19"/>
                <w:szCs w:val="19"/>
                <w:color w:val="auto"/>
              </w:rPr>
            </w:pPr>
          </w:p>
        </w:tc>
        <w:tc>
          <w:tcPr>
            <w:tcW w:w="282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9,662.72</w:t>
            </w:r>
          </w:p>
        </w:tc>
        <w:tc>
          <w:tcPr>
            <w:tcW w:w="278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10.95%</w:t>
            </w:r>
          </w:p>
        </w:tc>
      </w:tr>
      <w:tr>
        <w:trPr>
          <w:trHeight w:val="223"/>
        </w:trPr>
        <w:tc>
          <w:tcPr>
            <w:tcW w:w="128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79"/>
              </w:rPr>
              <w:t>3</w:t>
            </w:r>
          </w:p>
        </w:tc>
        <w:tc>
          <w:tcPr>
            <w:tcW w:w="34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Development or design</w:t>
            </w:r>
          </w:p>
        </w:tc>
        <w:tc>
          <w:tcPr>
            <w:tcW w:w="960" w:type="dxa"/>
            <w:vAlign w:val="bottom"/>
            <w:tcBorders>
              <w:bottom w:val="single" w:sz="8" w:color="auto"/>
              <w:right w:val="single" w:sz="8" w:color="auto"/>
            </w:tcBorders>
          </w:tcPr>
          <w:p>
            <w:pPr>
              <w:spacing w:after="0"/>
              <w:rPr>
                <w:sz w:val="19"/>
                <w:szCs w:val="19"/>
                <w:color w:val="auto"/>
              </w:rPr>
            </w:pPr>
          </w:p>
        </w:tc>
        <w:tc>
          <w:tcPr>
            <w:tcW w:w="282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6,292.36</w:t>
            </w:r>
          </w:p>
        </w:tc>
        <w:tc>
          <w:tcPr>
            <w:tcW w:w="278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7.13%</w:t>
            </w:r>
          </w:p>
        </w:tc>
      </w:tr>
      <w:tr>
        <w:trPr>
          <w:trHeight w:val="223"/>
        </w:trPr>
        <w:tc>
          <w:tcPr>
            <w:tcW w:w="128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79"/>
              </w:rPr>
              <w:t>4</w:t>
            </w:r>
          </w:p>
        </w:tc>
        <w:tc>
          <w:tcPr>
            <w:tcW w:w="34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Raw materials for trial production</w:t>
            </w:r>
          </w:p>
        </w:tc>
        <w:tc>
          <w:tcPr>
            <w:tcW w:w="960" w:type="dxa"/>
            <w:vAlign w:val="bottom"/>
            <w:tcBorders>
              <w:bottom w:val="single" w:sz="8" w:color="auto"/>
              <w:right w:val="single" w:sz="8" w:color="auto"/>
            </w:tcBorders>
          </w:tcPr>
          <w:p>
            <w:pPr>
              <w:spacing w:after="0"/>
              <w:rPr>
                <w:sz w:val="19"/>
                <w:szCs w:val="19"/>
                <w:color w:val="auto"/>
              </w:rPr>
            </w:pPr>
          </w:p>
        </w:tc>
        <w:tc>
          <w:tcPr>
            <w:tcW w:w="282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27,266.87</w:t>
            </w:r>
          </w:p>
        </w:tc>
        <w:tc>
          <w:tcPr>
            <w:tcW w:w="278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30.90%</w:t>
            </w:r>
          </w:p>
        </w:tc>
      </w:tr>
      <w:tr>
        <w:trPr>
          <w:trHeight w:val="223"/>
        </w:trPr>
        <w:tc>
          <w:tcPr>
            <w:tcW w:w="128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79"/>
              </w:rPr>
              <w:t>5</w:t>
            </w:r>
          </w:p>
        </w:tc>
        <w:tc>
          <w:tcPr>
            <w:tcW w:w="34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Fuel and power for trial production</w:t>
            </w:r>
          </w:p>
        </w:tc>
        <w:tc>
          <w:tcPr>
            <w:tcW w:w="960" w:type="dxa"/>
            <w:vAlign w:val="bottom"/>
            <w:tcBorders>
              <w:bottom w:val="single" w:sz="8" w:color="auto"/>
              <w:right w:val="single" w:sz="8" w:color="auto"/>
            </w:tcBorders>
          </w:tcPr>
          <w:p>
            <w:pPr>
              <w:spacing w:after="0"/>
              <w:rPr>
                <w:sz w:val="19"/>
                <w:szCs w:val="19"/>
                <w:color w:val="auto"/>
              </w:rPr>
            </w:pPr>
          </w:p>
        </w:tc>
        <w:tc>
          <w:tcPr>
            <w:tcW w:w="282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1,993.43</w:t>
            </w:r>
          </w:p>
        </w:tc>
        <w:tc>
          <w:tcPr>
            <w:tcW w:w="278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2.26%</w:t>
            </w:r>
          </w:p>
        </w:tc>
      </w:tr>
      <w:tr>
        <w:trPr>
          <w:trHeight w:val="223"/>
        </w:trPr>
        <w:tc>
          <w:tcPr>
            <w:tcW w:w="128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79"/>
              </w:rPr>
              <w:t>6</w:t>
            </w:r>
          </w:p>
        </w:tc>
        <w:tc>
          <w:tcPr>
            <w:tcW w:w="34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Test (or inspection)</w:t>
            </w:r>
          </w:p>
        </w:tc>
        <w:tc>
          <w:tcPr>
            <w:tcW w:w="960" w:type="dxa"/>
            <w:vAlign w:val="bottom"/>
            <w:tcBorders>
              <w:bottom w:val="single" w:sz="8" w:color="auto"/>
              <w:right w:val="single" w:sz="8" w:color="auto"/>
            </w:tcBorders>
          </w:tcPr>
          <w:p>
            <w:pPr>
              <w:spacing w:after="0"/>
              <w:rPr>
                <w:sz w:val="19"/>
                <w:szCs w:val="19"/>
                <w:color w:val="auto"/>
              </w:rPr>
            </w:pPr>
          </w:p>
        </w:tc>
        <w:tc>
          <w:tcPr>
            <w:tcW w:w="282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2,097.45</w:t>
            </w:r>
          </w:p>
        </w:tc>
        <w:tc>
          <w:tcPr>
            <w:tcW w:w="278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2.38%</w:t>
            </w:r>
          </w:p>
        </w:tc>
      </w:tr>
      <w:tr>
        <w:trPr>
          <w:trHeight w:val="223"/>
        </w:trPr>
        <w:tc>
          <w:tcPr>
            <w:tcW w:w="128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79"/>
              </w:rPr>
              <w:t>7</w:t>
            </w:r>
          </w:p>
        </w:tc>
        <w:tc>
          <w:tcPr>
            <w:tcW w:w="34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Reserve</w:t>
            </w:r>
          </w:p>
        </w:tc>
        <w:tc>
          <w:tcPr>
            <w:tcW w:w="960" w:type="dxa"/>
            <w:vAlign w:val="bottom"/>
            <w:tcBorders>
              <w:bottom w:val="single" w:sz="8" w:color="auto"/>
              <w:right w:val="single" w:sz="8" w:color="auto"/>
            </w:tcBorders>
          </w:tcPr>
          <w:p>
            <w:pPr>
              <w:spacing w:after="0"/>
              <w:rPr>
                <w:sz w:val="19"/>
                <w:szCs w:val="19"/>
                <w:color w:val="auto"/>
              </w:rPr>
            </w:pPr>
          </w:p>
        </w:tc>
        <w:tc>
          <w:tcPr>
            <w:tcW w:w="282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4,194.89</w:t>
            </w:r>
          </w:p>
        </w:tc>
        <w:tc>
          <w:tcPr>
            <w:tcW w:w="278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4.75%</w:t>
            </w:r>
          </w:p>
        </w:tc>
      </w:tr>
      <w:tr>
        <w:trPr>
          <w:trHeight w:val="223"/>
        </w:trPr>
        <w:tc>
          <w:tcPr>
            <w:tcW w:w="128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79"/>
              </w:rPr>
              <w:t>8</w:t>
            </w:r>
          </w:p>
        </w:tc>
        <w:tc>
          <w:tcPr>
            <w:tcW w:w="34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Land purchase</w:t>
            </w:r>
          </w:p>
        </w:tc>
        <w:tc>
          <w:tcPr>
            <w:tcW w:w="960" w:type="dxa"/>
            <w:vAlign w:val="bottom"/>
            <w:tcBorders>
              <w:bottom w:val="single" w:sz="8" w:color="auto"/>
              <w:right w:val="single" w:sz="8" w:color="auto"/>
            </w:tcBorders>
          </w:tcPr>
          <w:p>
            <w:pPr>
              <w:spacing w:after="0"/>
              <w:rPr>
                <w:sz w:val="19"/>
                <w:szCs w:val="19"/>
                <w:color w:val="auto"/>
              </w:rPr>
            </w:pPr>
          </w:p>
        </w:tc>
        <w:tc>
          <w:tcPr>
            <w:tcW w:w="282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6,400.00</w:t>
            </w:r>
          </w:p>
        </w:tc>
        <w:tc>
          <w:tcPr>
            <w:tcW w:w="278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7.25%</w:t>
            </w:r>
          </w:p>
        </w:tc>
      </w:tr>
      <w:tr>
        <w:trPr>
          <w:trHeight w:val="223"/>
        </w:trPr>
        <w:tc>
          <w:tcPr>
            <w:tcW w:w="1280" w:type="dxa"/>
            <w:vAlign w:val="bottom"/>
            <w:tcBorders>
              <w:left w:val="single" w:sz="8" w:color="auto"/>
              <w:bottom w:val="single" w:sz="8" w:color="auto"/>
            </w:tcBorders>
          </w:tcPr>
          <w:p>
            <w:pPr>
              <w:spacing w:after="0"/>
              <w:rPr>
                <w:sz w:val="19"/>
                <w:szCs w:val="19"/>
                <w:color w:val="auto"/>
              </w:rPr>
            </w:pPr>
          </w:p>
        </w:tc>
        <w:tc>
          <w:tcPr>
            <w:tcW w:w="3400" w:type="dxa"/>
            <w:vAlign w:val="bottom"/>
            <w:tcBorders>
              <w:bottom w:val="single" w:sz="8" w:color="auto"/>
            </w:tcBorders>
          </w:tcPr>
          <w:p>
            <w:pPr>
              <w:ind w:left="1340"/>
              <w:spacing w:after="0"/>
              <w:rPr>
                <w:sz w:val="20"/>
                <w:szCs w:val="20"/>
                <w:color w:val="auto"/>
              </w:rPr>
            </w:pPr>
            <w:r>
              <w:rPr>
                <w:rFonts w:ascii="Arial" w:cs="Arial" w:eastAsia="Arial" w:hAnsi="Arial"/>
                <w:sz w:val="18"/>
                <w:szCs w:val="18"/>
                <w:b w:val="1"/>
                <w:bCs w:val="1"/>
                <w:color w:val="auto"/>
              </w:rPr>
              <w:t>Total</w:t>
            </w:r>
          </w:p>
        </w:tc>
        <w:tc>
          <w:tcPr>
            <w:tcW w:w="960" w:type="dxa"/>
            <w:vAlign w:val="bottom"/>
            <w:tcBorders>
              <w:bottom w:val="single" w:sz="8" w:color="auto"/>
              <w:right w:val="single" w:sz="8" w:color="auto"/>
            </w:tcBorders>
          </w:tcPr>
          <w:p>
            <w:pPr>
              <w:spacing w:after="0"/>
              <w:rPr>
                <w:sz w:val="19"/>
                <w:szCs w:val="19"/>
                <w:color w:val="auto"/>
              </w:rPr>
            </w:pPr>
          </w:p>
        </w:tc>
        <w:tc>
          <w:tcPr>
            <w:tcW w:w="282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b w:val="1"/>
                <w:bCs w:val="1"/>
                <w:color w:val="auto"/>
              </w:rPr>
              <w:t>88,245.00</w:t>
            </w:r>
          </w:p>
        </w:tc>
        <w:tc>
          <w:tcPr>
            <w:tcW w:w="278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b w:val="1"/>
                <w:bCs w:val="1"/>
                <w:color w:val="auto"/>
              </w:rPr>
              <w:t>100.00%</w:t>
            </w:r>
          </w:p>
        </w:tc>
      </w:tr>
      <w:tr>
        <w:trPr>
          <w:trHeight w:val="582"/>
        </w:trPr>
        <w:tc>
          <w:tcPr>
            <w:tcW w:w="1280" w:type="dxa"/>
            <w:vAlign w:val="bottom"/>
          </w:tcPr>
          <w:p>
            <w:pPr>
              <w:spacing w:after="0"/>
              <w:rPr>
                <w:sz w:val="24"/>
                <w:szCs w:val="24"/>
                <w:color w:val="auto"/>
              </w:rPr>
            </w:pPr>
          </w:p>
        </w:tc>
        <w:tc>
          <w:tcPr>
            <w:tcW w:w="3400" w:type="dxa"/>
            <w:vAlign w:val="bottom"/>
          </w:tcPr>
          <w:p>
            <w:pPr>
              <w:spacing w:after="0"/>
              <w:rPr>
                <w:sz w:val="24"/>
                <w:szCs w:val="24"/>
                <w:color w:val="auto"/>
              </w:rPr>
            </w:pPr>
          </w:p>
        </w:tc>
        <w:tc>
          <w:tcPr>
            <w:tcW w:w="3780" w:type="dxa"/>
            <w:vAlign w:val="bottom"/>
            <w:gridSpan w:val="2"/>
          </w:tcPr>
          <w:p>
            <w:pPr>
              <w:jc w:val="right"/>
              <w:ind w:right="2490"/>
              <w:spacing w:after="0"/>
              <w:rPr>
                <w:sz w:val="20"/>
                <w:szCs w:val="20"/>
                <w:color w:val="auto"/>
              </w:rPr>
            </w:pPr>
            <w:r>
              <w:rPr>
                <w:rFonts w:ascii="Arial" w:cs="Arial" w:eastAsia="Arial" w:hAnsi="Arial"/>
                <w:sz w:val="14"/>
                <w:szCs w:val="14"/>
                <w:color w:val="auto"/>
              </w:rPr>
              <w:t>8-4-1-48</w:t>
            </w:r>
          </w:p>
        </w:tc>
        <w:tc>
          <w:tcPr>
            <w:tcW w:w="2780" w:type="dxa"/>
            <w:vAlign w:val="bottom"/>
          </w:tcPr>
          <w:p>
            <w:pPr>
              <w:spacing w:after="0"/>
              <w:rPr>
                <w:sz w:val="24"/>
                <w:szCs w:val="24"/>
                <w:color w:val="auto"/>
              </w:rPr>
            </w:pPr>
          </w:p>
        </w:tc>
      </w:tr>
      <w:tr>
        <w:trPr>
          <w:trHeight w:val="46"/>
        </w:trPr>
        <w:tc>
          <w:tcPr>
            <w:tcW w:w="1280" w:type="dxa"/>
            <w:vAlign w:val="bottom"/>
            <w:tcBorders>
              <w:bottom w:val="single" w:sz="8" w:color="auto"/>
            </w:tcBorders>
          </w:tcPr>
          <w:p>
            <w:pPr>
              <w:spacing w:after="0"/>
              <w:rPr>
                <w:sz w:val="4"/>
                <w:szCs w:val="4"/>
                <w:color w:val="auto"/>
              </w:rPr>
            </w:pPr>
          </w:p>
        </w:tc>
        <w:tc>
          <w:tcPr>
            <w:tcW w:w="3400" w:type="dxa"/>
            <w:vAlign w:val="bottom"/>
            <w:tcBorders>
              <w:bottom w:val="single" w:sz="8" w:color="auto"/>
            </w:tcBorders>
          </w:tcPr>
          <w:p>
            <w:pPr>
              <w:spacing w:after="0"/>
              <w:rPr>
                <w:sz w:val="4"/>
                <w:szCs w:val="4"/>
                <w:color w:val="auto"/>
              </w:rPr>
            </w:pPr>
          </w:p>
        </w:tc>
        <w:tc>
          <w:tcPr>
            <w:tcW w:w="960" w:type="dxa"/>
            <w:vAlign w:val="bottom"/>
            <w:tcBorders>
              <w:bottom w:val="single" w:sz="8" w:color="auto"/>
            </w:tcBorders>
          </w:tcPr>
          <w:p>
            <w:pPr>
              <w:spacing w:after="0"/>
              <w:rPr>
                <w:sz w:val="4"/>
                <w:szCs w:val="4"/>
                <w:color w:val="auto"/>
              </w:rPr>
            </w:pPr>
          </w:p>
        </w:tc>
        <w:tc>
          <w:tcPr>
            <w:tcW w:w="2820" w:type="dxa"/>
            <w:vAlign w:val="bottom"/>
            <w:tcBorders>
              <w:bottom w:val="single" w:sz="8" w:color="auto"/>
            </w:tcBorders>
          </w:tcPr>
          <w:p>
            <w:pPr>
              <w:spacing w:after="0"/>
              <w:rPr>
                <w:sz w:val="4"/>
                <w:szCs w:val="4"/>
                <w:color w:val="auto"/>
              </w:rPr>
            </w:pPr>
          </w:p>
        </w:tc>
        <w:tc>
          <w:tcPr>
            <w:tcW w:w="2780" w:type="dxa"/>
            <w:vAlign w:val="bottom"/>
            <w:tcBorders>
              <w:bottom w:val="single" w:sz="8" w:color="auto"/>
            </w:tcBorders>
          </w:tcPr>
          <w:p>
            <w:pPr>
              <w:spacing w:after="0"/>
              <w:rPr>
                <w:sz w:val="4"/>
                <w:szCs w:val="4"/>
                <w:color w:val="auto"/>
              </w:rPr>
            </w:pPr>
          </w:p>
        </w:tc>
      </w:tr>
    </w:tbl>
    <w:p>
      <w:pPr>
        <w:sectPr>
          <w:pgSz w:w="11900" w:h="16838" w:orient="portrait"/>
          <w:cols w:equalWidth="0" w:num="1">
            <w:col w:w="11240"/>
          </w:cols>
          <w:pgMar w:left="320" w:top="112" w:right="339" w:bottom="1440" w:gutter="0" w:footer="0" w:header="0"/>
        </w:sectPr>
      </w:pPr>
    </w:p>
    <w:bookmarkStart w:id="52" w:name="page53"/>
    <w:bookmarkEnd w:id="52"/>
    <w:p>
      <w:pPr>
        <w:jc w:val="both"/>
        <w:ind w:firstLine="324"/>
        <w:spacing w:after="0" w:line="291" w:lineRule="auto"/>
        <w:rPr>
          <w:sz w:val="20"/>
          <w:szCs w:val="20"/>
          <w:color w:val="auto"/>
        </w:rPr>
      </w:pPr>
      <w:r>
        <w:rPr>
          <w:rFonts w:ascii="Arial" w:cs="Arial" w:eastAsia="Arial" w:hAnsi="Arial"/>
          <w:sz w:val="16"/>
          <w:szCs w:val="16"/>
          <w:color w:val="auto"/>
        </w:rPr>
        <w:t>Located in the Lingang Special Area of Shanghai, the project will be built as the Company’s future production and R&amp;D base. On the one hand, the Issuer will import the developed equipment and related technologies into production, and purchase relevant production and testing equipment, to build a demonstration base of advanced and intelligent manufacturing. On the other hand, it will, based on the core electronic control and software module technology of wet process equipment such as advanced megasonic single-wafer cleaning equipment, and the introduction of advanced process hardware module and process technology of first-class team from abroad, rapidly realize the integrated development and production of wet bench cleaning equipment, vertical furnace tube equipment (annealing furnace, oxidation furnace, LPCVD, ALD) and other related process equipment, thereby expanding and establishing the product lines with a complete variety of wet and dry process equipment to cope with the continuous growth of orders across the world.</w:t>
      </w:r>
    </w:p>
    <w:p>
      <w:pPr>
        <w:spacing w:after="0" w:line="186" w:lineRule="exact"/>
        <w:rPr>
          <w:sz w:val="20"/>
          <w:szCs w:val="20"/>
          <w:color w:val="auto"/>
        </w:rPr>
      </w:pPr>
    </w:p>
    <w:p>
      <w:pPr>
        <w:jc w:val="both"/>
        <w:ind w:firstLine="324"/>
        <w:spacing w:after="0" w:line="250" w:lineRule="auto"/>
        <w:rPr>
          <w:sz w:val="20"/>
          <w:szCs w:val="20"/>
          <w:color w:val="auto"/>
        </w:rPr>
      </w:pPr>
      <w:r>
        <w:rPr>
          <w:rFonts w:ascii="Arial" w:cs="Arial" w:eastAsia="Arial" w:hAnsi="Arial"/>
          <w:sz w:val="22"/>
          <w:szCs w:val="22"/>
          <w:color w:val="auto"/>
        </w:rPr>
        <w:t>After the installation of plant, machinery and equipment in the project, the Company’s R&amp;D and trial production expenses are as follows:</w:t>
      </w:r>
    </w:p>
    <w:p>
      <w:pPr>
        <w:spacing w:after="0" w:line="202" w:lineRule="exact"/>
        <w:rPr>
          <w:sz w:val="20"/>
          <w:szCs w:val="20"/>
          <w:color w:val="auto"/>
        </w:rPr>
      </w:pPr>
    </w:p>
    <w:tbl>
      <w:tblPr>
        <w:tblLayout w:type="fixed"/>
        <w:tblInd w:w="10" w:type="dxa"/>
        <w:tblCellMar>
          <w:top w:w="0" w:type="dxa"/>
          <w:left w:w="0" w:type="dxa"/>
          <w:bottom w:w="0" w:type="dxa"/>
          <w:right w:w="0" w:type="dxa"/>
        </w:tblCellMar>
      </w:tblPr>
      <w:tr>
        <w:trPr>
          <w:trHeight w:val="274"/>
        </w:trPr>
        <w:tc>
          <w:tcPr>
            <w:tcW w:w="2940" w:type="dxa"/>
            <w:vAlign w:val="bottom"/>
          </w:tcPr>
          <w:p>
            <w:pPr>
              <w:spacing w:after="0"/>
              <w:rPr>
                <w:sz w:val="23"/>
                <w:szCs w:val="23"/>
                <w:color w:val="auto"/>
              </w:rPr>
            </w:pPr>
          </w:p>
        </w:tc>
        <w:tc>
          <w:tcPr>
            <w:tcW w:w="158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1700" w:type="dxa"/>
            <w:vAlign w:val="bottom"/>
          </w:tcPr>
          <w:p>
            <w:pPr>
              <w:spacing w:after="0"/>
              <w:rPr>
                <w:sz w:val="23"/>
                <w:szCs w:val="23"/>
                <w:color w:val="auto"/>
              </w:rPr>
            </w:pPr>
          </w:p>
        </w:tc>
        <w:tc>
          <w:tcPr>
            <w:tcW w:w="1720" w:type="dxa"/>
            <w:vAlign w:val="bottom"/>
          </w:tcPr>
          <w:p>
            <w:pPr>
              <w:spacing w:after="0"/>
              <w:rPr>
                <w:sz w:val="23"/>
                <w:szCs w:val="23"/>
                <w:color w:val="auto"/>
              </w:rPr>
            </w:pPr>
          </w:p>
        </w:tc>
        <w:tc>
          <w:tcPr>
            <w:tcW w:w="1620" w:type="dxa"/>
            <w:vAlign w:val="bottom"/>
          </w:tcPr>
          <w:p>
            <w:pPr>
              <w:jc w:val="right"/>
              <w:spacing w:after="0"/>
              <w:rPr>
                <w:sz w:val="20"/>
                <w:szCs w:val="20"/>
                <w:color w:val="auto"/>
              </w:rPr>
            </w:pPr>
            <w:r>
              <w:rPr>
                <w:rFonts w:ascii="Arial" w:cs="Arial" w:eastAsia="Arial" w:hAnsi="Arial"/>
                <w:sz w:val="22"/>
                <w:szCs w:val="22"/>
                <w:color w:val="auto"/>
                <w:w w:val="95"/>
              </w:rPr>
              <w:t>Unit: RMB10,000</w:t>
            </w:r>
          </w:p>
        </w:tc>
      </w:tr>
      <w:tr>
        <w:trPr>
          <w:trHeight w:val="240"/>
        </w:trPr>
        <w:tc>
          <w:tcPr>
            <w:tcW w:w="2940" w:type="dxa"/>
            <w:vAlign w:val="bottom"/>
            <w:tcBorders>
              <w:bottom w:val="single" w:sz="8" w:color="auto"/>
            </w:tcBorders>
          </w:tcPr>
          <w:p>
            <w:pPr>
              <w:spacing w:after="0"/>
              <w:rPr>
                <w:sz w:val="20"/>
                <w:szCs w:val="20"/>
                <w:color w:val="auto"/>
              </w:rPr>
            </w:pPr>
          </w:p>
        </w:tc>
        <w:tc>
          <w:tcPr>
            <w:tcW w:w="158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spacing w:after="0"/>
              <w:rPr>
                <w:sz w:val="20"/>
                <w:szCs w:val="20"/>
                <w:color w:val="auto"/>
              </w:rPr>
            </w:pPr>
          </w:p>
        </w:tc>
        <w:tc>
          <w:tcPr>
            <w:tcW w:w="680" w:type="dxa"/>
            <w:vAlign w:val="bottom"/>
            <w:tcBorders>
              <w:bottom w:val="single" w:sz="8" w:color="auto"/>
            </w:tcBorders>
          </w:tcPr>
          <w:p>
            <w:pPr>
              <w:spacing w:after="0"/>
              <w:rPr>
                <w:sz w:val="20"/>
                <w:szCs w:val="20"/>
                <w:color w:val="auto"/>
              </w:rPr>
            </w:pPr>
          </w:p>
        </w:tc>
        <w:tc>
          <w:tcPr>
            <w:tcW w:w="1700" w:type="dxa"/>
            <w:vAlign w:val="bottom"/>
            <w:tcBorders>
              <w:bottom w:val="single" w:sz="8" w:color="auto"/>
            </w:tcBorders>
          </w:tcPr>
          <w:p>
            <w:pPr>
              <w:spacing w:after="0"/>
              <w:rPr>
                <w:sz w:val="20"/>
                <w:szCs w:val="20"/>
                <w:color w:val="auto"/>
              </w:rPr>
            </w:pPr>
          </w:p>
        </w:tc>
        <w:tc>
          <w:tcPr>
            <w:tcW w:w="1720" w:type="dxa"/>
            <w:vAlign w:val="bottom"/>
            <w:tcBorders>
              <w:bottom w:val="single" w:sz="8" w:color="auto"/>
            </w:tcBorders>
          </w:tcPr>
          <w:p>
            <w:pPr>
              <w:spacing w:after="0"/>
              <w:rPr>
                <w:sz w:val="20"/>
                <w:szCs w:val="20"/>
                <w:color w:val="auto"/>
              </w:rPr>
            </w:pPr>
          </w:p>
        </w:tc>
        <w:tc>
          <w:tcPr>
            <w:tcW w:w="1620" w:type="dxa"/>
            <w:vAlign w:val="bottom"/>
            <w:tcBorders>
              <w:bottom w:val="single" w:sz="8" w:color="auto"/>
            </w:tcBorders>
          </w:tcPr>
          <w:p>
            <w:pPr>
              <w:spacing w:after="0"/>
              <w:rPr>
                <w:sz w:val="20"/>
                <w:szCs w:val="20"/>
                <w:color w:val="auto"/>
              </w:rPr>
            </w:pPr>
          </w:p>
        </w:tc>
      </w:tr>
      <w:tr>
        <w:trPr>
          <w:trHeight w:val="223"/>
        </w:trPr>
        <w:tc>
          <w:tcPr>
            <w:tcW w:w="294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88"/>
              </w:rPr>
              <w:t>Classification</w:t>
            </w:r>
          </w:p>
        </w:tc>
        <w:tc>
          <w:tcPr>
            <w:tcW w:w="1580" w:type="dxa"/>
            <w:vAlign w:val="bottom"/>
            <w:tcBorders>
              <w:bottom w:val="single" w:sz="8" w:color="auto"/>
              <w:right w:val="single" w:sz="8" w:color="auto"/>
            </w:tcBorders>
          </w:tcPr>
          <w:p>
            <w:pPr>
              <w:jc w:val="right"/>
              <w:ind w:right="550"/>
              <w:spacing w:after="0"/>
              <w:rPr>
                <w:sz w:val="20"/>
                <w:szCs w:val="20"/>
                <w:color w:val="auto"/>
              </w:rPr>
            </w:pPr>
            <w:r>
              <w:rPr>
                <w:rFonts w:ascii="Arial" w:cs="Arial" w:eastAsia="Arial" w:hAnsi="Arial"/>
                <w:sz w:val="18"/>
                <w:szCs w:val="18"/>
                <w:b w:val="1"/>
                <w:bCs w:val="1"/>
                <w:color w:val="auto"/>
              </w:rPr>
              <w:t>T+4</w:t>
            </w:r>
          </w:p>
        </w:tc>
        <w:tc>
          <w:tcPr>
            <w:tcW w:w="1000" w:type="dxa"/>
            <w:vAlign w:val="bottom"/>
            <w:tcBorders>
              <w:bottom w:val="single" w:sz="8" w:color="auto"/>
            </w:tcBorders>
          </w:tcPr>
          <w:p>
            <w:pPr>
              <w:ind w:left="680"/>
              <w:spacing w:after="0"/>
              <w:rPr>
                <w:sz w:val="20"/>
                <w:szCs w:val="20"/>
                <w:color w:val="auto"/>
              </w:rPr>
            </w:pPr>
            <w:r>
              <w:rPr>
                <w:rFonts w:ascii="Arial" w:cs="Arial" w:eastAsia="Arial" w:hAnsi="Arial"/>
                <w:sz w:val="18"/>
                <w:szCs w:val="18"/>
                <w:b w:val="1"/>
                <w:bCs w:val="1"/>
                <w:color w:val="auto"/>
                <w:w w:val="95"/>
              </w:rPr>
              <w:t>T+5</w:t>
            </w:r>
          </w:p>
        </w:tc>
        <w:tc>
          <w:tcPr>
            <w:tcW w:w="680" w:type="dxa"/>
            <w:vAlign w:val="bottom"/>
            <w:tcBorders>
              <w:bottom w:val="single" w:sz="8" w:color="auto"/>
              <w:right w:val="single" w:sz="8" w:color="auto"/>
            </w:tcBorders>
          </w:tcPr>
          <w:p>
            <w:pPr>
              <w:spacing w:after="0"/>
              <w:rPr>
                <w:sz w:val="19"/>
                <w:szCs w:val="19"/>
                <w:color w:val="auto"/>
              </w:rPr>
            </w:pPr>
          </w:p>
        </w:tc>
        <w:tc>
          <w:tcPr>
            <w:tcW w:w="1700" w:type="dxa"/>
            <w:vAlign w:val="bottom"/>
            <w:tcBorders>
              <w:bottom w:val="single" w:sz="8" w:color="auto"/>
              <w:right w:val="single" w:sz="8" w:color="auto"/>
            </w:tcBorders>
          </w:tcPr>
          <w:p>
            <w:pPr>
              <w:jc w:val="right"/>
              <w:ind w:right="610"/>
              <w:spacing w:after="0"/>
              <w:rPr>
                <w:sz w:val="20"/>
                <w:szCs w:val="20"/>
                <w:color w:val="auto"/>
              </w:rPr>
            </w:pPr>
            <w:r>
              <w:rPr>
                <w:rFonts w:ascii="Arial" w:cs="Arial" w:eastAsia="Arial" w:hAnsi="Arial"/>
                <w:sz w:val="18"/>
                <w:szCs w:val="18"/>
                <w:b w:val="1"/>
                <w:bCs w:val="1"/>
                <w:color w:val="auto"/>
              </w:rPr>
              <w:t>T+6</w:t>
            </w:r>
          </w:p>
        </w:tc>
        <w:tc>
          <w:tcPr>
            <w:tcW w:w="1720" w:type="dxa"/>
            <w:vAlign w:val="bottom"/>
            <w:tcBorders>
              <w:bottom w:val="single" w:sz="8" w:color="auto"/>
              <w:right w:val="single" w:sz="8" w:color="auto"/>
            </w:tcBorders>
          </w:tcPr>
          <w:p>
            <w:pPr>
              <w:jc w:val="right"/>
              <w:ind w:right="630"/>
              <w:spacing w:after="0"/>
              <w:rPr>
                <w:sz w:val="20"/>
                <w:szCs w:val="20"/>
                <w:color w:val="auto"/>
              </w:rPr>
            </w:pPr>
            <w:r>
              <w:rPr>
                <w:rFonts w:ascii="Arial" w:cs="Arial" w:eastAsia="Arial" w:hAnsi="Arial"/>
                <w:sz w:val="18"/>
                <w:szCs w:val="18"/>
                <w:b w:val="1"/>
                <w:bCs w:val="1"/>
                <w:color w:val="auto"/>
              </w:rPr>
              <w:t>T+7</w:t>
            </w:r>
          </w:p>
        </w:tc>
        <w:tc>
          <w:tcPr>
            <w:tcW w:w="1620" w:type="dxa"/>
            <w:vAlign w:val="bottom"/>
            <w:tcBorders>
              <w:bottom w:val="single" w:sz="8" w:color="auto"/>
              <w:right w:val="single" w:sz="8" w:color="auto"/>
            </w:tcBorders>
          </w:tcPr>
          <w:p>
            <w:pPr>
              <w:jc w:val="right"/>
              <w:ind w:right="528"/>
              <w:spacing w:after="0"/>
              <w:rPr>
                <w:sz w:val="20"/>
                <w:szCs w:val="20"/>
                <w:color w:val="auto"/>
              </w:rPr>
            </w:pPr>
            <w:r>
              <w:rPr>
                <w:rFonts w:ascii="Arial" w:cs="Arial" w:eastAsia="Arial" w:hAnsi="Arial"/>
                <w:sz w:val="18"/>
                <w:szCs w:val="18"/>
                <w:b w:val="1"/>
                <w:bCs w:val="1"/>
                <w:color w:val="auto"/>
              </w:rPr>
              <w:t>Total</w:t>
            </w:r>
          </w:p>
        </w:tc>
      </w:tr>
      <w:tr>
        <w:trPr>
          <w:trHeight w:val="223"/>
        </w:trPr>
        <w:tc>
          <w:tcPr>
            <w:tcW w:w="294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0"/>
              </w:rPr>
              <w:t>Development or design</w:t>
            </w:r>
          </w:p>
        </w:tc>
        <w:tc>
          <w:tcPr>
            <w:tcW w:w="158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1,166.81</w:t>
            </w:r>
          </w:p>
        </w:tc>
        <w:tc>
          <w:tcPr>
            <w:tcW w:w="1000" w:type="dxa"/>
            <w:vAlign w:val="bottom"/>
            <w:tcBorders>
              <w:bottom w:val="single" w:sz="8" w:color="auto"/>
            </w:tcBorders>
          </w:tcPr>
          <w:p>
            <w:pPr>
              <w:spacing w:after="0"/>
              <w:rPr>
                <w:sz w:val="19"/>
                <w:szCs w:val="19"/>
                <w:color w:val="auto"/>
              </w:rPr>
            </w:pPr>
          </w:p>
        </w:tc>
        <w:tc>
          <w:tcPr>
            <w:tcW w:w="68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color w:val="auto"/>
                <w:w w:val="91"/>
              </w:rPr>
              <w:t>1,403.65</w:t>
            </w:r>
          </w:p>
        </w:tc>
        <w:tc>
          <w:tcPr>
            <w:tcW w:w="170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1,689.24</w:t>
            </w:r>
          </w:p>
        </w:tc>
        <w:tc>
          <w:tcPr>
            <w:tcW w:w="172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2,032.66</w:t>
            </w:r>
          </w:p>
        </w:tc>
        <w:tc>
          <w:tcPr>
            <w:tcW w:w="162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6,292.36</w:t>
            </w:r>
          </w:p>
        </w:tc>
      </w:tr>
      <w:tr>
        <w:trPr>
          <w:trHeight w:val="223"/>
        </w:trPr>
        <w:tc>
          <w:tcPr>
            <w:tcW w:w="294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3"/>
              </w:rPr>
              <w:t>Raw materials for trial production</w:t>
            </w:r>
          </w:p>
        </w:tc>
        <w:tc>
          <w:tcPr>
            <w:tcW w:w="158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5,056.16</w:t>
            </w:r>
          </w:p>
        </w:tc>
        <w:tc>
          <w:tcPr>
            <w:tcW w:w="1000" w:type="dxa"/>
            <w:vAlign w:val="bottom"/>
            <w:tcBorders>
              <w:bottom w:val="single" w:sz="8" w:color="auto"/>
            </w:tcBorders>
          </w:tcPr>
          <w:p>
            <w:pPr>
              <w:spacing w:after="0"/>
              <w:rPr>
                <w:sz w:val="19"/>
                <w:szCs w:val="19"/>
                <w:color w:val="auto"/>
              </w:rPr>
            </w:pPr>
          </w:p>
        </w:tc>
        <w:tc>
          <w:tcPr>
            <w:tcW w:w="68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color w:val="auto"/>
                <w:w w:val="91"/>
              </w:rPr>
              <w:t>6,082.47</w:t>
            </w:r>
          </w:p>
        </w:tc>
        <w:tc>
          <w:tcPr>
            <w:tcW w:w="170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7,320.06</w:t>
            </w:r>
          </w:p>
        </w:tc>
        <w:tc>
          <w:tcPr>
            <w:tcW w:w="172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8,808.18</w:t>
            </w:r>
          </w:p>
        </w:tc>
        <w:tc>
          <w:tcPr>
            <w:tcW w:w="162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27,266.87</w:t>
            </w:r>
          </w:p>
        </w:tc>
      </w:tr>
      <w:tr>
        <w:trPr>
          <w:trHeight w:val="223"/>
        </w:trPr>
        <w:tc>
          <w:tcPr>
            <w:tcW w:w="294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2"/>
              </w:rPr>
              <w:t>Fuel and power for trial production</w:t>
            </w:r>
          </w:p>
        </w:tc>
        <w:tc>
          <w:tcPr>
            <w:tcW w:w="158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388.94</w:t>
            </w:r>
          </w:p>
        </w:tc>
        <w:tc>
          <w:tcPr>
            <w:tcW w:w="1000" w:type="dxa"/>
            <w:vAlign w:val="bottom"/>
            <w:tcBorders>
              <w:bottom w:val="single" w:sz="8" w:color="auto"/>
            </w:tcBorders>
          </w:tcPr>
          <w:p>
            <w:pPr>
              <w:spacing w:after="0"/>
              <w:rPr>
                <w:sz w:val="19"/>
                <w:szCs w:val="19"/>
                <w:color w:val="auto"/>
              </w:rPr>
            </w:pPr>
          </w:p>
        </w:tc>
        <w:tc>
          <w:tcPr>
            <w:tcW w:w="68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467.88</w:t>
            </w:r>
          </w:p>
        </w:tc>
        <w:tc>
          <w:tcPr>
            <w:tcW w:w="170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563.08</w:t>
            </w:r>
          </w:p>
        </w:tc>
        <w:tc>
          <w:tcPr>
            <w:tcW w:w="172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573.53</w:t>
            </w:r>
          </w:p>
        </w:tc>
        <w:tc>
          <w:tcPr>
            <w:tcW w:w="162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1,993.43</w:t>
            </w:r>
          </w:p>
        </w:tc>
      </w:tr>
      <w:tr>
        <w:trPr>
          <w:trHeight w:val="223"/>
        </w:trPr>
        <w:tc>
          <w:tcPr>
            <w:tcW w:w="294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0"/>
              </w:rPr>
              <w:t>Test (or inspection)</w:t>
            </w:r>
          </w:p>
        </w:tc>
        <w:tc>
          <w:tcPr>
            <w:tcW w:w="158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388.94</w:t>
            </w:r>
          </w:p>
        </w:tc>
        <w:tc>
          <w:tcPr>
            <w:tcW w:w="1000" w:type="dxa"/>
            <w:vAlign w:val="bottom"/>
            <w:tcBorders>
              <w:bottom w:val="single" w:sz="8" w:color="auto"/>
            </w:tcBorders>
          </w:tcPr>
          <w:p>
            <w:pPr>
              <w:spacing w:after="0"/>
              <w:rPr>
                <w:sz w:val="19"/>
                <w:szCs w:val="19"/>
                <w:color w:val="auto"/>
              </w:rPr>
            </w:pPr>
          </w:p>
        </w:tc>
        <w:tc>
          <w:tcPr>
            <w:tcW w:w="68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467.88</w:t>
            </w:r>
          </w:p>
        </w:tc>
        <w:tc>
          <w:tcPr>
            <w:tcW w:w="170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563.08</w:t>
            </w:r>
          </w:p>
        </w:tc>
        <w:tc>
          <w:tcPr>
            <w:tcW w:w="172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677.55</w:t>
            </w:r>
          </w:p>
        </w:tc>
        <w:tc>
          <w:tcPr>
            <w:tcW w:w="162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2,097.45</w:t>
            </w:r>
          </w:p>
        </w:tc>
      </w:tr>
      <w:tr>
        <w:trPr>
          <w:trHeight w:val="223"/>
        </w:trPr>
        <w:tc>
          <w:tcPr>
            <w:tcW w:w="294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5"/>
              </w:rPr>
              <w:t>Other R&amp;D</w:t>
            </w:r>
          </w:p>
        </w:tc>
        <w:tc>
          <w:tcPr>
            <w:tcW w:w="158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777.87</w:t>
            </w:r>
          </w:p>
        </w:tc>
        <w:tc>
          <w:tcPr>
            <w:tcW w:w="1000" w:type="dxa"/>
            <w:vAlign w:val="bottom"/>
            <w:tcBorders>
              <w:bottom w:val="single" w:sz="8" w:color="auto"/>
            </w:tcBorders>
          </w:tcPr>
          <w:p>
            <w:pPr>
              <w:spacing w:after="0"/>
              <w:rPr>
                <w:sz w:val="19"/>
                <w:szCs w:val="19"/>
                <w:color w:val="auto"/>
              </w:rPr>
            </w:pPr>
          </w:p>
        </w:tc>
        <w:tc>
          <w:tcPr>
            <w:tcW w:w="68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935.76</w:t>
            </w:r>
          </w:p>
        </w:tc>
        <w:tc>
          <w:tcPr>
            <w:tcW w:w="170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1,126.16</w:t>
            </w:r>
          </w:p>
        </w:tc>
        <w:tc>
          <w:tcPr>
            <w:tcW w:w="172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1,355.10</w:t>
            </w:r>
          </w:p>
        </w:tc>
        <w:tc>
          <w:tcPr>
            <w:tcW w:w="162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4,194.89</w:t>
            </w:r>
          </w:p>
        </w:tc>
      </w:tr>
      <w:tr>
        <w:trPr>
          <w:trHeight w:val="223"/>
        </w:trPr>
        <w:tc>
          <w:tcPr>
            <w:tcW w:w="294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Sub-total</w:t>
            </w:r>
          </w:p>
        </w:tc>
        <w:tc>
          <w:tcPr>
            <w:tcW w:w="158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b w:val="1"/>
                <w:bCs w:val="1"/>
                <w:color w:val="auto"/>
              </w:rPr>
              <w:t>7,778.72</w:t>
            </w:r>
          </w:p>
        </w:tc>
        <w:tc>
          <w:tcPr>
            <w:tcW w:w="1000" w:type="dxa"/>
            <w:vAlign w:val="bottom"/>
            <w:tcBorders>
              <w:bottom w:val="single" w:sz="8" w:color="auto"/>
            </w:tcBorders>
          </w:tcPr>
          <w:p>
            <w:pPr>
              <w:spacing w:after="0"/>
              <w:rPr>
                <w:sz w:val="19"/>
                <w:szCs w:val="19"/>
                <w:color w:val="auto"/>
              </w:rPr>
            </w:pPr>
          </w:p>
        </w:tc>
        <w:tc>
          <w:tcPr>
            <w:tcW w:w="68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b w:val="1"/>
                <w:bCs w:val="1"/>
                <w:color w:val="auto"/>
                <w:w w:val="91"/>
              </w:rPr>
              <w:t>9,357.64</w:t>
            </w:r>
          </w:p>
        </w:tc>
        <w:tc>
          <w:tcPr>
            <w:tcW w:w="170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b w:val="1"/>
                <w:bCs w:val="1"/>
                <w:color w:val="auto"/>
              </w:rPr>
              <w:t>11,261.62</w:t>
            </w:r>
          </w:p>
        </w:tc>
        <w:tc>
          <w:tcPr>
            <w:tcW w:w="172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b w:val="1"/>
                <w:bCs w:val="1"/>
                <w:color w:val="auto"/>
              </w:rPr>
              <w:t>13,447.02</w:t>
            </w:r>
          </w:p>
        </w:tc>
        <w:tc>
          <w:tcPr>
            <w:tcW w:w="162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b w:val="1"/>
                <w:bCs w:val="1"/>
                <w:color w:val="auto"/>
              </w:rPr>
              <w:t>41,845.00</w:t>
            </w:r>
          </w:p>
        </w:tc>
      </w:tr>
    </w:tbl>
    <w:p>
      <w:pPr>
        <w:spacing w:after="0" w:line="229"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7"/>
          <w:szCs w:val="17"/>
          <w:color w:val="auto"/>
        </w:rPr>
        <w:t>As mentioned above, the construction period of the Company’s project “ACMSH Equipment R&amp;D and Manufacturing Center” is 36 months. According to the medium and long-term planning of its own R&amp;D and business, the Company has planned about 3 to 5 years of future R&amp;D investment in the project, with the trial production cost including the cost of manufacturing a variety of prototypes for R&amp;D, which is reasonable.</w:t>
      </w:r>
    </w:p>
    <w:p>
      <w:pPr>
        <w:spacing w:after="0" w:line="188" w:lineRule="exact"/>
        <w:rPr>
          <w:sz w:val="20"/>
          <w:szCs w:val="20"/>
          <w:color w:val="auto"/>
        </w:rPr>
      </w:pPr>
    </w:p>
    <w:p>
      <w:pPr>
        <w:ind w:left="560" w:hanging="228"/>
        <w:spacing w:after="0"/>
        <w:tabs>
          <w:tab w:leader="none" w:pos="560" w:val="left"/>
        </w:tabs>
        <w:numPr>
          <w:ilvl w:val="0"/>
          <w:numId w:val="47"/>
        </w:numPr>
        <w:rPr>
          <w:rFonts w:ascii="Arial" w:cs="Arial" w:eastAsia="Arial" w:hAnsi="Arial"/>
          <w:sz w:val="18"/>
          <w:szCs w:val="18"/>
          <w:b w:val="1"/>
          <w:bCs w:val="1"/>
          <w:color w:val="auto"/>
        </w:rPr>
      </w:pPr>
      <w:r>
        <w:rPr>
          <w:rFonts w:ascii="Arial" w:cs="Arial" w:eastAsia="Arial" w:hAnsi="Arial"/>
          <w:sz w:val="18"/>
          <w:szCs w:val="18"/>
          <w:b w:val="1"/>
          <w:bCs w:val="1"/>
          <w:color w:val="auto"/>
        </w:rPr>
        <w:t>Verification Procedures and Opinions</w:t>
      </w:r>
    </w:p>
    <w:p>
      <w:pPr>
        <w:spacing w:after="0" w:line="252" w:lineRule="exact"/>
        <w:rPr>
          <w:rFonts w:ascii="Arial" w:cs="Arial" w:eastAsia="Arial" w:hAnsi="Arial"/>
          <w:sz w:val="18"/>
          <w:szCs w:val="18"/>
          <w:b w:val="1"/>
          <w:bCs w:val="1"/>
          <w:color w:val="auto"/>
        </w:rPr>
      </w:pPr>
    </w:p>
    <w:p>
      <w:pPr>
        <w:ind w:left="340"/>
        <w:spacing w:after="0"/>
        <w:rPr>
          <w:rFonts w:ascii="Arial" w:cs="Arial" w:eastAsia="Arial" w:hAnsi="Arial"/>
          <w:sz w:val="18"/>
          <w:szCs w:val="18"/>
          <w:b w:val="1"/>
          <w:bCs w:val="1"/>
          <w:color w:val="auto"/>
        </w:rPr>
      </w:pPr>
      <w:r>
        <w:rPr>
          <w:rFonts w:ascii="Arial" w:cs="Arial" w:eastAsia="Arial" w:hAnsi="Arial"/>
          <w:sz w:val="18"/>
          <w:szCs w:val="18"/>
          <w:b w:val="1"/>
          <w:bCs w:val="1"/>
          <w:color w:val="auto"/>
        </w:rPr>
        <w:t>(i) Verification Procedures</w:t>
      </w:r>
    </w:p>
    <w:p>
      <w:pPr>
        <w:spacing w:after="0" w:line="256" w:lineRule="exact"/>
        <w:rPr>
          <w:sz w:val="20"/>
          <w:szCs w:val="20"/>
          <w:color w:val="auto"/>
        </w:rPr>
      </w:pPr>
    </w:p>
    <w:p>
      <w:pPr>
        <w:ind w:left="340"/>
        <w:spacing w:after="0"/>
        <w:rPr>
          <w:sz w:val="20"/>
          <w:szCs w:val="20"/>
          <w:color w:val="auto"/>
        </w:rPr>
      </w:pPr>
      <w:r>
        <w:rPr>
          <w:rFonts w:ascii="Arial" w:cs="Arial" w:eastAsia="Arial" w:hAnsi="Arial"/>
          <w:sz w:val="18"/>
          <w:szCs w:val="18"/>
          <w:color w:val="auto"/>
        </w:rPr>
        <w:t>Before the release of the Short-sell Report, the Sponsor performed the following verification procedures:</w:t>
      </w: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8-4-1-49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53" w:name="page54"/>
    <w:bookmarkEnd w:id="53"/>
    <w:p>
      <w:pPr>
        <w:ind w:left="540" w:hanging="208"/>
        <w:spacing w:after="0"/>
        <w:tabs>
          <w:tab w:leader="none" w:pos="540" w:val="left"/>
        </w:tabs>
        <w:numPr>
          <w:ilvl w:val="0"/>
          <w:numId w:val="48"/>
        </w:numPr>
        <w:rPr>
          <w:rFonts w:ascii="Arial" w:cs="Arial" w:eastAsia="Arial" w:hAnsi="Arial"/>
          <w:sz w:val="22"/>
          <w:szCs w:val="22"/>
          <w:color w:val="auto"/>
        </w:rPr>
      </w:pPr>
      <w:r>
        <w:rPr>
          <w:rFonts w:ascii="Arial" w:cs="Arial" w:eastAsia="Arial" w:hAnsi="Arial"/>
          <w:sz w:val="22"/>
          <w:szCs w:val="22"/>
          <w:color w:val="auto"/>
        </w:rPr>
        <w:t>Reviewing the fixed assets ledger of the Issuer to understand its machinery equipment and fixed assets;</w:t>
      </w:r>
    </w:p>
    <w:p>
      <w:pPr>
        <w:spacing w:after="0" w:line="233" w:lineRule="exact"/>
        <w:rPr>
          <w:rFonts w:ascii="Arial" w:cs="Arial" w:eastAsia="Arial" w:hAnsi="Arial"/>
          <w:sz w:val="22"/>
          <w:szCs w:val="22"/>
          <w:color w:val="auto"/>
        </w:rPr>
      </w:pPr>
    </w:p>
    <w:p>
      <w:pPr>
        <w:ind w:firstLine="332"/>
        <w:spacing w:after="0" w:line="250" w:lineRule="auto"/>
        <w:tabs>
          <w:tab w:leader="none" w:pos="596" w:val="left"/>
        </w:tabs>
        <w:numPr>
          <w:ilvl w:val="0"/>
          <w:numId w:val="48"/>
        </w:numPr>
        <w:rPr>
          <w:rFonts w:ascii="Arial" w:cs="Arial" w:eastAsia="Arial" w:hAnsi="Arial"/>
          <w:sz w:val="22"/>
          <w:szCs w:val="22"/>
          <w:color w:val="auto"/>
        </w:rPr>
      </w:pPr>
      <w:r>
        <w:rPr>
          <w:rFonts w:ascii="Arial" w:cs="Arial" w:eastAsia="Arial" w:hAnsi="Arial"/>
          <w:sz w:val="22"/>
          <w:szCs w:val="22"/>
          <w:color w:val="auto"/>
        </w:rPr>
        <w:t>Interviewing the general manager of the Issuer to understand its production mode and the demand for machinery equipment during production;</w:t>
      </w:r>
    </w:p>
    <w:p>
      <w:pPr>
        <w:spacing w:after="0" w:line="209" w:lineRule="exact"/>
        <w:rPr>
          <w:rFonts w:ascii="Arial" w:cs="Arial" w:eastAsia="Arial" w:hAnsi="Arial"/>
          <w:sz w:val="22"/>
          <w:szCs w:val="22"/>
          <w:color w:val="auto"/>
        </w:rPr>
      </w:pPr>
    </w:p>
    <w:p>
      <w:pPr>
        <w:ind w:left="520" w:hanging="188"/>
        <w:spacing w:after="0"/>
        <w:tabs>
          <w:tab w:leader="none" w:pos="520" w:val="left"/>
        </w:tabs>
        <w:numPr>
          <w:ilvl w:val="0"/>
          <w:numId w:val="48"/>
        </w:numPr>
        <w:rPr>
          <w:rFonts w:ascii="Arial" w:cs="Arial" w:eastAsia="Arial" w:hAnsi="Arial"/>
          <w:sz w:val="16"/>
          <w:szCs w:val="16"/>
          <w:color w:val="auto"/>
        </w:rPr>
      </w:pPr>
      <w:r>
        <w:rPr>
          <w:rFonts w:ascii="Arial" w:cs="Arial" w:eastAsia="Arial" w:hAnsi="Arial"/>
          <w:sz w:val="16"/>
          <w:szCs w:val="16"/>
          <w:color w:val="auto"/>
        </w:rPr>
        <w:t>Reviewing the public disclosure documents of listed companies in the same industry to understand their fixed assets such as machinery equipment</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and operating incomes; and</w:t>
      </w:r>
    </w:p>
    <w:p>
      <w:pPr>
        <w:spacing w:after="0" w:line="238" w:lineRule="exact"/>
        <w:rPr>
          <w:sz w:val="20"/>
          <w:szCs w:val="20"/>
          <w:color w:val="auto"/>
        </w:rPr>
      </w:pPr>
    </w:p>
    <w:p>
      <w:pPr>
        <w:ind w:firstLine="332"/>
        <w:spacing w:after="0" w:line="277" w:lineRule="auto"/>
        <w:tabs>
          <w:tab w:leader="none" w:pos="511" w:val="left"/>
        </w:tabs>
        <w:numPr>
          <w:ilvl w:val="0"/>
          <w:numId w:val="49"/>
        </w:numPr>
        <w:rPr>
          <w:rFonts w:ascii="Arial" w:cs="Arial" w:eastAsia="Arial" w:hAnsi="Arial"/>
          <w:sz w:val="18"/>
          <w:szCs w:val="18"/>
          <w:color w:val="auto"/>
        </w:rPr>
      </w:pPr>
      <w:r>
        <w:rPr>
          <w:rFonts w:ascii="Arial" w:cs="Arial" w:eastAsia="Arial" w:hAnsi="Arial"/>
          <w:sz w:val="18"/>
          <w:szCs w:val="18"/>
          <w:color w:val="auto"/>
        </w:rPr>
        <w:t>Reviewing the feasibility study report concerning the investment project of the fund raising by the Issuer to understand the planning of the Issuer’s R&amp;D activities.</w:t>
      </w:r>
    </w:p>
    <w:p>
      <w:pPr>
        <w:spacing w:after="0" w:line="197" w:lineRule="exact"/>
        <w:rPr>
          <w:sz w:val="20"/>
          <w:szCs w:val="20"/>
          <w:color w:val="auto"/>
        </w:rPr>
      </w:pPr>
    </w:p>
    <w:p>
      <w:pPr>
        <w:ind w:left="340"/>
        <w:spacing w:after="0"/>
        <w:rPr>
          <w:sz w:val="20"/>
          <w:szCs w:val="20"/>
          <w:color w:val="auto"/>
        </w:rPr>
      </w:pPr>
      <w:r>
        <w:rPr>
          <w:rFonts w:ascii="Arial" w:cs="Arial" w:eastAsia="Arial" w:hAnsi="Arial"/>
          <w:sz w:val="17"/>
          <w:szCs w:val="17"/>
          <w:color w:val="auto"/>
        </w:rPr>
        <w:t>After the release of the Short-sell Report, the Sponsor performed the following further procedures with respect to the Company’s fixed assets:</w:t>
      </w:r>
    </w:p>
    <w:p>
      <w:pPr>
        <w:spacing w:after="0" w:line="264" w:lineRule="exact"/>
        <w:rPr>
          <w:sz w:val="20"/>
          <w:szCs w:val="20"/>
          <w:color w:val="auto"/>
        </w:rPr>
      </w:pPr>
    </w:p>
    <w:p>
      <w:pPr>
        <w:ind w:left="520" w:hanging="188"/>
        <w:spacing w:after="0"/>
        <w:tabs>
          <w:tab w:leader="none" w:pos="520" w:val="left"/>
        </w:tabs>
        <w:numPr>
          <w:ilvl w:val="0"/>
          <w:numId w:val="50"/>
        </w:numPr>
        <w:rPr>
          <w:rFonts w:ascii="Arial" w:cs="Arial" w:eastAsia="Arial" w:hAnsi="Arial"/>
          <w:sz w:val="18"/>
          <w:szCs w:val="18"/>
          <w:color w:val="auto"/>
        </w:rPr>
      </w:pPr>
      <w:r>
        <w:rPr>
          <w:rFonts w:ascii="Arial" w:cs="Arial" w:eastAsia="Arial" w:hAnsi="Arial"/>
          <w:sz w:val="18"/>
          <w:szCs w:val="18"/>
          <w:color w:val="auto"/>
        </w:rPr>
        <w:t>Rechecking the calculation process of the disclosure data about the Company’s fixed assets; and</w:t>
      </w:r>
    </w:p>
    <w:p>
      <w:pPr>
        <w:spacing w:after="0" w:line="244" w:lineRule="exact"/>
        <w:rPr>
          <w:rFonts w:ascii="Arial" w:cs="Arial" w:eastAsia="Arial" w:hAnsi="Arial"/>
          <w:sz w:val="18"/>
          <w:szCs w:val="18"/>
          <w:color w:val="auto"/>
        </w:rPr>
      </w:pPr>
    </w:p>
    <w:p>
      <w:pPr>
        <w:ind w:left="560" w:hanging="228"/>
        <w:spacing w:after="0"/>
        <w:tabs>
          <w:tab w:leader="none" w:pos="560" w:val="left"/>
        </w:tabs>
        <w:numPr>
          <w:ilvl w:val="0"/>
          <w:numId w:val="50"/>
        </w:numPr>
        <w:rPr>
          <w:rFonts w:ascii="Arial" w:cs="Arial" w:eastAsia="Arial" w:hAnsi="Arial"/>
          <w:sz w:val="19"/>
          <w:szCs w:val="19"/>
          <w:color w:val="auto"/>
        </w:rPr>
      </w:pPr>
      <w:r>
        <w:rPr>
          <w:rFonts w:ascii="Arial" w:cs="Arial" w:eastAsia="Arial" w:hAnsi="Arial"/>
          <w:sz w:val="19"/>
          <w:szCs w:val="19"/>
          <w:color w:val="auto"/>
        </w:rPr>
        <w:t>Consulting the public disclosure documents of listed companies in the same industry, and having access to their disclosure</w:t>
      </w:r>
    </w:p>
    <w:p>
      <w:pPr>
        <w:spacing w:after="0" w:line="43" w:lineRule="exact"/>
        <w:rPr>
          <w:sz w:val="20"/>
          <w:szCs w:val="20"/>
          <w:color w:val="auto"/>
        </w:rPr>
      </w:pPr>
    </w:p>
    <w:p>
      <w:pPr>
        <w:spacing w:after="0"/>
        <w:rPr>
          <w:sz w:val="20"/>
          <w:szCs w:val="20"/>
          <w:color w:val="auto"/>
        </w:rPr>
      </w:pPr>
      <w:r>
        <w:rPr>
          <w:rFonts w:ascii="Arial" w:cs="Arial" w:eastAsia="Arial" w:hAnsi="Arial"/>
          <w:sz w:val="22"/>
          <w:szCs w:val="22"/>
          <w:color w:val="auto"/>
        </w:rPr>
        <w:t>data of machinery equipment in fixed assets at the end of 2019.</w:t>
      </w:r>
    </w:p>
    <w:p>
      <w:pPr>
        <w:spacing w:after="0" w:line="209" w:lineRule="exact"/>
        <w:rPr>
          <w:sz w:val="20"/>
          <w:szCs w:val="20"/>
          <w:color w:val="auto"/>
        </w:rPr>
      </w:pPr>
    </w:p>
    <w:p>
      <w:pPr>
        <w:ind w:left="340"/>
        <w:spacing w:after="0"/>
        <w:rPr>
          <w:sz w:val="20"/>
          <w:szCs w:val="20"/>
          <w:color w:val="auto"/>
        </w:rPr>
      </w:pPr>
      <w:r>
        <w:rPr>
          <w:rFonts w:ascii="Arial" w:cs="Arial" w:eastAsia="Arial" w:hAnsi="Arial"/>
          <w:sz w:val="22"/>
          <w:szCs w:val="22"/>
          <w:b w:val="1"/>
          <w:bCs w:val="1"/>
          <w:color w:val="auto"/>
        </w:rPr>
        <w:t>(ii) Verification Opinions</w:t>
      </w:r>
    </w:p>
    <w:p>
      <w:pPr>
        <w:spacing w:after="0" w:line="239" w:lineRule="exact"/>
        <w:rPr>
          <w:sz w:val="20"/>
          <w:szCs w:val="20"/>
          <w:color w:val="auto"/>
        </w:rPr>
      </w:pPr>
    </w:p>
    <w:p>
      <w:pPr>
        <w:ind w:left="340"/>
        <w:spacing w:after="0"/>
        <w:rPr>
          <w:sz w:val="20"/>
          <w:szCs w:val="20"/>
          <w:color w:val="auto"/>
        </w:rPr>
      </w:pPr>
      <w:r>
        <w:rPr>
          <w:rFonts w:ascii="Arial" w:cs="Arial" w:eastAsia="Arial" w:hAnsi="Arial"/>
          <w:sz w:val="22"/>
          <w:szCs w:val="22"/>
          <w:color w:val="auto"/>
        </w:rPr>
        <w:t>Upon verification, the Sponsor opines that:</w:t>
      </w:r>
    </w:p>
    <w:p>
      <w:pPr>
        <w:spacing w:after="0" w:line="240" w:lineRule="exact"/>
        <w:rPr>
          <w:sz w:val="20"/>
          <w:szCs w:val="20"/>
          <w:color w:val="auto"/>
        </w:rPr>
      </w:pPr>
    </w:p>
    <w:p>
      <w:pPr>
        <w:jc w:val="both"/>
        <w:ind w:firstLine="332"/>
        <w:spacing w:after="0" w:line="311" w:lineRule="auto"/>
        <w:tabs>
          <w:tab w:leader="none" w:pos="509" w:val="left"/>
        </w:tabs>
        <w:numPr>
          <w:ilvl w:val="0"/>
          <w:numId w:val="51"/>
        </w:numPr>
        <w:rPr>
          <w:rFonts w:ascii="Arial" w:cs="Arial" w:eastAsia="Arial" w:hAnsi="Arial"/>
          <w:sz w:val="16"/>
          <w:szCs w:val="16"/>
          <w:color w:val="auto"/>
        </w:rPr>
      </w:pPr>
      <w:r>
        <w:rPr>
          <w:rFonts w:ascii="Arial" w:cs="Arial" w:eastAsia="Arial" w:hAnsi="Arial"/>
          <w:sz w:val="16"/>
          <w:szCs w:val="16"/>
          <w:color w:val="auto"/>
        </w:rPr>
        <w:t>The Issuer’s production process mainly involves assembly and testing, with less demand for machinery equipment in the production process, which is in line with the practice of the semiconductor special equipment industry; the Company uses its facilities and plants by leasing, and it is reasonable that its fixed assets such as facilities, plants and machinery equipment account for a comparatively low proportion of the operating income;</w:t>
      </w:r>
    </w:p>
    <w:p>
      <w:pPr>
        <w:spacing w:after="0" w:line="175" w:lineRule="exact"/>
        <w:rPr>
          <w:rFonts w:ascii="Arial" w:cs="Arial" w:eastAsia="Arial" w:hAnsi="Arial"/>
          <w:sz w:val="16"/>
          <w:szCs w:val="16"/>
          <w:color w:val="auto"/>
        </w:rPr>
      </w:pPr>
    </w:p>
    <w:p>
      <w:pPr>
        <w:ind w:right="20" w:firstLine="332"/>
        <w:spacing w:after="0" w:line="308" w:lineRule="auto"/>
        <w:tabs>
          <w:tab w:leader="none" w:pos="510" w:val="left"/>
        </w:tabs>
        <w:numPr>
          <w:ilvl w:val="0"/>
          <w:numId w:val="51"/>
        </w:numPr>
        <w:rPr>
          <w:rFonts w:ascii="Arial" w:cs="Arial" w:eastAsia="Arial" w:hAnsi="Arial"/>
          <w:sz w:val="17"/>
          <w:szCs w:val="17"/>
          <w:color w:val="auto"/>
        </w:rPr>
      </w:pPr>
      <w:r>
        <w:rPr>
          <w:rFonts w:ascii="Arial" w:cs="Arial" w:eastAsia="Arial" w:hAnsi="Arial"/>
          <w:sz w:val="17"/>
          <w:szCs w:val="17"/>
          <w:color w:val="auto"/>
        </w:rPr>
        <w:t>It is reasonable to plan about 3 to 5 years of future R&amp;D investment (with the trial production cost including the cost of manufacturing a variety of prototypes for R&amp;D) in the “ACMSH Equipment R&amp;D and Manufacturing Center,” one of the Issuer’s fund-raising investment projects.</w:t>
      </w:r>
    </w:p>
    <w:p>
      <w:pPr>
        <w:spacing w:after="0" w:line="160" w:lineRule="exact"/>
        <w:rPr>
          <w:sz w:val="20"/>
          <w:szCs w:val="20"/>
          <w:color w:val="auto"/>
        </w:rPr>
      </w:pPr>
    </w:p>
    <w:p>
      <w:pPr>
        <w:ind w:left="560" w:hanging="228"/>
        <w:spacing w:after="0"/>
        <w:tabs>
          <w:tab w:leader="none" w:pos="560" w:val="left"/>
        </w:tabs>
        <w:numPr>
          <w:ilvl w:val="0"/>
          <w:numId w:val="52"/>
        </w:numPr>
        <w:rPr>
          <w:rFonts w:ascii="Arial" w:cs="Arial" w:eastAsia="Arial" w:hAnsi="Arial"/>
          <w:sz w:val="19"/>
          <w:szCs w:val="19"/>
          <w:b w:val="1"/>
          <w:bCs w:val="1"/>
          <w:color w:val="auto"/>
        </w:rPr>
      </w:pPr>
      <w:r>
        <w:rPr>
          <w:rFonts w:ascii="Arial" w:cs="Arial" w:eastAsia="Arial" w:hAnsi="Arial"/>
          <w:sz w:val="19"/>
          <w:szCs w:val="19"/>
          <w:b w:val="1"/>
          <w:bCs w:val="1"/>
          <w:color w:val="auto"/>
        </w:rPr>
        <w:t>Other Challenge 2: About Guarantee and Bank Loan (Index of Verification in Response to the Short-sell Report,</w:t>
      </w:r>
    </w:p>
    <w:p>
      <w:pPr>
        <w:spacing w:after="0" w:line="48" w:lineRule="exact"/>
        <w:rPr>
          <w:rFonts w:ascii="Arial" w:cs="Arial" w:eastAsia="Arial" w:hAnsi="Arial"/>
          <w:sz w:val="19"/>
          <w:szCs w:val="19"/>
          <w:b w:val="1"/>
          <w:bCs w:val="1"/>
          <w:color w:val="auto"/>
        </w:rPr>
      </w:pPr>
    </w:p>
    <w:p>
      <w:pPr>
        <w:spacing w:after="0"/>
        <w:rPr>
          <w:rFonts w:ascii="Arial" w:cs="Arial" w:eastAsia="Arial" w:hAnsi="Arial"/>
          <w:sz w:val="19"/>
          <w:szCs w:val="19"/>
          <w:b w:val="1"/>
          <w:bCs w:val="1"/>
          <w:color w:val="auto"/>
        </w:rPr>
      </w:pPr>
      <w:r>
        <w:rPr>
          <w:rFonts w:ascii="Arial" w:cs="Arial" w:eastAsia="Arial" w:hAnsi="Arial"/>
          <w:sz w:val="22"/>
          <w:szCs w:val="22"/>
          <w:b w:val="1"/>
          <w:bCs w:val="1"/>
          <w:color w:val="auto"/>
        </w:rPr>
        <w:t>No.7)</w:t>
      </w:r>
    </w:p>
    <w:p>
      <w:pPr>
        <w:spacing w:after="0" w:line="209" w:lineRule="exact"/>
        <w:rPr>
          <w:sz w:val="20"/>
          <w:szCs w:val="20"/>
          <w:color w:val="auto"/>
        </w:rPr>
      </w:pPr>
    </w:p>
    <w:p>
      <w:pPr>
        <w:ind w:left="340"/>
        <w:spacing w:after="0"/>
        <w:rPr>
          <w:sz w:val="20"/>
          <w:szCs w:val="20"/>
          <w:color w:val="auto"/>
        </w:rPr>
      </w:pPr>
      <w:r>
        <w:rPr>
          <w:rFonts w:ascii="Arial" w:cs="Arial" w:eastAsia="Arial" w:hAnsi="Arial"/>
          <w:sz w:val="22"/>
          <w:szCs w:val="22"/>
          <w:b w:val="1"/>
          <w:bCs w:val="1"/>
          <w:color w:val="auto"/>
        </w:rPr>
        <w:t>Challenge in the Short-sell Report (Short-sell Report, pp.8-11):</w:t>
      </w:r>
    </w:p>
    <w:p>
      <w:pPr>
        <w:spacing w:after="0" w:line="239" w:lineRule="exact"/>
        <w:rPr>
          <w:sz w:val="20"/>
          <w:szCs w:val="20"/>
          <w:color w:val="auto"/>
        </w:rPr>
      </w:pPr>
    </w:p>
    <w:p>
      <w:pPr>
        <w:jc w:val="both"/>
        <w:ind w:firstLine="332"/>
        <w:spacing w:after="0" w:line="252" w:lineRule="auto"/>
        <w:tabs>
          <w:tab w:leader="none" w:pos="632" w:val="left"/>
        </w:tabs>
        <w:numPr>
          <w:ilvl w:val="0"/>
          <w:numId w:val="53"/>
        </w:numPr>
        <w:rPr>
          <w:rFonts w:ascii="Arial" w:cs="Arial" w:eastAsia="Arial" w:hAnsi="Arial"/>
          <w:sz w:val="21"/>
          <w:szCs w:val="21"/>
          <w:color w:val="auto"/>
        </w:rPr>
      </w:pPr>
      <w:r>
        <w:rPr>
          <w:rFonts w:ascii="Arial" w:cs="Arial" w:eastAsia="Arial" w:hAnsi="Arial"/>
          <w:sz w:val="21"/>
          <w:szCs w:val="21"/>
          <w:color w:val="auto"/>
        </w:rPr>
        <w:t>“We find this puzzling: why does ACMR require a guarantee from its CEO for some $25 mln in loans, when the company in Q2 had $86.4 mln in cash? If ACMR prefers not to use its cash, why not collateralize offshore dollars for Renminbi? Moreover, these loans are clearly labelled as lines of credit, not long-term loans for past capital expenditure, for example. With all that cash in the bank, why does the company need “lines of credit”, 13 of them?”</w:t>
      </w:r>
    </w:p>
    <w:p>
      <w:pPr>
        <w:spacing w:after="0" w:line="200" w:lineRule="exact"/>
        <w:rPr>
          <w:rFonts w:ascii="Arial" w:cs="Arial" w:eastAsia="Arial" w:hAnsi="Arial"/>
          <w:sz w:val="21"/>
          <w:szCs w:val="21"/>
          <w:color w:val="auto"/>
        </w:rPr>
      </w:pPr>
    </w:p>
    <w:p>
      <w:pPr>
        <w:ind w:left="640" w:hanging="308"/>
        <w:spacing w:after="0"/>
        <w:tabs>
          <w:tab w:leader="none" w:pos="640" w:val="left"/>
        </w:tabs>
        <w:numPr>
          <w:ilvl w:val="0"/>
          <w:numId w:val="53"/>
        </w:numPr>
        <w:rPr>
          <w:rFonts w:ascii="Arial" w:cs="Arial" w:eastAsia="Arial" w:hAnsi="Arial"/>
          <w:sz w:val="22"/>
          <w:szCs w:val="22"/>
          <w:color w:val="auto"/>
        </w:rPr>
      </w:pPr>
      <w:r>
        <w:rPr>
          <w:rFonts w:ascii="Arial" w:cs="Arial" w:eastAsia="Arial" w:hAnsi="Arial"/>
          <w:sz w:val="22"/>
          <w:szCs w:val="22"/>
          <w:color w:val="auto"/>
        </w:rPr>
        <w:t>“Cash is missing in the STAR IPO company accounts vs the U.S. GAAP ac-counts.</w:t>
      </w:r>
    </w:p>
    <w:p>
      <w:pPr>
        <w:spacing w:after="0" w:line="200" w:lineRule="exact"/>
        <w:rPr>
          <w:sz w:val="20"/>
          <w:szCs w:val="20"/>
          <w:color w:val="auto"/>
        </w:rPr>
      </w:pPr>
    </w:p>
    <w:p>
      <w:pPr>
        <w:spacing w:after="0" w:line="211"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8-4-1-50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54" w:name="page55"/>
    <w:bookmarkEnd w:id="54"/>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1416685</wp:posOffset>
            </wp:positionH>
            <wp:positionV relativeFrom="page">
              <wp:posOffset>88900</wp:posOffset>
            </wp:positionV>
            <wp:extent cx="4723130" cy="27603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clrChange>
                        <a:clrFrom>
                          <a:srgbClr val="FFFFFF"/>
                        </a:clrFrom>
                        <a:clrTo>
                          <a:srgbClr val="FFFFFF">
                            <a:alpha val="0"/>
                          </a:srgbClr>
                        </a:clrTo>
                      </a:clrChange>
                      <a:extLst>
                        <a:ext uri="{28A0092B-C50C-407E-A947-70E740481C1C}"/>
                      </a:extLst>
                    </a:blip>
                    <a:srcRect/>
                    <a:stretch>
                      <a:fillRect/>
                    </a:stretch>
                  </pic:blipFill>
                  <pic:spPr bwMode="auto">
                    <a:xfrm>
                      <a:off x="0" y="0"/>
                      <a:ext cx="4723130" cy="27603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right="20" w:firstLine="324"/>
        <w:spacing w:after="0" w:line="308" w:lineRule="auto"/>
        <w:rPr>
          <w:sz w:val="20"/>
          <w:szCs w:val="20"/>
          <w:color w:val="auto"/>
        </w:rPr>
      </w:pPr>
      <w:r>
        <w:rPr>
          <w:rFonts w:ascii="Arial" w:cs="Arial" w:eastAsia="Arial" w:hAnsi="Arial"/>
          <w:sz w:val="17"/>
          <w:szCs w:val="17"/>
          <w:color w:val="auto"/>
        </w:rPr>
        <w:t>That gap may be explained by cash in the Caymans company that belongs to the U.S.-listed entity. But we question why the cash is there when the company is taking out large short-term lines of credit on Mainland China and whether the balance can be properly audited in the Caymans.</w:t>
      </w:r>
    </w:p>
    <w:p>
      <w:pPr>
        <w:spacing w:after="0" w:line="166" w:lineRule="exact"/>
        <w:rPr>
          <w:sz w:val="20"/>
          <w:szCs w:val="20"/>
          <w:color w:val="auto"/>
        </w:rPr>
      </w:pPr>
    </w:p>
    <w:p>
      <w:pPr>
        <w:ind w:left="340"/>
        <w:spacing w:after="0"/>
        <w:rPr>
          <w:sz w:val="20"/>
          <w:szCs w:val="20"/>
          <w:color w:val="auto"/>
        </w:rPr>
      </w:pPr>
      <w:r>
        <w:rPr>
          <w:rFonts w:ascii="Arial" w:cs="Arial" w:eastAsia="Arial" w:hAnsi="Arial"/>
          <w:sz w:val="22"/>
          <w:szCs w:val="22"/>
          <w:color w:val="auto"/>
        </w:rPr>
        <w:t>We suspect that a chunk of cash may be missing from the STAR IPO group.”</w:t>
      </w:r>
    </w:p>
    <w:p>
      <w:pPr>
        <w:spacing w:after="0" w:line="233" w:lineRule="exact"/>
        <w:rPr>
          <w:sz w:val="20"/>
          <w:szCs w:val="20"/>
          <w:color w:val="auto"/>
        </w:rPr>
      </w:pPr>
    </w:p>
    <w:p>
      <w:pPr>
        <w:ind w:firstLine="332"/>
        <w:spacing w:after="0" w:line="250" w:lineRule="auto"/>
        <w:tabs>
          <w:tab w:leader="none" w:pos="637" w:val="left"/>
        </w:tabs>
        <w:numPr>
          <w:ilvl w:val="0"/>
          <w:numId w:val="54"/>
        </w:numPr>
        <w:rPr>
          <w:rFonts w:ascii="Arial" w:cs="Arial" w:eastAsia="Arial" w:hAnsi="Arial"/>
          <w:sz w:val="22"/>
          <w:szCs w:val="22"/>
          <w:color w:val="auto"/>
        </w:rPr>
      </w:pPr>
      <w:r>
        <w:rPr>
          <w:rFonts w:ascii="Arial" w:cs="Arial" w:eastAsia="Arial" w:hAnsi="Arial"/>
          <w:sz w:val="22"/>
          <w:szCs w:val="22"/>
          <w:color w:val="auto"/>
        </w:rPr>
        <w:t>“We suspect that a chunk of cash may be missing from the STAR IPO group. The IPO group includes in its account cash deposited overseas: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1222375</wp:posOffset>
            </wp:positionH>
            <wp:positionV relativeFrom="paragraph">
              <wp:posOffset>141605</wp:posOffset>
            </wp:positionV>
            <wp:extent cx="4697730" cy="114871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4697730" cy="11487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both"/>
        <w:ind w:firstLine="324"/>
        <w:spacing w:after="0" w:line="287" w:lineRule="auto"/>
        <w:rPr>
          <w:sz w:val="20"/>
          <w:szCs w:val="20"/>
          <w:color w:val="auto"/>
        </w:rPr>
      </w:pPr>
      <w:r>
        <w:rPr>
          <w:rFonts w:ascii="Arial" w:cs="Arial" w:eastAsia="Arial" w:hAnsi="Arial"/>
          <w:sz w:val="19"/>
          <w:szCs w:val="19"/>
          <w:color w:val="auto"/>
        </w:rPr>
        <w:t>The Shanghai company has most of the sales and COGS. The Hong Kong company exists as a convenience for processing payments in U.S. dollars; its net income should be moved promptly to the Shanghai accounts. But the Shanghai company shows negative operating cash flows, while the consolidated STAR IPO group shows big positive operating cash flows. That difference indicates that a lot of cash is circulating offshore with very little apparent COGS. If the cash is really there at all.”</w:t>
      </w:r>
    </w:p>
    <w:p>
      <w:pPr>
        <w:spacing w:after="0" w:line="348"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8-4-1-51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55" w:name="page56"/>
    <w:bookmarkEnd w:id="55"/>
    <w:p>
      <w:pPr>
        <w:ind w:left="340"/>
        <w:spacing w:after="0"/>
        <w:rPr>
          <w:sz w:val="20"/>
          <w:szCs w:val="20"/>
          <w:color w:val="auto"/>
        </w:rPr>
      </w:pPr>
      <w:r>
        <w:rPr>
          <w:rFonts w:ascii="Arial" w:cs="Arial" w:eastAsia="Arial" w:hAnsi="Arial"/>
          <w:sz w:val="22"/>
          <w:szCs w:val="22"/>
          <w:b w:val="1"/>
          <w:bCs w:val="1"/>
          <w:color w:val="auto"/>
        </w:rPr>
        <w:t>Response:</w:t>
      </w:r>
    </w:p>
    <w:p>
      <w:pPr>
        <w:spacing w:after="0" w:line="234" w:lineRule="exact"/>
        <w:rPr>
          <w:sz w:val="20"/>
          <w:szCs w:val="20"/>
          <w:color w:val="auto"/>
        </w:rPr>
      </w:pPr>
    </w:p>
    <w:p>
      <w:pPr>
        <w:ind w:left="340"/>
        <w:spacing w:after="0"/>
        <w:rPr>
          <w:sz w:val="20"/>
          <w:szCs w:val="20"/>
          <w:color w:val="auto"/>
        </w:rPr>
      </w:pPr>
      <w:r>
        <w:rPr>
          <w:rFonts w:ascii="Arial" w:cs="Arial" w:eastAsia="Arial" w:hAnsi="Arial"/>
          <w:sz w:val="22"/>
          <w:szCs w:val="22"/>
          <w:b w:val="1"/>
          <w:bCs w:val="1"/>
          <w:color w:val="auto"/>
        </w:rPr>
        <w:t>I. Clarification by the Issuer</w:t>
      </w:r>
    </w:p>
    <w:p>
      <w:pPr>
        <w:spacing w:after="0" w:line="246"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7"/>
          <w:szCs w:val="17"/>
          <w:color w:val="auto"/>
        </w:rPr>
        <w:t>The amount of monetary funds of the Company is accurate, and the loans conform to the production and operation of the Company. The Company has made disclosure and clarification in “Section VIII.XII.(I) Asset Structure and Change Analysis” and “Section XI.I.(III) Loan Contracts, Credit Contracts and Guarantee Contracts” of the Prospectus and “Q19” of the Reply to the Letter of First Round Review-related Inquiries.</w:t>
      </w:r>
    </w:p>
    <w:p>
      <w:pPr>
        <w:spacing w:after="0" w:line="179" w:lineRule="exact"/>
        <w:rPr>
          <w:sz w:val="20"/>
          <w:szCs w:val="20"/>
          <w:color w:val="auto"/>
        </w:rPr>
      </w:pPr>
    </w:p>
    <w:p>
      <w:pPr>
        <w:ind w:left="340"/>
        <w:spacing w:after="0"/>
        <w:rPr>
          <w:sz w:val="20"/>
          <w:szCs w:val="20"/>
          <w:color w:val="auto"/>
        </w:rPr>
      </w:pPr>
      <w:r>
        <w:rPr>
          <w:rFonts w:ascii="Arial" w:cs="Arial" w:eastAsia="Arial" w:hAnsi="Arial"/>
          <w:sz w:val="22"/>
          <w:szCs w:val="22"/>
          <w:b w:val="1"/>
          <w:bCs w:val="1"/>
          <w:color w:val="auto"/>
        </w:rPr>
        <w:t>(i) The Company’s bank deposits at the end of 2019</w:t>
      </w:r>
    </w:p>
    <w:p>
      <w:pPr>
        <w:spacing w:after="0" w:line="239" w:lineRule="exact"/>
        <w:rPr>
          <w:sz w:val="20"/>
          <w:szCs w:val="20"/>
          <w:color w:val="auto"/>
        </w:rPr>
      </w:pPr>
    </w:p>
    <w:p>
      <w:pPr>
        <w:ind w:left="340"/>
        <w:spacing w:after="0"/>
        <w:rPr>
          <w:sz w:val="20"/>
          <w:szCs w:val="20"/>
          <w:color w:val="auto"/>
        </w:rPr>
      </w:pPr>
      <w:r>
        <w:rPr>
          <w:rFonts w:ascii="Arial" w:cs="Arial" w:eastAsia="Arial" w:hAnsi="Arial"/>
          <w:sz w:val="22"/>
          <w:szCs w:val="22"/>
          <w:color w:val="auto"/>
        </w:rPr>
        <w:t>At the end of 2019, the Issuer’s bank deposits were as follows:</w:t>
      </w:r>
    </w:p>
    <w:p>
      <w:pPr>
        <w:spacing w:after="0" w:line="234" w:lineRule="exact"/>
        <w:rPr>
          <w:sz w:val="20"/>
          <w:szCs w:val="20"/>
          <w:color w:val="auto"/>
        </w:rPr>
      </w:pPr>
    </w:p>
    <w:tbl>
      <w:tblPr>
        <w:tblLayout w:type="fixed"/>
        <w:tblInd w:w="10" w:type="dxa"/>
        <w:tblCellMar>
          <w:top w:w="0" w:type="dxa"/>
          <w:left w:w="0" w:type="dxa"/>
          <w:bottom w:w="0" w:type="dxa"/>
          <w:right w:w="0" w:type="dxa"/>
        </w:tblCellMar>
      </w:tblPr>
      <w:tr>
        <w:trPr>
          <w:trHeight w:val="250"/>
        </w:trPr>
        <w:tc>
          <w:tcPr>
            <w:tcW w:w="5880" w:type="dxa"/>
            <w:vAlign w:val="bottom"/>
            <w:tcBorders>
              <w:top w:val="single" w:sz="8" w:color="auto"/>
              <w:left w:val="single" w:sz="8" w:color="auto"/>
              <w:bottom w:val="single" w:sz="8" w:color="auto"/>
              <w:right w:val="single" w:sz="8" w:color="auto"/>
            </w:tcBorders>
          </w:tcPr>
          <w:p>
            <w:pPr>
              <w:ind w:left="2320"/>
              <w:spacing w:after="0"/>
              <w:rPr>
                <w:sz w:val="20"/>
                <w:szCs w:val="20"/>
                <w:color w:val="auto"/>
              </w:rPr>
            </w:pPr>
            <w:r>
              <w:rPr>
                <w:rFonts w:ascii="Arial" w:cs="Arial" w:eastAsia="Arial" w:hAnsi="Arial"/>
                <w:sz w:val="18"/>
                <w:szCs w:val="18"/>
                <w:b w:val="1"/>
                <w:bCs w:val="1"/>
                <w:color w:val="auto"/>
              </w:rPr>
              <w:t>Place of Deposit</w:t>
            </w:r>
          </w:p>
        </w:tc>
        <w:tc>
          <w:tcPr>
            <w:tcW w:w="5360" w:type="dxa"/>
            <w:vAlign w:val="bottom"/>
            <w:tcBorders>
              <w:top w:val="single" w:sz="8" w:color="auto"/>
              <w:bottom w:val="single" w:sz="8" w:color="auto"/>
              <w:right w:val="single" w:sz="8" w:color="auto"/>
            </w:tcBorders>
          </w:tcPr>
          <w:p>
            <w:pPr>
              <w:jc w:val="right"/>
              <w:ind w:right="1550"/>
              <w:spacing w:after="0"/>
              <w:rPr>
                <w:sz w:val="20"/>
                <w:szCs w:val="20"/>
                <w:color w:val="auto"/>
              </w:rPr>
            </w:pPr>
            <w:r>
              <w:rPr>
                <w:rFonts w:ascii="Arial" w:cs="Arial" w:eastAsia="Arial" w:hAnsi="Arial"/>
                <w:sz w:val="18"/>
                <w:szCs w:val="18"/>
                <w:b w:val="1"/>
                <w:bCs w:val="1"/>
                <w:color w:val="auto"/>
              </w:rPr>
              <w:t>Dec. 31, 2019 (RMB10,000)</w:t>
            </w:r>
          </w:p>
        </w:tc>
      </w:tr>
      <w:tr>
        <w:trPr>
          <w:trHeight w:val="223"/>
        </w:trPr>
        <w:tc>
          <w:tcPr>
            <w:tcW w:w="58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Mainland China</w:t>
            </w:r>
          </w:p>
        </w:tc>
        <w:tc>
          <w:tcPr>
            <w:tcW w:w="536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28,740.03</w:t>
            </w:r>
          </w:p>
        </w:tc>
      </w:tr>
      <w:tr>
        <w:trPr>
          <w:trHeight w:val="223"/>
        </w:trPr>
        <w:tc>
          <w:tcPr>
            <w:tcW w:w="58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Hong Kong, China</w:t>
            </w:r>
          </w:p>
        </w:tc>
        <w:tc>
          <w:tcPr>
            <w:tcW w:w="536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14,507.61</w:t>
            </w:r>
          </w:p>
        </w:tc>
      </w:tr>
      <w:tr>
        <w:trPr>
          <w:trHeight w:val="223"/>
        </w:trPr>
        <w:tc>
          <w:tcPr>
            <w:tcW w:w="58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South Korea</w:t>
            </w:r>
          </w:p>
        </w:tc>
        <w:tc>
          <w:tcPr>
            <w:tcW w:w="536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240.27</w:t>
            </w:r>
          </w:p>
        </w:tc>
      </w:tr>
      <w:tr>
        <w:trPr>
          <w:trHeight w:val="223"/>
        </w:trPr>
        <w:tc>
          <w:tcPr>
            <w:tcW w:w="58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U.S.</w:t>
            </w:r>
          </w:p>
        </w:tc>
        <w:tc>
          <w:tcPr>
            <w:tcW w:w="536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511.95</w:t>
            </w:r>
          </w:p>
        </w:tc>
      </w:tr>
      <w:tr>
        <w:trPr>
          <w:trHeight w:val="223"/>
        </w:trPr>
        <w:tc>
          <w:tcPr>
            <w:tcW w:w="5880" w:type="dxa"/>
            <w:vAlign w:val="bottom"/>
            <w:tcBorders>
              <w:left w:val="single" w:sz="8" w:color="auto"/>
              <w:bottom w:val="single" w:sz="8" w:color="auto"/>
              <w:right w:val="single" w:sz="8" w:color="auto"/>
            </w:tcBorders>
          </w:tcPr>
          <w:p>
            <w:pPr>
              <w:ind w:left="2740"/>
              <w:spacing w:after="0"/>
              <w:rPr>
                <w:sz w:val="20"/>
                <w:szCs w:val="20"/>
                <w:color w:val="auto"/>
              </w:rPr>
            </w:pPr>
            <w:r>
              <w:rPr>
                <w:rFonts w:ascii="Arial" w:cs="Arial" w:eastAsia="Arial" w:hAnsi="Arial"/>
                <w:sz w:val="18"/>
                <w:szCs w:val="18"/>
                <w:b w:val="1"/>
                <w:bCs w:val="1"/>
                <w:color w:val="auto"/>
              </w:rPr>
              <w:t>Total</w:t>
            </w:r>
          </w:p>
        </w:tc>
        <w:tc>
          <w:tcPr>
            <w:tcW w:w="536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b w:val="1"/>
                <w:bCs w:val="1"/>
                <w:color w:val="auto"/>
              </w:rPr>
              <w:t>43,999.86</w:t>
            </w:r>
          </w:p>
        </w:tc>
      </w:tr>
    </w:tbl>
    <w:p>
      <w:pPr>
        <w:spacing w:after="0" w:line="229" w:lineRule="exact"/>
        <w:rPr>
          <w:sz w:val="20"/>
          <w:szCs w:val="20"/>
          <w:color w:val="auto"/>
        </w:rPr>
      </w:pPr>
    </w:p>
    <w:p>
      <w:pPr>
        <w:ind w:left="340"/>
        <w:spacing w:after="0"/>
        <w:rPr>
          <w:sz w:val="20"/>
          <w:szCs w:val="20"/>
          <w:color w:val="auto"/>
        </w:rPr>
      </w:pPr>
      <w:r>
        <w:rPr>
          <w:rFonts w:ascii="Arial" w:cs="Arial" w:eastAsia="Arial" w:hAnsi="Arial"/>
          <w:sz w:val="17"/>
          <w:szCs w:val="17"/>
          <w:color w:val="auto"/>
        </w:rPr>
        <w:t>The intermediary team has confirmed that the above bank deposits are accurate by requesting bank confirmation and checking bank statements.</w:t>
      </w:r>
    </w:p>
    <w:p>
      <w:pPr>
        <w:spacing w:after="0" w:line="260"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(ii) Existence of funds restriction before June 2020</w:t>
      </w:r>
    </w:p>
    <w:p>
      <w:pPr>
        <w:spacing w:after="0" w:line="256" w:lineRule="exact"/>
        <w:rPr>
          <w:sz w:val="20"/>
          <w:szCs w:val="20"/>
          <w:color w:val="auto"/>
        </w:rPr>
      </w:pPr>
    </w:p>
    <w:p>
      <w:pPr>
        <w:jc w:val="both"/>
        <w:ind w:firstLine="324"/>
        <w:spacing w:after="0" w:line="293" w:lineRule="auto"/>
        <w:rPr>
          <w:sz w:val="20"/>
          <w:szCs w:val="20"/>
          <w:color w:val="auto"/>
        </w:rPr>
      </w:pPr>
      <w:r>
        <w:rPr>
          <w:rFonts w:ascii="Arial" w:cs="Arial" w:eastAsia="Arial" w:hAnsi="Arial"/>
          <w:sz w:val="16"/>
          <w:szCs w:val="16"/>
          <w:color w:val="auto"/>
        </w:rPr>
        <w:t>At the end of 2019, the balance of bank deposits in the Issuer’s monetary funds was RMB439.9986 million, of which RMB228.17 million was restricted by the voluntary commitment of the Issuer. The Issuer has made a detailed disclosure on the voluntarily committed restricted funds in “Q19” of the Reply to the Letter of First Round Review-related Inquiries. Meanwhile, on May 7, 2020, ACMR explained to investors in the ACM Research, Inc. Q1 2020 Earnings Call that the above-mentioned restricted funds would be released after the Company submitted the STAR Market application documents to Shanghai Stock Exchange. The above restricted funds were not released until June 1, 2020, when the Issuer submitted the STAR Market application documents to Shanghai Stock Exchange. See “Q19” of the Reply to the Letter of First Round Review-related Inquiries for disclosure of the foregoing.</w:t>
      </w:r>
    </w:p>
    <w:p>
      <w:pPr>
        <w:spacing w:after="0" w:line="36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8-4-1-52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2" w:right="339" w:bottom="1440" w:gutter="0" w:footer="0" w:header="0"/>
        </w:sectPr>
      </w:pPr>
    </w:p>
    <w:bookmarkStart w:id="56" w:name="page57"/>
    <w:bookmarkEnd w:id="56"/>
    <w:p>
      <w:pPr>
        <w:ind w:left="340"/>
        <w:spacing w:after="0"/>
        <w:rPr>
          <w:sz w:val="20"/>
          <w:szCs w:val="20"/>
          <w:color w:val="auto"/>
        </w:rPr>
      </w:pPr>
      <w:r>
        <w:rPr>
          <w:rFonts w:ascii="Arial" w:cs="Arial" w:eastAsia="Arial" w:hAnsi="Arial"/>
          <w:sz w:val="22"/>
          <w:szCs w:val="22"/>
          <w:b w:val="1"/>
          <w:bCs w:val="1"/>
          <w:color w:val="auto"/>
        </w:rPr>
        <w:t>(iii) Use of funds during the period from Jan. to Jun. 2020</w:t>
      </w:r>
    </w:p>
    <w:p>
      <w:pPr>
        <w:spacing w:after="0" w:line="240" w:lineRule="exact"/>
        <w:rPr>
          <w:sz w:val="20"/>
          <w:szCs w:val="20"/>
          <w:color w:val="auto"/>
        </w:rPr>
      </w:pPr>
    </w:p>
    <w:p>
      <w:pPr>
        <w:ind w:left="340"/>
        <w:spacing w:after="0"/>
        <w:rPr>
          <w:sz w:val="20"/>
          <w:szCs w:val="20"/>
          <w:color w:val="auto"/>
        </w:rPr>
      </w:pPr>
      <w:r>
        <w:rPr>
          <w:rFonts w:ascii="Arial" w:cs="Arial" w:eastAsia="Arial" w:hAnsi="Arial"/>
          <w:sz w:val="22"/>
          <w:szCs w:val="22"/>
          <w:color w:val="auto"/>
        </w:rPr>
        <w:t>During the period from Jan. to Jun. 2020, the large-sum capital expenditure of the Company was as follows:</w:t>
      </w:r>
    </w:p>
    <w:p>
      <w:pPr>
        <w:spacing w:after="0" w:line="233" w:lineRule="exact"/>
        <w:rPr>
          <w:sz w:val="20"/>
          <w:szCs w:val="20"/>
          <w:color w:val="auto"/>
        </w:rPr>
      </w:pPr>
    </w:p>
    <w:tbl>
      <w:tblPr>
        <w:tblLayout w:type="fixed"/>
        <w:tblInd w:w="10" w:type="dxa"/>
        <w:tblCellMar>
          <w:top w:w="0" w:type="dxa"/>
          <w:left w:w="0" w:type="dxa"/>
          <w:bottom w:w="0" w:type="dxa"/>
          <w:right w:w="0" w:type="dxa"/>
        </w:tblCellMar>
      </w:tblPr>
      <w:tr>
        <w:trPr>
          <w:trHeight w:val="274"/>
        </w:trPr>
        <w:tc>
          <w:tcPr>
            <w:tcW w:w="1660" w:type="dxa"/>
            <w:vAlign w:val="bottom"/>
          </w:tcPr>
          <w:p>
            <w:pPr>
              <w:spacing w:after="0"/>
              <w:rPr>
                <w:sz w:val="23"/>
                <w:szCs w:val="23"/>
                <w:color w:val="auto"/>
              </w:rPr>
            </w:pPr>
          </w:p>
        </w:tc>
        <w:tc>
          <w:tcPr>
            <w:tcW w:w="7820" w:type="dxa"/>
            <w:vAlign w:val="bottom"/>
          </w:tcPr>
          <w:p>
            <w:pPr>
              <w:spacing w:after="0"/>
              <w:rPr>
                <w:sz w:val="23"/>
                <w:szCs w:val="23"/>
                <w:color w:val="auto"/>
              </w:rPr>
            </w:pPr>
          </w:p>
        </w:tc>
        <w:tc>
          <w:tcPr>
            <w:tcW w:w="1760" w:type="dxa"/>
            <w:vAlign w:val="bottom"/>
            <w:gridSpan w:val="2"/>
          </w:tcPr>
          <w:p>
            <w:pPr>
              <w:jc w:val="right"/>
              <w:spacing w:after="0"/>
              <w:rPr>
                <w:sz w:val="20"/>
                <w:szCs w:val="20"/>
                <w:color w:val="auto"/>
              </w:rPr>
            </w:pPr>
            <w:r>
              <w:rPr>
                <w:rFonts w:ascii="Arial" w:cs="Arial" w:eastAsia="Arial" w:hAnsi="Arial"/>
                <w:sz w:val="22"/>
                <w:szCs w:val="22"/>
                <w:color w:val="auto"/>
              </w:rPr>
              <w:t>Unit: RMB10,000</w:t>
            </w:r>
          </w:p>
        </w:tc>
      </w:tr>
      <w:tr>
        <w:trPr>
          <w:trHeight w:val="240"/>
        </w:trPr>
        <w:tc>
          <w:tcPr>
            <w:tcW w:w="1660" w:type="dxa"/>
            <w:vAlign w:val="bottom"/>
            <w:tcBorders>
              <w:bottom w:val="single" w:sz="8" w:color="auto"/>
            </w:tcBorders>
          </w:tcPr>
          <w:p>
            <w:pPr>
              <w:spacing w:after="0"/>
              <w:rPr>
                <w:sz w:val="20"/>
                <w:szCs w:val="20"/>
                <w:color w:val="auto"/>
              </w:rPr>
            </w:pPr>
          </w:p>
        </w:tc>
        <w:tc>
          <w:tcPr>
            <w:tcW w:w="7820" w:type="dxa"/>
            <w:vAlign w:val="bottom"/>
            <w:tcBorders>
              <w:bottom w:val="single" w:sz="8" w:color="auto"/>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480" w:type="dxa"/>
            <w:vAlign w:val="bottom"/>
            <w:tcBorders>
              <w:bottom w:val="single" w:sz="8" w:color="auto"/>
            </w:tcBorders>
          </w:tcPr>
          <w:p>
            <w:pPr>
              <w:spacing w:after="0"/>
              <w:rPr>
                <w:sz w:val="20"/>
                <w:szCs w:val="20"/>
                <w:color w:val="auto"/>
              </w:rPr>
            </w:pPr>
          </w:p>
        </w:tc>
      </w:tr>
      <w:tr>
        <w:trPr>
          <w:trHeight w:val="223"/>
        </w:trPr>
        <w:tc>
          <w:tcPr>
            <w:tcW w:w="1660" w:type="dxa"/>
            <w:vAlign w:val="bottom"/>
            <w:tcBorders>
              <w:left w:val="single" w:sz="8" w:color="auto"/>
              <w:bottom w:val="single" w:sz="8" w:color="auto"/>
              <w:right w:val="single" w:sz="8" w:color="auto"/>
            </w:tcBorders>
          </w:tcPr>
          <w:p>
            <w:pPr>
              <w:ind w:left="660"/>
              <w:spacing w:after="0"/>
              <w:rPr>
                <w:sz w:val="20"/>
                <w:szCs w:val="20"/>
                <w:color w:val="auto"/>
              </w:rPr>
            </w:pPr>
            <w:r>
              <w:rPr>
                <w:rFonts w:ascii="Arial" w:cs="Arial" w:eastAsia="Arial" w:hAnsi="Arial"/>
                <w:sz w:val="18"/>
                <w:szCs w:val="18"/>
                <w:b w:val="1"/>
                <w:bCs w:val="1"/>
                <w:color w:val="auto"/>
              </w:rPr>
              <w:t>Date</w:t>
            </w:r>
          </w:p>
        </w:tc>
        <w:tc>
          <w:tcPr>
            <w:tcW w:w="7820" w:type="dxa"/>
            <w:vAlign w:val="bottom"/>
            <w:tcBorders>
              <w:bottom w:val="single" w:sz="8" w:color="auto"/>
            </w:tcBorders>
          </w:tcPr>
          <w:p>
            <w:pPr>
              <w:ind w:left="3300"/>
              <w:spacing w:after="0"/>
              <w:rPr>
                <w:sz w:val="20"/>
                <w:szCs w:val="20"/>
                <w:color w:val="auto"/>
              </w:rPr>
            </w:pPr>
            <w:r>
              <w:rPr>
                <w:rFonts w:ascii="Arial" w:cs="Arial" w:eastAsia="Arial" w:hAnsi="Arial"/>
                <w:sz w:val="18"/>
                <w:szCs w:val="18"/>
                <w:b w:val="1"/>
                <w:bCs w:val="1"/>
                <w:color w:val="auto"/>
              </w:rPr>
              <w:t>Use of Expenditure</w:t>
            </w:r>
          </w:p>
        </w:tc>
        <w:tc>
          <w:tcPr>
            <w:tcW w:w="280" w:type="dxa"/>
            <w:vAlign w:val="bottom"/>
            <w:tcBorders>
              <w:bottom w:val="single" w:sz="8" w:color="auto"/>
              <w:right w:val="single" w:sz="8" w:color="auto"/>
            </w:tcBorders>
          </w:tcPr>
          <w:p>
            <w:pPr>
              <w:spacing w:after="0"/>
              <w:rPr>
                <w:sz w:val="19"/>
                <w:szCs w:val="19"/>
                <w:color w:val="auto"/>
              </w:rPr>
            </w:pPr>
          </w:p>
        </w:tc>
        <w:tc>
          <w:tcPr>
            <w:tcW w:w="1480" w:type="dxa"/>
            <w:vAlign w:val="bottom"/>
            <w:tcBorders>
              <w:bottom w:val="single" w:sz="8" w:color="auto"/>
              <w:right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Amount</w:t>
            </w:r>
          </w:p>
        </w:tc>
      </w:tr>
      <w:tr>
        <w:trPr>
          <w:trHeight w:val="223"/>
        </w:trPr>
        <w:tc>
          <w:tcPr>
            <w:tcW w:w="166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Jan. 2020</w:t>
            </w:r>
          </w:p>
        </w:tc>
        <w:tc>
          <w:tcPr>
            <w:tcW w:w="78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Loan repayment</w:t>
            </w:r>
          </w:p>
        </w:tc>
        <w:tc>
          <w:tcPr>
            <w:tcW w:w="280" w:type="dxa"/>
            <w:vAlign w:val="bottom"/>
            <w:tcBorders>
              <w:bottom w:val="single" w:sz="8" w:color="auto"/>
              <w:right w:val="single" w:sz="8" w:color="auto"/>
            </w:tcBorders>
          </w:tcPr>
          <w:p>
            <w:pPr>
              <w:spacing w:after="0"/>
              <w:rPr>
                <w:sz w:val="19"/>
                <w:szCs w:val="19"/>
                <w:color w:val="auto"/>
              </w:rPr>
            </w:pPr>
          </w:p>
        </w:tc>
        <w:tc>
          <w:tcPr>
            <w:tcW w:w="148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1,000.00</w:t>
            </w:r>
          </w:p>
        </w:tc>
      </w:tr>
      <w:tr>
        <w:trPr>
          <w:trHeight w:val="223"/>
        </w:trPr>
        <w:tc>
          <w:tcPr>
            <w:tcW w:w="166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Jan. 2020</w:t>
            </w:r>
          </w:p>
        </w:tc>
        <w:tc>
          <w:tcPr>
            <w:tcW w:w="78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Loan repayment</w:t>
            </w:r>
          </w:p>
        </w:tc>
        <w:tc>
          <w:tcPr>
            <w:tcW w:w="280" w:type="dxa"/>
            <w:vAlign w:val="bottom"/>
            <w:tcBorders>
              <w:bottom w:val="single" w:sz="8" w:color="auto"/>
              <w:right w:val="single" w:sz="8" w:color="auto"/>
            </w:tcBorders>
          </w:tcPr>
          <w:p>
            <w:pPr>
              <w:spacing w:after="0"/>
              <w:rPr>
                <w:sz w:val="19"/>
                <w:szCs w:val="19"/>
                <w:color w:val="auto"/>
              </w:rPr>
            </w:pPr>
          </w:p>
        </w:tc>
        <w:tc>
          <w:tcPr>
            <w:tcW w:w="148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1,220.00</w:t>
            </w:r>
          </w:p>
        </w:tc>
      </w:tr>
      <w:tr>
        <w:trPr>
          <w:trHeight w:val="223"/>
        </w:trPr>
        <w:tc>
          <w:tcPr>
            <w:tcW w:w="166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Jan. 2020</w:t>
            </w:r>
          </w:p>
        </w:tc>
        <w:tc>
          <w:tcPr>
            <w:tcW w:w="78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Loan repayment</w:t>
            </w:r>
          </w:p>
        </w:tc>
        <w:tc>
          <w:tcPr>
            <w:tcW w:w="280" w:type="dxa"/>
            <w:vAlign w:val="bottom"/>
            <w:tcBorders>
              <w:bottom w:val="single" w:sz="8" w:color="auto"/>
              <w:right w:val="single" w:sz="8" w:color="auto"/>
            </w:tcBorders>
          </w:tcPr>
          <w:p>
            <w:pPr>
              <w:spacing w:after="0"/>
              <w:rPr>
                <w:sz w:val="19"/>
                <w:szCs w:val="19"/>
                <w:color w:val="auto"/>
              </w:rPr>
            </w:pPr>
          </w:p>
        </w:tc>
        <w:tc>
          <w:tcPr>
            <w:tcW w:w="148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1,309.25</w:t>
            </w:r>
          </w:p>
        </w:tc>
      </w:tr>
      <w:tr>
        <w:trPr>
          <w:trHeight w:val="223"/>
        </w:trPr>
        <w:tc>
          <w:tcPr>
            <w:tcW w:w="166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Jan. 2020</w:t>
            </w:r>
          </w:p>
        </w:tc>
        <w:tc>
          <w:tcPr>
            <w:tcW w:w="78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Loan repayment</w:t>
            </w:r>
          </w:p>
        </w:tc>
        <w:tc>
          <w:tcPr>
            <w:tcW w:w="280" w:type="dxa"/>
            <w:vAlign w:val="bottom"/>
            <w:tcBorders>
              <w:bottom w:val="single" w:sz="8" w:color="auto"/>
              <w:right w:val="single" w:sz="8" w:color="auto"/>
            </w:tcBorders>
          </w:tcPr>
          <w:p>
            <w:pPr>
              <w:spacing w:after="0"/>
              <w:rPr>
                <w:sz w:val="19"/>
                <w:szCs w:val="19"/>
                <w:color w:val="auto"/>
              </w:rPr>
            </w:pPr>
          </w:p>
        </w:tc>
        <w:tc>
          <w:tcPr>
            <w:tcW w:w="148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1,000.00</w:t>
            </w:r>
          </w:p>
        </w:tc>
      </w:tr>
      <w:tr>
        <w:trPr>
          <w:trHeight w:val="223"/>
        </w:trPr>
        <w:tc>
          <w:tcPr>
            <w:tcW w:w="166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Jan. 2020</w:t>
            </w:r>
          </w:p>
        </w:tc>
        <w:tc>
          <w:tcPr>
            <w:tcW w:w="78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Loan repayment</w:t>
            </w:r>
          </w:p>
        </w:tc>
        <w:tc>
          <w:tcPr>
            <w:tcW w:w="280" w:type="dxa"/>
            <w:vAlign w:val="bottom"/>
            <w:tcBorders>
              <w:bottom w:val="single" w:sz="8" w:color="auto"/>
              <w:right w:val="single" w:sz="8" w:color="auto"/>
            </w:tcBorders>
          </w:tcPr>
          <w:p>
            <w:pPr>
              <w:spacing w:after="0"/>
              <w:rPr>
                <w:sz w:val="19"/>
                <w:szCs w:val="19"/>
                <w:color w:val="auto"/>
              </w:rPr>
            </w:pPr>
          </w:p>
        </w:tc>
        <w:tc>
          <w:tcPr>
            <w:tcW w:w="148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500.00</w:t>
            </w:r>
          </w:p>
        </w:tc>
      </w:tr>
      <w:tr>
        <w:trPr>
          <w:trHeight w:val="223"/>
        </w:trPr>
        <w:tc>
          <w:tcPr>
            <w:tcW w:w="166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Feb. 2020</w:t>
            </w:r>
          </w:p>
        </w:tc>
        <w:tc>
          <w:tcPr>
            <w:tcW w:w="78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Loan repayment</w:t>
            </w:r>
          </w:p>
        </w:tc>
        <w:tc>
          <w:tcPr>
            <w:tcW w:w="280" w:type="dxa"/>
            <w:vAlign w:val="bottom"/>
            <w:tcBorders>
              <w:bottom w:val="single" w:sz="8" w:color="auto"/>
              <w:right w:val="single" w:sz="8" w:color="auto"/>
            </w:tcBorders>
          </w:tcPr>
          <w:p>
            <w:pPr>
              <w:spacing w:after="0"/>
              <w:rPr>
                <w:sz w:val="19"/>
                <w:szCs w:val="19"/>
                <w:color w:val="auto"/>
              </w:rPr>
            </w:pPr>
          </w:p>
        </w:tc>
        <w:tc>
          <w:tcPr>
            <w:tcW w:w="148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500.00</w:t>
            </w:r>
          </w:p>
        </w:tc>
      </w:tr>
      <w:tr>
        <w:trPr>
          <w:trHeight w:val="223"/>
        </w:trPr>
        <w:tc>
          <w:tcPr>
            <w:tcW w:w="166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Feb. 2020</w:t>
            </w:r>
          </w:p>
        </w:tc>
        <w:tc>
          <w:tcPr>
            <w:tcW w:w="78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Loan repayment</w:t>
            </w:r>
          </w:p>
        </w:tc>
        <w:tc>
          <w:tcPr>
            <w:tcW w:w="280" w:type="dxa"/>
            <w:vAlign w:val="bottom"/>
            <w:tcBorders>
              <w:bottom w:val="single" w:sz="8" w:color="auto"/>
              <w:right w:val="single" w:sz="8" w:color="auto"/>
            </w:tcBorders>
          </w:tcPr>
          <w:p>
            <w:pPr>
              <w:spacing w:after="0"/>
              <w:rPr>
                <w:sz w:val="19"/>
                <w:szCs w:val="19"/>
                <w:color w:val="auto"/>
              </w:rPr>
            </w:pPr>
          </w:p>
        </w:tc>
        <w:tc>
          <w:tcPr>
            <w:tcW w:w="148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1,000.00</w:t>
            </w:r>
          </w:p>
        </w:tc>
      </w:tr>
      <w:tr>
        <w:trPr>
          <w:trHeight w:val="223"/>
        </w:trPr>
        <w:tc>
          <w:tcPr>
            <w:tcW w:w="166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Mar. 2020</w:t>
            </w:r>
          </w:p>
        </w:tc>
        <w:tc>
          <w:tcPr>
            <w:tcW w:w="78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Loan repayment</w:t>
            </w:r>
          </w:p>
        </w:tc>
        <w:tc>
          <w:tcPr>
            <w:tcW w:w="280" w:type="dxa"/>
            <w:vAlign w:val="bottom"/>
            <w:tcBorders>
              <w:bottom w:val="single" w:sz="8" w:color="auto"/>
              <w:right w:val="single" w:sz="8" w:color="auto"/>
            </w:tcBorders>
          </w:tcPr>
          <w:p>
            <w:pPr>
              <w:spacing w:after="0"/>
              <w:rPr>
                <w:sz w:val="19"/>
                <w:szCs w:val="19"/>
                <w:color w:val="auto"/>
              </w:rPr>
            </w:pPr>
          </w:p>
        </w:tc>
        <w:tc>
          <w:tcPr>
            <w:tcW w:w="148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2,269.76</w:t>
            </w:r>
          </w:p>
        </w:tc>
      </w:tr>
      <w:tr>
        <w:trPr>
          <w:trHeight w:val="223"/>
        </w:trPr>
        <w:tc>
          <w:tcPr>
            <w:tcW w:w="166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Apr. 2020</w:t>
            </w:r>
          </w:p>
        </w:tc>
        <w:tc>
          <w:tcPr>
            <w:tcW w:w="78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Loan repayment</w:t>
            </w:r>
          </w:p>
        </w:tc>
        <w:tc>
          <w:tcPr>
            <w:tcW w:w="280" w:type="dxa"/>
            <w:vAlign w:val="bottom"/>
            <w:tcBorders>
              <w:bottom w:val="single" w:sz="8" w:color="auto"/>
              <w:right w:val="single" w:sz="8" w:color="auto"/>
            </w:tcBorders>
          </w:tcPr>
          <w:p>
            <w:pPr>
              <w:spacing w:after="0"/>
              <w:rPr>
                <w:sz w:val="19"/>
                <w:szCs w:val="19"/>
                <w:color w:val="auto"/>
              </w:rPr>
            </w:pPr>
          </w:p>
        </w:tc>
        <w:tc>
          <w:tcPr>
            <w:tcW w:w="148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800.00</w:t>
            </w:r>
          </w:p>
        </w:tc>
      </w:tr>
      <w:tr>
        <w:trPr>
          <w:trHeight w:val="223"/>
        </w:trPr>
        <w:tc>
          <w:tcPr>
            <w:tcW w:w="166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May 2020</w:t>
            </w:r>
          </w:p>
        </w:tc>
        <w:tc>
          <w:tcPr>
            <w:tcW w:w="78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Deposit of grant fees under the grant contract for state-owned construction land use right</w:t>
            </w:r>
          </w:p>
        </w:tc>
        <w:tc>
          <w:tcPr>
            <w:tcW w:w="280" w:type="dxa"/>
            <w:vAlign w:val="bottom"/>
            <w:tcBorders>
              <w:bottom w:val="single" w:sz="8" w:color="auto"/>
              <w:right w:val="single" w:sz="8" w:color="auto"/>
            </w:tcBorders>
          </w:tcPr>
          <w:p>
            <w:pPr>
              <w:spacing w:after="0"/>
              <w:rPr>
                <w:sz w:val="19"/>
                <w:szCs w:val="19"/>
                <w:color w:val="auto"/>
              </w:rPr>
            </w:pPr>
          </w:p>
        </w:tc>
        <w:tc>
          <w:tcPr>
            <w:tcW w:w="148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1,233.60</w:t>
            </w:r>
          </w:p>
        </w:tc>
      </w:tr>
      <w:tr>
        <w:trPr>
          <w:trHeight w:val="223"/>
        </w:trPr>
        <w:tc>
          <w:tcPr>
            <w:tcW w:w="166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May 2020</w:t>
            </w:r>
          </w:p>
        </w:tc>
        <w:tc>
          <w:tcPr>
            <w:tcW w:w="78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Performance bond for land grant</w:t>
            </w:r>
          </w:p>
        </w:tc>
        <w:tc>
          <w:tcPr>
            <w:tcW w:w="280" w:type="dxa"/>
            <w:vAlign w:val="bottom"/>
            <w:tcBorders>
              <w:bottom w:val="single" w:sz="8" w:color="auto"/>
              <w:right w:val="single" w:sz="8" w:color="auto"/>
            </w:tcBorders>
          </w:tcPr>
          <w:p>
            <w:pPr>
              <w:spacing w:after="0"/>
              <w:rPr>
                <w:sz w:val="19"/>
                <w:szCs w:val="19"/>
                <w:color w:val="auto"/>
              </w:rPr>
            </w:pPr>
          </w:p>
        </w:tc>
        <w:tc>
          <w:tcPr>
            <w:tcW w:w="148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1,233.60</w:t>
            </w:r>
          </w:p>
        </w:tc>
      </w:tr>
      <w:tr>
        <w:trPr>
          <w:trHeight w:val="223"/>
        </w:trPr>
        <w:tc>
          <w:tcPr>
            <w:tcW w:w="166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Jun. 2020</w:t>
            </w:r>
          </w:p>
        </w:tc>
        <w:tc>
          <w:tcPr>
            <w:tcW w:w="78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Grant contract for state-owned construction land use right</w:t>
            </w:r>
          </w:p>
        </w:tc>
        <w:tc>
          <w:tcPr>
            <w:tcW w:w="280" w:type="dxa"/>
            <w:vAlign w:val="bottom"/>
            <w:tcBorders>
              <w:bottom w:val="single" w:sz="8" w:color="auto"/>
              <w:right w:val="single" w:sz="8" w:color="auto"/>
            </w:tcBorders>
          </w:tcPr>
          <w:p>
            <w:pPr>
              <w:spacing w:after="0"/>
              <w:rPr>
                <w:sz w:val="19"/>
                <w:szCs w:val="19"/>
                <w:color w:val="auto"/>
              </w:rPr>
            </w:pPr>
          </w:p>
        </w:tc>
        <w:tc>
          <w:tcPr>
            <w:tcW w:w="148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4,934.40</w:t>
            </w:r>
          </w:p>
        </w:tc>
      </w:tr>
      <w:tr>
        <w:trPr>
          <w:trHeight w:val="223"/>
        </w:trPr>
        <w:tc>
          <w:tcPr>
            <w:tcW w:w="166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Jun. 2020</w:t>
            </w:r>
          </w:p>
        </w:tc>
        <w:tc>
          <w:tcPr>
            <w:tcW w:w="782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93"/>
              </w:rPr>
              <w:t>Subscription funds for the Lease-sell Public Rental Housing (Phase III) Project of Lingang Industrial Park</w:t>
            </w:r>
          </w:p>
        </w:tc>
        <w:tc>
          <w:tcPr>
            <w:tcW w:w="280" w:type="dxa"/>
            <w:vAlign w:val="bottom"/>
            <w:tcBorders>
              <w:bottom w:val="single" w:sz="8" w:color="auto"/>
              <w:right w:val="single" w:sz="8" w:color="auto"/>
            </w:tcBorders>
          </w:tcPr>
          <w:p>
            <w:pPr>
              <w:spacing w:after="0"/>
              <w:rPr>
                <w:sz w:val="19"/>
                <w:szCs w:val="19"/>
                <w:color w:val="auto"/>
              </w:rPr>
            </w:pPr>
          </w:p>
        </w:tc>
        <w:tc>
          <w:tcPr>
            <w:tcW w:w="148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4,750.00</w:t>
            </w:r>
          </w:p>
        </w:tc>
      </w:tr>
      <w:tr>
        <w:trPr>
          <w:trHeight w:val="223"/>
        </w:trPr>
        <w:tc>
          <w:tcPr>
            <w:tcW w:w="166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Jun. 2020</w:t>
            </w:r>
          </w:p>
        </w:tc>
        <w:tc>
          <w:tcPr>
            <w:tcW w:w="78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Subscribed capital contribution to the strategic placement of China Fortune-Tech Capital</w:t>
            </w:r>
          </w:p>
        </w:tc>
        <w:tc>
          <w:tcPr>
            <w:tcW w:w="280" w:type="dxa"/>
            <w:vAlign w:val="bottom"/>
            <w:tcBorders>
              <w:bottom w:val="single" w:sz="8" w:color="auto"/>
              <w:right w:val="single" w:sz="8" w:color="auto"/>
            </w:tcBorders>
          </w:tcPr>
          <w:p>
            <w:pPr>
              <w:spacing w:after="0"/>
              <w:rPr>
                <w:sz w:val="19"/>
                <w:szCs w:val="19"/>
                <w:color w:val="auto"/>
              </w:rPr>
            </w:pPr>
          </w:p>
        </w:tc>
        <w:tc>
          <w:tcPr>
            <w:tcW w:w="148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4,000.00</w:t>
            </w:r>
          </w:p>
        </w:tc>
      </w:tr>
      <w:tr>
        <w:trPr>
          <w:trHeight w:val="223"/>
        </w:trPr>
        <w:tc>
          <w:tcPr>
            <w:tcW w:w="166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Jun. 2020</w:t>
            </w:r>
          </w:p>
        </w:tc>
        <w:tc>
          <w:tcPr>
            <w:tcW w:w="78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Subscribed capital contribution to the strategic placement of China Fortune-Tech Capital</w:t>
            </w:r>
          </w:p>
        </w:tc>
        <w:tc>
          <w:tcPr>
            <w:tcW w:w="280" w:type="dxa"/>
            <w:vAlign w:val="bottom"/>
            <w:tcBorders>
              <w:bottom w:val="single" w:sz="8" w:color="auto"/>
              <w:right w:val="single" w:sz="8" w:color="auto"/>
            </w:tcBorders>
          </w:tcPr>
          <w:p>
            <w:pPr>
              <w:spacing w:after="0"/>
              <w:rPr>
                <w:sz w:val="19"/>
                <w:szCs w:val="19"/>
                <w:color w:val="auto"/>
              </w:rPr>
            </w:pPr>
          </w:p>
        </w:tc>
        <w:tc>
          <w:tcPr>
            <w:tcW w:w="148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6,000.00</w:t>
            </w:r>
          </w:p>
        </w:tc>
      </w:tr>
      <w:tr>
        <w:trPr>
          <w:trHeight w:val="223"/>
        </w:trPr>
        <w:tc>
          <w:tcPr>
            <w:tcW w:w="1660" w:type="dxa"/>
            <w:vAlign w:val="bottom"/>
            <w:tcBorders>
              <w:left w:val="single" w:sz="8" w:color="auto"/>
              <w:bottom w:val="single" w:sz="8" w:color="auto"/>
            </w:tcBorders>
          </w:tcPr>
          <w:p>
            <w:pPr>
              <w:spacing w:after="0"/>
              <w:rPr>
                <w:sz w:val="19"/>
                <w:szCs w:val="19"/>
                <w:color w:val="auto"/>
              </w:rPr>
            </w:pPr>
          </w:p>
        </w:tc>
        <w:tc>
          <w:tcPr>
            <w:tcW w:w="7820" w:type="dxa"/>
            <w:vAlign w:val="bottom"/>
            <w:tcBorders>
              <w:bottom w:val="single" w:sz="8" w:color="auto"/>
            </w:tcBorders>
          </w:tcPr>
          <w:p>
            <w:pPr>
              <w:ind w:left="3040"/>
              <w:spacing w:after="0"/>
              <w:rPr>
                <w:sz w:val="20"/>
                <w:szCs w:val="20"/>
                <w:color w:val="auto"/>
              </w:rPr>
            </w:pPr>
            <w:r>
              <w:rPr>
                <w:rFonts w:ascii="Arial" w:cs="Arial" w:eastAsia="Arial" w:hAnsi="Arial"/>
                <w:sz w:val="18"/>
                <w:szCs w:val="18"/>
                <w:color w:val="auto"/>
              </w:rPr>
              <w:t>Total</w:t>
            </w:r>
          </w:p>
        </w:tc>
        <w:tc>
          <w:tcPr>
            <w:tcW w:w="280" w:type="dxa"/>
            <w:vAlign w:val="bottom"/>
            <w:tcBorders>
              <w:bottom w:val="single" w:sz="8" w:color="auto"/>
              <w:right w:val="single" w:sz="8" w:color="auto"/>
            </w:tcBorders>
          </w:tcPr>
          <w:p>
            <w:pPr>
              <w:spacing w:after="0"/>
              <w:rPr>
                <w:sz w:val="19"/>
                <w:szCs w:val="19"/>
                <w:color w:val="auto"/>
              </w:rPr>
            </w:pPr>
          </w:p>
        </w:tc>
        <w:tc>
          <w:tcPr>
            <w:tcW w:w="148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b w:val="1"/>
                <w:bCs w:val="1"/>
                <w:color w:val="auto"/>
              </w:rPr>
              <w:t>31,750.61</w:t>
            </w:r>
          </w:p>
        </w:tc>
      </w:tr>
    </w:tbl>
    <w:p>
      <w:pPr>
        <w:spacing w:after="0" w:line="229" w:lineRule="exact"/>
        <w:rPr>
          <w:sz w:val="20"/>
          <w:szCs w:val="20"/>
          <w:color w:val="auto"/>
        </w:rPr>
      </w:pPr>
    </w:p>
    <w:p>
      <w:pPr>
        <w:jc w:val="both"/>
        <w:ind w:firstLine="324"/>
        <w:spacing w:after="0" w:line="272" w:lineRule="auto"/>
        <w:rPr>
          <w:sz w:val="20"/>
          <w:szCs w:val="20"/>
          <w:color w:val="auto"/>
        </w:rPr>
      </w:pPr>
      <w:r>
        <w:rPr>
          <w:rFonts w:ascii="Arial" w:cs="Arial" w:eastAsia="Arial" w:hAnsi="Arial"/>
          <w:sz w:val="17"/>
          <w:szCs w:val="17"/>
          <w:color w:val="auto"/>
        </w:rPr>
        <w:t>In the first half of 2020, short-term liquidity shortage arose to the Issuer with the influence of the voluntary restricted funds, the demand for funds for the construction of Lingang project by the Issuer, and the expansion of procurement and production scale. As per the practice of most banks in China with respect to requirements of loans and credit lines, the Issuer’s de facto controller, HUI WANG, was required to provide a guarantee for the Issuer securing the Issuer’s short-term borrowing of RMB182.389 million from January to June 2020 to meet the liquidity demand, such as payment for purchasing raw materials. With the increase of the commercial reputation of the Issuer, the de facto controller HUI WANG will gradually reduce the loan guarantee. Meanwhile, to maintain a long-term credit relationship with the Chinese banks, the Company will keep certain loans even if the restrictions on funds are released and the Company is cash-rich, which is in line with the normal business operation mode.</w:t>
      </w:r>
    </w:p>
    <w:p>
      <w:pPr>
        <w:spacing w:after="0" w:line="204"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In view of the above, it is reasonable for the Issuer to accept HUI WANG’s guarantee for obtaining short-term loans in the first half of 2020 due to the voluntary restricted funds and the capital demand for business development.</w:t>
      </w:r>
    </w:p>
    <w:p>
      <w:pPr>
        <w:spacing w:after="0" w:line="193"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(iv) Cash</w:t>
      </w:r>
    </w:p>
    <w:p>
      <w:pPr>
        <w:spacing w:after="0" w:line="256"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The Company has checked the financial data presented in the Short-sell Report with that in ACMR’s consolidated financial statements disclosed by ACMR, and found that JCAP incorrectly referenced the amount of “total current assets” in the consolidated financial statements of ACMR for 2017 and 2018 as the “total cash and equivalents” in the Short-sell Report when presenting the financial data.</w:t>
      </w: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8-4-1-53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2" w:right="339" w:bottom="1440" w:gutter="0" w:footer="0" w:header="0"/>
        </w:sectPr>
      </w:pPr>
    </w:p>
    <w:bookmarkStart w:id="57" w:name="page58"/>
    <w:bookmarkEnd w:id="57"/>
    <w:p>
      <w:pPr>
        <w:ind w:left="660"/>
        <w:spacing w:after="0"/>
        <w:rPr>
          <w:sz w:val="20"/>
          <w:szCs w:val="20"/>
          <w:color w:val="auto"/>
        </w:rPr>
      </w:pPr>
      <w:r>
        <w:rPr>
          <w:rFonts w:ascii="Arial" w:cs="Arial" w:eastAsia="Arial" w:hAnsi="Arial"/>
          <w:sz w:val="16"/>
          <w:szCs w:val="16"/>
          <w:color w:val="auto"/>
        </w:rPr>
        <w:t>The main reason for the Company to obtain short-term loans is to supplement cash for operation. For details, please refer to “Other Challenge 2:</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About Guarantee and Bank Loan” herein.</w:t>
      </w:r>
    </w:p>
    <w:p>
      <w:pPr>
        <w:spacing w:after="0" w:line="238"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At the end of 2017, 2018 and 2019, the comparison between ACMR’s consolidated financial statements and the Company’s consolidated financial statements as to the cash was as follows:</w:t>
      </w:r>
    </w:p>
    <w:p>
      <w:pPr>
        <w:spacing w:after="0" w:line="197" w:lineRule="exact"/>
        <w:rPr>
          <w:sz w:val="20"/>
          <w:szCs w:val="20"/>
          <w:color w:val="auto"/>
        </w:rPr>
      </w:pPr>
    </w:p>
    <w:tbl>
      <w:tblPr>
        <w:tblLayout w:type="fixed"/>
        <w:tblInd w:w="10" w:type="dxa"/>
        <w:tblCellMar>
          <w:top w:w="0" w:type="dxa"/>
          <w:left w:w="0" w:type="dxa"/>
          <w:bottom w:w="0" w:type="dxa"/>
          <w:right w:w="0" w:type="dxa"/>
        </w:tblCellMar>
      </w:tblPr>
      <w:tr>
        <w:trPr>
          <w:trHeight w:val="230"/>
        </w:trPr>
        <w:tc>
          <w:tcPr>
            <w:tcW w:w="3860" w:type="dxa"/>
            <w:vAlign w:val="bottom"/>
          </w:tcPr>
          <w:p>
            <w:pPr>
              <w:spacing w:after="0"/>
              <w:rPr>
                <w:sz w:val="20"/>
                <w:szCs w:val="20"/>
                <w:color w:val="auto"/>
              </w:rPr>
            </w:pPr>
          </w:p>
        </w:tc>
        <w:tc>
          <w:tcPr>
            <w:tcW w:w="2460" w:type="dxa"/>
            <w:vAlign w:val="bottom"/>
          </w:tcPr>
          <w:p>
            <w:pPr>
              <w:spacing w:after="0"/>
              <w:rPr>
                <w:sz w:val="20"/>
                <w:szCs w:val="20"/>
                <w:color w:val="auto"/>
              </w:rPr>
            </w:pPr>
          </w:p>
        </w:tc>
        <w:tc>
          <w:tcPr>
            <w:tcW w:w="2480" w:type="dxa"/>
            <w:vAlign w:val="bottom"/>
          </w:tcPr>
          <w:p>
            <w:pPr>
              <w:spacing w:after="0"/>
              <w:rPr>
                <w:sz w:val="20"/>
                <w:szCs w:val="20"/>
                <w:color w:val="auto"/>
              </w:rPr>
            </w:pPr>
          </w:p>
        </w:tc>
        <w:tc>
          <w:tcPr>
            <w:tcW w:w="2440" w:type="dxa"/>
            <w:vAlign w:val="bottom"/>
          </w:tcPr>
          <w:p>
            <w:pPr>
              <w:jc w:val="right"/>
              <w:spacing w:after="0"/>
              <w:rPr>
                <w:sz w:val="20"/>
                <w:szCs w:val="20"/>
                <w:color w:val="auto"/>
              </w:rPr>
            </w:pPr>
            <w:r>
              <w:rPr>
                <w:rFonts w:ascii="Arial" w:cs="Arial" w:eastAsia="Arial" w:hAnsi="Arial"/>
                <w:sz w:val="18"/>
                <w:szCs w:val="18"/>
                <w:color w:val="auto"/>
              </w:rPr>
              <w:t>Unit: USD1,000</w:t>
            </w:r>
          </w:p>
        </w:tc>
      </w:tr>
      <w:tr>
        <w:trPr>
          <w:trHeight w:val="250"/>
        </w:trPr>
        <w:tc>
          <w:tcPr>
            <w:tcW w:w="3860" w:type="dxa"/>
            <w:vAlign w:val="bottom"/>
            <w:tcBorders>
              <w:bottom w:val="single" w:sz="8" w:color="auto"/>
            </w:tcBorders>
          </w:tcPr>
          <w:p>
            <w:pPr>
              <w:spacing w:after="0"/>
              <w:rPr>
                <w:sz w:val="21"/>
                <w:szCs w:val="21"/>
                <w:color w:val="auto"/>
              </w:rPr>
            </w:pPr>
          </w:p>
        </w:tc>
        <w:tc>
          <w:tcPr>
            <w:tcW w:w="2460" w:type="dxa"/>
            <w:vAlign w:val="bottom"/>
            <w:tcBorders>
              <w:bottom w:val="single" w:sz="8" w:color="auto"/>
            </w:tcBorders>
          </w:tcPr>
          <w:p>
            <w:pPr>
              <w:spacing w:after="0"/>
              <w:rPr>
                <w:sz w:val="21"/>
                <w:szCs w:val="21"/>
                <w:color w:val="auto"/>
              </w:rPr>
            </w:pPr>
          </w:p>
        </w:tc>
        <w:tc>
          <w:tcPr>
            <w:tcW w:w="2480" w:type="dxa"/>
            <w:vAlign w:val="bottom"/>
            <w:tcBorders>
              <w:bottom w:val="single" w:sz="8" w:color="auto"/>
            </w:tcBorders>
          </w:tcPr>
          <w:p>
            <w:pPr>
              <w:spacing w:after="0"/>
              <w:rPr>
                <w:sz w:val="21"/>
                <w:szCs w:val="21"/>
                <w:color w:val="auto"/>
              </w:rPr>
            </w:pPr>
          </w:p>
        </w:tc>
        <w:tc>
          <w:tcPr>
            <w:tcW w:w="2440" w:type="dxa"/>
            <w:vAlign w:val="bottom"/>
            <w:tcBorders>
              <w:bottom w:val="single" w:sz="8" w:color="auto"/>
            </w:tcBorders>
          </w:tcPr>
          <w:p>
            <w:pPr>
              <w:spacing w:after="0"/>
              <w:rPr>
                <w:sz w:val="21"/>
                <w:szCs w:val="21"/>
                <w:color w:val="auto"/>
              </w:rPr>
            </w:pPr>
          </w:p>
        </w:tc>
      </w:tr>
      <w:tr>
        <w:trPr>
          <w:trHeight w:val="223"/>
        </w:trPr>
        <w:tc>
          <w:tcPr>
            <w:tcW w:w="3860" w:type="dxa"/>
            <w:vAlign w:val="bottom"/>
            <w:tcBorders>
              <w:left w:val="single" w:sz="8" w:color="auto"/>
              <w:bottom w:val="single" w:sz="8" w:color="auto"/>
              <w:right w:val="single" w:sz="8" w:color="auto"/>
            </w:tcBorders>
          </w:tcPr>
          <w:p>
            <w:pPr>
              <w:jc w:val="right"/>
              <w:ind w:right="1650"/>
              <w:spacing w:after="0"/>
              <w:rPr>
                <w:sz w:val="20"/>
                <w:szCs w:val="20"/>
                <w:color w:val="auto"/>
              </w:rPr>
            </w:pPr>
            <w:r>
              <w:rPr>
                <w:rFonts w:ascii="Arial" w:cs="Arial" w:eastAsia="Arial" w:hAnsi="Arial"/>
                <w:sz w:val="18"/>
                <w:szCs w:val="18"/>
                <w:b w:val="1"/>
                <w:bCs w:val="1"/>
                <w:color w:val="auto"/>
              </w:rPr>
              <w:t>Item</w:t>
            </w:r>
          </w:p>
        </w:tc>
        <w:tc>
          <w:tcPr>
            <w:tcW w:w="2460" w:type="dxa"/>
            <w:vAlign w:val="bottom"/>
            <w:tcBorders>
              <w:bottom w:val="single" w:sz="8" w:color="auto"/>
              <w:right w:val="single" w:sz="8" w:color="auto"/>
            </w:tcBorders>
          </w:tcPr>
          <w:p>
            <w:pPr>
              <w:jc w:val="right"/>
              <w:ind w:right="630"/>
              <w:spacing w:after="0"/>
              <w:rPr>
                <w:sz w:val="20"/>
                <w:szCs w:val="20"/>
                <w:color w:val="auto"/>
              </w:rPr>
            </w:pPr>
            <w:r>
              <w:rPr>
                <w:rFonts w:ascii="Arial" w:cs="Arial" w:eastAsia="Arial" w:hAnsi="Arial"/>
                <w:sz w:val="18"/>
                <w:szCs w:val="18"/>
                <w:b w:val="1"/>
                <w:bCs w:val="1"/>
                <w:color w:val="auto"/>
              </w:rPr>
              <w:t>Dec. 31, 2019</w:t>
            </w:r>
          </w:p>
        </w:tc>
        <w:tc>
          <w:tcPr>
            <w:tcW w:w="2480" w:type="dxa"/>
            <w:vAlign w:val="bottom"/>
            <w:tcBorders>
              <w:bottom w:val="single" w:sz="8" w:color="auto"/>
              <w:right w:val="single" w:sz="8" w:color="auto"/>
            </w:tcBorders>
          </w:tcPr>
          <w:p>
            <w:pPr>
              <w:jc w:val="right"/>
              <w:ind w:right="630"/>
              <w:spacing w:after="0"/>
              <w:rPr>
                <w:sz w:val="20"/>
                <w:szCs w:val="20"/>
                <w:color w:val="auto"/>
              </w:rPr>
            </w:pPr>
            <w:r>
              <w:rPr>
                <w:rFonts w:ascii="Arial" w:cs="Arial" w:eastAsia="Arial" w:hAnsi="Arial"/>
                <w:sz w:val="18"/>
                <w:szCs w:val="18"/>
                <w:b w:val="1"/>
                <w:bCs w:val="1"/>
                <w:color w:val="auto"/>
              </w:rPr>
              <w:t>Dec. 31, 2018</w:t>
            </w:r>
          </w:p>
        </w:tc>
        <w:tc>
          <w:tcPr>
            <w:tcW w:w="2440" w:type="dxa"/>
            <w:vAlign w:val="bottom"/>
            <w:tcBorders>
              <w:bottom w:val="single" w:sz="8" w:color="auto"/>
              <w:right w:val="single" w:sz="8" w:color="auto"/>
            </w:tcBorders>
          </w:tcPr>
          <w:p>
            <w:pPr>
              <w:jc w:val="right"/>
              <w:ind w:right="630"/>
              <w:spacing w:after="0"/>
              <w:rPr>
                <w:sz w:val="20"/>
                <w:szCs w:val="20"/>
                <w:color w:val="auto"/>
              </w:rPr>
            </w:pPr>
            <w:r>
              <w:rPr>
                <w:rFonts w:ascii="Arial" w:cs="Arial" w:eastAsia="Arial" w:hAnsi="Arial"/>
                <w:sz w:val="18"/>
                <w:szCs w:val="18"/>
                <w:b w:val="1"/>
                <w:bCs w:val="1"/>
                <w:color w:val="auto"/>
              </w:rPr>
              <w:t>Dec. 31, 2017</w:t>
            </w:r>
          </w:p>
        </w:tc>
      </w:tr>
      <w:tr>
        <w:trPr>
          <w:trHeight w:val="223"/>
        </w:trPr>
        <w:tc>
          <w:tcPr>
            <w:tcW w:w="3860" w:type="dxa"/>
            <w:vAlign w:val="bottom"/>
            <w:tcBorders>
              <w:left w:val="single" w:sz="8" w:color="auto"/>
              <w:bottom w:val="single" w:sz="8" w:color="auto"/>
              <w:right w:val="single" w:sz="8" w:color="auto"/>
            </w:tcBorders>
          </w:tcPr>
          <w:p>
            <w:pPr>
              <w:jc w:val="right"/>
              <w:ind w:right="70"/>
              <w:spacing w:after="0"/>
              <w:rPr>
                <w:sz w:val="20"/>
                <w:szCs w:val="20"/>
                <w:color w:val="auto"/>
              </w:rPr>
            </w:pPr>
            <w:r>
              <w:rPr>
                <w:rFonts w:ascii="Arial" w:cs="Arial" w:eastAsia="Arial" w:hAnsi="Arial"/>
                <w:sz w:val="18"/>
                <w:szCs w:val="18"/>
                <w:color w:val="auto"/>
                <w:w w:val="91"/>
              </w:rPr>
              <w:t>Cash in ACMR’s consolidated financial statements</w:t>
            </w:r>
          </w:p>
        </w:tc>
        <w:tc>
          <w:tcPr>
            <w:tcW w:w="246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117,859</w:t>
            </w:r>
          </w:p>
        </w:tc>
        <w:tc>
          <w:tcPr>
            <w:tcW w:w="248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27,124</w:t>
            </w:r>
          </w:p>
        </w:tc>
        <w:tc>
          <w:tcPr>
            <w:tcW w:w="244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17,681</w:t>
            </w:r>
          </w:p>
        </w:tc>
      </w:tr>
      <w:tr>
        <w:trPr>
          <w:trHeight w:val="223"/>
        </w:trPr>
        <w:tc>
          <w:tcPr>
            <w:tcW w:w="3860" w:type="dxa"/>
            <w:vAlign w:val="bottom"/>
            <w:tcBorders>
              <w:left w:val="single" w:sz="8" w:color="auto"/>
              <w:bottom w:val="single" w:sz="8" w:color="auto"/>
              <w:right w:val="single" w:sz="8" w:color="auto"/>
            </w:tcBorders>
          </w:tcPr>
          <w:p>
            <w:pPr>
              <w:jc w:val="right"/>
              <w:ind w:right="1830"/>
              <w:spacing w:after="0"/>
              <w:rPr>
                <w:sz w:val="20"/>
                <w:szCs w:val="20"/>
                <w:color w:val="auto"/>
              </w:rPr>
            </w:pPr>
            <w:r>
              <w:rPr>
                <w:rFonts w:ascii="Arial" w:cs="Arial" w:eastAsia="Arial" w:hAnsi="Arial"/>
                <w:sz w:val="18"/>
                <w:szCs w:val="18"/>
                <w:color w:val="auto"/>
                <w:w w:val="96"/>
              </w:rPr>
              <w:t>Including: ACMR (single)</w:t>
            </w:r>
          </w:p>
        </w:tc>
        <w:tc>
          <w:tcPr>
            <w:tcW w:w="246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27,733</w:t>
            </w:r>
          </w:p>
        </w:tc>
        <w:tc>
          <w:tcPr>
            <w:tcW w:w="248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13,160</w:t>
            </w:r>
          </w:p>
        </w:tc>
        <w:tc>
          <w:tcPr>
            <w:tcW w:w="244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10,874</w:t>
            </w:r>
          </w:p>
        </w:tc>
      </w:tr>
      <w:tr>
        <w:trPr>
          <w:trHeight w:val="223"/>
        </w:trPr>
        <w:tc>
          <w:tcPr>
            <w:tcW w:w="3860" w:type="dxa"/>
            <w:vAlign w:val="bottom"/>
            <w:tcBorders>
              <w:left w:val="single" w:sz="8" w:color="auto"/>
              <w:bottom w:val="single" w:sz="8" w:color="auto"/>
              <w:right w:val="single" w:sz="8" w:color="auto"/>
            </w:tcBorders>
          </w:tcPr>
          <w:p>
            <w:pPr>
              <w:jc w:val="right"/>
              <w:ind w:right="2550"/>
              <w:spacing w:after="0"/>
              <w:rPr>
                <w:sz w:val="20"/>
                <w:szCs w:val="20"/>
                <w:color w:val="auto"/>
              </w:rPr>
            </w:pPr>
            <w:r>
              <w:rPr>
                <w:rFonts w:ascii="Arial" w:cs="Arial" w:eastAsia="Arial" w:hAnsi="Arial"/>
                <w:sz w:val="18"/>
                <w:szCs w:val="18"/>
                <w:color w:val="auto"/>
              </w:rPr>
              <w:t>ACM Cayman</w:t>
            </w:r>
          </w:p>
        </w:tc>
        <w:tc>
          <w:tcPr>
            <w:tcW w:w="246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48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44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w:t>
            </w:r>
          </w:p>
        </w:tc>
      </w:tr>
      <w:tr>
        <w:trPr>
          <w:trHeight w:val="223"/>
        </w:trPr>
        <w:tc>
          <w:tcPr>
            <w:tcW w:w="3860" w:type="dxa"/>
            <w:vAlign w:val="bottom"/>
            <w:tcBorders>
              <w:left w:val="single" w:sz="8" w:color="auto"/>
              <w:bottom w:val="single" w:sz="8" w:color="auto"/>
              <w:right w:val="single" w:sz="8" w:color="auto"/>
            </w:tcBorders>
          </w:tcPr>
          <w:p>
            <w:pPr>
              <w:jc w:val="right"/>
              <w:ind w:right="1830"/>
              <w:spacing w:after="0"/>
              <w:rPr>
                <w:sz w:val="20"/>
                <w:szCs w:val="20"/>
                <w:color w:val="auto"/>
              </w:rPr>
            </w:pPr>
            <w:r>
              <w:rPr>
                <w:rFonts w:ascii="Arial" w:cs="Arial" w:eastAsia="Arial" w:hAnsi="Arial"/>
                <w:sz w:val="18"/>
                <w:szCs w:val="18"/>
                <w:color w:val="auto"/>
                <w:w w:val="98"/>
              </w:rPr>
              <w:t>Company (consolidated)</w:t>
            </w:r>
          </w:p>
        </w:tc>
        <w:tc>
          <w:tcPr>
            <w:tcW w:w="246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90,126</w:t>
            </w:r>
          </w:p>
        </w:tc>
        <w:tc>
          <w:tcPr>
            <w:tcW w:w="248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13,964</w:t>
            </w:r>
          </w:p>
        </w:tc>
        <w:tc>
          <w:tcPr>
            <w:tcW w:w="244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6,807</w:t>
            </w:r>
          </w:p>
        </w:tc>
      </w:tr>
    </w:tbl>
    <w:p>
      <w:pPr>
        <w:spacing w:after="0" w:line="229"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Note: The cash of the Company at the end of 2019 above included the principal amount of financial products disclosed in “other current assets” of the financial statements.</w:t>
      </w:r>
    </w:p>
    <w:p>
      <w:pPr>
        <w:spacing w:after="0" w:line="197"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As shown above, ACM Cayman was established in 2019 and had not started operation by the end of 2019. ACM Cayman has not opened a bank account and holds no cash. The gap in cash between the Company and ACMR represents the cash held and deposited in the United States by ACMR rather than the cash held by ACM Cayman. Therefore, it is incorrect for the Short-sell Report to state “that gap may be explained by cash in the Caymans company that belongs to the U.S.-listed entity.”</w:t>
      </w:r>
    </w:p>
    <w:p>
      <w:pPr>
        <w:spacing w:after="0" w:line="200" w:lineRule="exact"/>
        <w:rPr>
          <w:sz w:val="20"/>
          <w:szCs w:val="20"/>
          <w:color w:val="auto"/>
        </w:rPr>
      </w:pPr>
    </w:p>
    <w:p>
      <w:pPr>
        <w:ind w:left="340"/>
        <w:spacing w:after="0"/>
        <w:rPr>
          <w:sz w:val="20"/>
          <w:szCs w:val="20"/>
          <w:color w:val="auto"/>
        </w:rPr>
      </w:pPr>
      <w:r>
        <w:rPr>
          <w:rFonts w:ascii="Arial" w:cs="Arial" w:eastAsia="Arial" w:hAnsi="Arial"/>
          <w:sz w:val="22"/>
          <w:szCs w:val="22"/>
          <w:b w:val="1"/>
          <w:bCs w:val="1"/>
          <w:color w:val="auto"/>
        </w:rPr>
        <w:t>(v) Overseas Cash Deposits</w:t>
      </w:r>
    </w:p>
    <w:p>
      <w:pPr>
        <w:spacing w:after="0" w:line="233" w:lineRule="exact"/>
        <w:rPr>
          <w:sz w:val="20"/>
          <w:szCs w:val="20"/>
          <w:color w:val="auto"/>
        </w:rPr>
      </w:pPr>
    </w:p>
    <w:p>
      <w:pPr>
        <w:ind w:left="340"/>
        <w:spacing w:after="0"/>
        <w:rPr>
          <w:sz w:val="20"/>
          <w:szCs w:val="20"/>
          <w:color w:val="auto"/>
        </w:rPr>
      </w:pPr>
      <w:r>
        <w:rPr>
          <w:rFonts w:ascii="Arial" w:cs="Arial" w:eastAsia="Arial" w:hAnsi="Arial"/>
          <w:sz w:val="22"/>
          <w:szCs w:val="22"/>
          <w:b w:val="1"/>
          <w:bCs w:val="1"/>
          <w:color w:val="auto"/>
        </w:rPr>
        <w:t>1. Statement of Overseas Bank Deposits</w:t>
      </w:r>
    </w:p>
    <w:p>
      <w:pPr>
        <w:spacing w:after="0" w:line="239" w:lineRule="exact"/>
        <w:rPr>
          <w:sz w:val="20"/>
          <w:szCs w:val="20"/>
          <w:color w:val="auto"/>
        </w:rPr>
      </w:pPr>
    </w:p>
    <w:tbl>
      <w:tblPr>
        <w:tblLayout w:type="fixed"/>
        <w:tblInd w:w="10" w:type="dxa"/>
        <w:tblCellMar>
          <w:top w:w="0" w:type="dxa"/>
          <w:left w:w="0" w:type="dxa"/>
          <w:bottom w:w="0" w:type="dxa"/>
          <w:right w:w="0" w:type="dxa"/>
        </w:tblCellMar>
      </w:tblPr>
      <w:tr>
        <w:trPr>
          <w:trHeight w:val="274"/>
        </w:trPr>
        <w:tc>
          <w:tcPr>
            <w:tcW w:w="1580" w:type="dxa"/>
            <w:vAlign w:val="bottom"/>
          </w:tcPr>
          <w:p>
            <w:pPr>
              <w:spacing w:after="0"/>
              <w:rPr>
                <w:sz w:val="23"/>
                <w:szCs w:val="23"/>
                <w:color w:val="auto"/>
              </w:rPr>
            </w:pPr>
          </w:p>
        </w:tc>
        <w:tc>
          <w:tcPr>
            <w:tcW w:w="1420" w:type="dxa"/>
            <w:vAlign w:val="bottom"/>
          </w:tcPr>
          <w:p>
            <w:pPr>
              <w:spacing w:after="0"/>
              <w:rPr>
                <w:sz w:val="23"/>
                <w:szCs w:val="23"/>
                <w:color w:val="auto"/>
              </w:rPr>
            </w:pPr>
          </w:p>
        </w:tc>
        <w:tc>
          <w:tcPr>
            <w:tcW w:w="1660" w:type="dxa"/>
            <w:vAlign w:val="bottom"/>
          </w:tcPr>
          <w:p>
            <w:pPr>
              <w:spacing w:after="0"/>
              <w:rPr>
                <w:sz w:val="23"/>
                <w:szCs w:val="23"/>
                <w:color w:val="auto"/>
              </w:rPr>
            </w:pPr>
          </w:p>
        </w:tc>
        <w:tc>
          <w:tcPr>
            <w:tcW w:w="1520" w:type="dxa"/>
            <w:vAlign w:val="bottom"/>
          </w:tcPr>
          <w:p>
            <w:pPr>
              <w:spacing w:after="0"/>
              <w:rPr>
                <w:sz w:val="23"/>
                <w:szCs w:val="23"/>
                <w:color w:val="auto"/>
              </w:rPr>
            </w:pPr>
          </w:p>
        </w:tc>
        <w:tc>
          <w:tcPr>
            <w:tcW w:w="1620" w:type="dxa"/>
            <w:vAlign w:val="bottom"/>
          </w:tcPr>
          <w:p>
            <w:pPr>
              <w:spacing w:after="0"/>
              <w:rPr>
                <w:sz w:val="23"/>
                <w:szCs w:val="23"/>
                <w:color w:val="auto"/>
              </w:rPr>
            </w:pPr>
          </w:p>
        </w:tc>
        <w:tc>
          <w:tcPr>
            <w:tcW w:w="3440" w:type="dxa"/>
            <w:vAlign w:val="bottom"/>
          </w:tcPr>
          <w:p>
            <w:pPr>
              <w:ind w:left="1860"/>
              <w:spacing w:after="0"/>
              <w:rPr>
                <w:sz w:val="20"/>
                <w:szCs w:val="20"/>
                <w:color w:val="auto"/>
              </w:rPr>
            </w:pPr>
            <w:r>
              <w:rPr>
                <w:rFonts w:ascii="Arial" w:cs="Arial" w:eastAsia="Arial" w:hAnsi="Arial"/>
                <w:sz w:val="22"/>
                <w:szCs w:val="22"/>
                <w:color w:val="auto"/>
                <w:w w:val="91"/>
              </w:rPr>
              <w:t>Unit: RMB10,000</w:t>
            </w:r>
          </w:p>
        </w:tc>
        <w:tc>
          <w:tcPr>
            <w:tcW w:w="0" w:type="dxa"/>
            <w:vAlign w:val="bottom"/>
          </w:tcPr>
          <w:p>
            <w:pPr>
              <w:spacing w:after="0"/>
              <w:rPr>
                <w:sz w:val="1"/>
                <w:szCs w:val="1"/>
                <w:color w:val="auto"/>
              </w:rPr>
            </w:pPr>
          </w:p>
        </w:tc>
      </w:tr>
      <w:tr>
        <w:trPr>
          <w:trHeight w:val="240"/>
        </w:trPr>
        <w:tc>
          <w:tcPr>
            <w:tcW w:w="1580" w:type="dxa"/>
            <w:vAlign w:val="bottom"/>
            <w:tcBorders>
              <w:bottom w:val="single" w:sz="8" w:color="auto"/>
            </w:tcBorders>
          </w:tcPr>
          <w:p>
            <w:pPr>
              <w:spacing w:after="0"/>
              <w:rPr>
                <w:sz w:val="20"/>
                <w:szCs w:val="20"/>
                <w:color w:val="auto"/>
              </w:rPr>
            </w:pPr>
          </w:p>
        </w:tc>
        <w:tc>
          <w:tcPr>
            <w:tcW w:w="1420" w:type="dxa"/>
            <w:vAlign w:val="bottom"/>
            <w:tcBorders>
              <w:bottom w:val="single" w:sz="8" w:color="auto"/>
            </w:tcBorders>
          </w:tcPr>
          <w:p>
            <w:pPr>
              <w:spacing w:after="0"/>
              <w:rPr>
                <w:sz w:val="20"/>
                <w:szCs w:val="20"/>
                <w:color w:val="auto"/>
              </w:rPr>
            </w:pPr>
          </w:p>
        </w:tc>
        <w:tc>
          <w:tcPr>
            <w:tcW w:w="1660" w:type="dxa"/>
            <w:vAlign w:val="bottom"/>
            <w:tcBorders>
              <w:bottom w:val="single" w:sz="8" w:color="auto"/>
            </w:tcBorders>
          </w:tcPr>
          <w:p>
            <w:pPr>
              <w:spacing w:after="0"/>
              <w:rPr>
                <w:sz w:val="20"/>
                <w:szCs w:val="20"/>
                <w:color w:val="auto"/>
              </w:rPr>
            </w:pPr>
          </w:p>
        </w:tc>
        <w:tc>
          <w:tcPr>
            <w:tcW w:w="1520" w:type="dxa"/>
            <w:vAlign w:val="bottom"/>
            <w:tcBorders>
              <w:bottom w:val="single" w:sz="8" w:color="auto"/>
            </w:tcBorders>
          </w:tcPr>
          <w:p>
            <w:pPr>
              <w:spacing w:after="0"/>
              <w:rPr>
                <w:sz w:val="20"/>
                <w:szCs w:val="20"/>
                <w:color w:val="auto"/>
              </w:rPr>
            </w:pPr>
          </w:p>
        </w:tc>
        <w:tc>
          <w:tcPr>
            <w:tcW w:w="1620" w:type="dxa"/>
            <w:vAlign w:val="bottom"/>
            <w:tcBorders>
              <w:bottom w:val="single" w:sz="8" w:color="auto"/>
            </w:tcBorders>
          </w:tcPr>
          <w:p>
            <w:pPr>
              <w:spacing w:after="0"/>
              <w:rPr>
                <w:sz w:val="20"/>
                <w:szCs w:val="20"/>
                <w:color w:val="auto"/>
              </w:rPr>
            </w:pPr>
          </w:p>
        </w:tc>
        <w:tc>
          <w:tcPr>
            <w:tcW w:w="344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1580" w:type="dxa"/>
            <w:vAlign w:val="bottom"/>
            <w:tcBorders>
              <w:left w:val="single" w:sz="8" w:color="auto"/>
              <w:right w:val="single" w:sz="8" w:color="auto"/>
            </w:tcBorders>
          </w:tcPr>
          <w:p>
            <w:pPr>
              <w:ind w:left="340"/>
              <w:spacing w:after="0" w:line="198" w:lineRule="exact"/>
              <w:rPr>
                <w:sz w:val="20"/>
                <w:szCs w:val="20"/>
                <w:color w:val="auto"/>
              </w:rPr>
            </w:pPr>
            <w:r>
              <w:rPr>
                <w:rFonts w:ascii="Arial" w:cs="Arial" w:eastAsia="Arial" w:hAnsi="Arial"/>
                <w:sz w:val="18"/>
                <w:szCs w:val="18"/>
                <w:b w:val="1"/>
                <w:bCs w:val="1"/>
                <w:color w:val="auto"/>
              </w:rPr>
              <w:t>Company</w:t>
            </w:r>
          </w:p>
        </w:tc>
        <w:tc>
          <w:tcPr>
            <w:tcW w:w="1420" w:type="dxa"/>
            <w:vAlign w:val="bottom"/>
            <w:tcBorders>
              <w:right w:val="single" w:sz="8" w:color="auto"/>
            </w:tcBorders>
          </w:tcPr>
          <w:p>
            <w:pPr>
              <w:ind w:left="300"/>
              <w:spacing w:after="0" w:line="198" w:lineRule="exact"/>
              <w:rPr>
                <w:sz w:val="20"/>
                <w:szCs w:val="20"/>
                <w:color w:val="auto"/>
              </w:rPr>
            </w:pPr>
            <w:r>
              <w:rPr>
                <w:rFonts w:ascii="Arial" w:cs="Arial" w:eastAsia="Arial" w:hAnsi="Arial"/>
                <w:sz w:val="18"/>
                <w:szCs w:val="18"/>
                <w:b w:val="1"/>
                <w:bCs w:val="1"/>
                <w:color w:val="auto"/>
              </w:rPr>
              <w:t>Place of</w:t>
            </w:r>
          </w:p>
        </w:tc>
        <w:tc>
          <w:tcPr>
            <w:tcW w:w="1660" w:type="dxa"/>
            <w:vAlign w:val="bottom"/>
            <w:tcBorders>
              <w:right w:val="single" w:sz="8" w:color="auto"/>
            </w:tcBorders>
          </w:tcPr>
          <w:p>
            <w:pPr>
              <w:jc w:val="right"/>
              <w:ind w:right="550"/>
              <w:spacing w:after="0" w:line="198" w:lineRule="exact"/>
              <w:rPr>
                <w:sz w:val="20"/>
                <w:szCs w:val="20"/>
                <w:color w:val="auto"/>
              </w:rPr>
            </w:pPr>
            <w:r>
              <w:rPr>
                <w:rFonts w:ascii="Arial" w:cs="Arial" w:eastAsia="Arial" w:hAnsi="Arial"/>
                <w:sz w:val="18"/>
                <w:szCs w:val="18"/>
                <w:b w:val="1"/>
                <w:bCs w:val="1"/>
                <w:color w:val="auto"/>
              </w:rPr>
              <w:t>Dec. 31,</w:t>
            </w:r>
          </w:p>
        </w:tc>
        <w:tc>
          <w:tcPr>
            <w:tcW w:w="1520" w:type="dxa"/>
            <w:vAlign w:val="bottom"/>
            <w:tcBorders>
              <w:right w:val="single" w:sz="8" w:color="auto"/>
            </w:tcBorders>
          </w:tcPr>
          <w:p>
            <w:pPr>
              <w:jc w:val="right"/>
              <w:ind w:right="470"/>
              <w:spacing w:after="0" w:line="198" w:lineRule="exact"/>
              <w:rPr>
                <w:sz w:val="20"/>
                <w:szCs w:val="20"/>
                <w:color w:val="auto"/>
              </w:rPr>
            </w:pPr>
            <w:r>
              <w:rPr>
                <w:rFonts w:ascii="Arial" w:cs="Arial" w:eastAsia="Arial" w:hAnsi="Arial"/>
                <w:sz w:val="18"/>
                <w:szCs w:val="18"/>
                <w:b w:val="1"/>
                <w:bCs w:val="1"/>
                <w:color w:val="auto"/>
              </w:rPr>
              <w:t>Dec. 31,</w:t>
            </w:r>
          </w:p>
        </w:tc>
        <w:tc>
          <w:tcPr>
            <w:tcW w:w="1620" w:type="dxa"/>
            <w:vAlign w:val="bottom"/>
            <w:tcBorders>
              <w:right w:val="single" w:sz="8" w:color="auto"/>
            </w:tcBorders>
          </w:tcPr>
          <w:p>
            <w:pPr>
              <w:jc w:val="right"/>
              <w:ind w:right="510"/>
              <w:spacing w:after="0" w:line="198" w:lineRule="exact"/>
              <w:rPr>
                <w:sz w:val="20"/>
                <w:szCs w:val="20"/>
                <w:color w:val="auto"/>
              </w:rPr>
            </w:pPr>
            <w:r>
              <w:rPr>
                <w:rFonts w:ascii="Arial" w:cs="Arial" w:eastAsia="Arial" w:hAnsi="Arial"/>
                <w:sz w:val="18"/>
                <w:szCs w:val="18"/>
                <w:b w:val="1"/>
                <w:bCs w:val="1"/>
                <w:color w:val="auto"/>
              </w:rPr>
              <w:t>Dec. 31,</w:t>
            </w:r>
          </w:p>
        </w:tc>
        <w:tc>
          <w:tcPr>
            <w:tcW w:w="3440" w:type="dxa"/>
            <w:vAlign w:val="bottom"/>
            <w:tcBorders>
              <w:right w:val="single" w:sz="8" w:color="auto"/>
            </w:tcBorders>
            <w:vMerge w:val="restart"/>
          </w:tcPr>
          <w:p>
            <w:pPr>
              <w:ind w:left="1200"/>
              <w:spacing w:after="0"/>
              <w:rPr>
                <w:sz w:val="20"/>
                <w:szCs w:val="20"/>
                <w:color w:val="auto"/>
              </w:rPr>
            </w:pPr>
            <w:r>
              <w:rPr>
                <w:rFonts w:ascii="Arial" w:cs="Arial" w:eastAsia="Arial" w:hAnsi="Arial"/>
                <w:sz w:val="18"/>
                <w:szCs w:val="18"/>
                <w:b w:val="1"/>
                <w:bCs w:val="1"/>
                <w:color w:val="auto"/>
              </w:rPr>
              <w:t>Source/Use</w:t>
            </w:r>
          </w:p>
        </w:tc>
        <w:tc>
          <w:tcPr>
            <w:tcW w:w="0" w:type="dxa"/>
            <w:vAlign w:val="bottom"/>
          </w:tcPr>
          <w:p>
            <w:pPr>
              <w:spacing w:after="0"/>
              <w:rPr>
                <w:sz w:val="1"/>
                <w:szCs w:val="1"/>
                <w:color w:val="auto"/>
              </w:rPr>
            </w:pPr>
          </w:p>
        </w:tc>
      </w:tr>
      <w:tr>
        <w:trPr>
          <w:trHeight w:val="126"/>
        </w:trPr>
        <w:tc>
          <w:tcPr>
            <w:tcW w:w="1580" w:type="dxa"/>
            <w:vAlign w:val="bottom"/>
            <w:tcBorders>
              <w:left w:val="single" w:sz="8" w:color="auto"/>
              <w:right w:val="single" w:sz="8" w:color="auto"/>
            </w:tcBorders>
          </w:tcPr>
          <w:p>
            <w:pPr>
              <w:spacing w:after="0"/>
              <w:rPr>
                <w:sz w:val="10"/>
                <w:szCs w:val="10"/>
                <w:color w:val="auto"/>
              </w:rPr>
            </w:pPr>
          </w:p>
        </w:tc>
        <w:tc>
          <w:tcPr>
            <w:tcW w:w="1420" w:type="dxa"/>
            <w:vAlign w:val="bottom"/>
            <w:tcBorders>
              <w:right w:val="single" w:sz="8" w:color="auto"/>
            </w:tcBorders>
            <w:vMerge w:val="restart"/>
          </w:tcPr>
          <w:p>
            <w:pPr>
              <w:ind w:left="320"/>
              <w:spacing w:after="0"/>
              <w:rPr>
                <w:sz w:val="20"/>
                <w:szCs w:val="20"/>
                <w:color w:val="auto"/>
              </w:rPr>
            </w:pPr>
            <w:r>
              <w:rPr>
                <w:rFonts w:ascii="Arial" w:cs="Arial" w:eastAsia="Arial" w:hAnsi="Arial"/>
                <w:sz w:val="18"/>
                <w:szCs w:val="18"/>
                <w:b w:val="1"/>
                <w:bCs w:val="1"/>
                <w:color w:val="auto"/>
              </w:rPr>
              <w:t>Deposit</w:t>
            </w:r>
          </w:p>
        </w:tc>
        <w:tc>
          <w:tcPr>
            <w:tcW w:w="1660" w:type="dxa"/>
            <w:vAlign w:val="bottom"/>
            <w:tcBorders>
              <w:right w:val="single" w:sz="8" w:color="auto"/>
            </w:tcBorders>
            <w:vMerge w:val="restart"/>
          </w:tcPr>
          <w:p>
            <w:pPr>
              <w:jc w:val="right"/>
              <w:ind w:right="670"/>
              <w:spacing w:after="0"/>
              <w:rPr>
                <w:sz w:val="20"/>
                <w:szCs w:val="20"/>
                <w:color w:val="auto"/>
              </w:rPr>
            </w:pPr>
            <w:r>
              <w:rPr>
                <w:rFonts w:ascii="Arial" w:cs="Arial" w:eastAsia="Arial" w:hAnsi="Arial"/>
                <w:sz w:val="18"/>
                <w:szCs w:val="18"/>
                <w:b w:val="1"/>
                <w:bCs w:val="1"/>
                <w:color w:val="auto"/>
              </w:rPr>
              <w:t>2019</w:t>
            </w:r>
          </w:p>
        </w:tc>
        <w:tc>
          <w:tcPr>
            <w:tcW w:w="1520" w:type="dxa"/>
            <w:vAlign w:val="bottom"/>
            <w:tcBorders>
              <w:right w:val="single" w:sz="8" w:color="auto"/>
            </w:tcBorders>
            <w:vMerge w:val="restart"/>
          </w:tcPr>
          <w:p>
            <w:pPr>
              <w:jc w:val="right"/>
              <w:ind w:right="590"/>
              <w:spacing w:after="0"/>
              <w:rPr>
                <w:sz w:val="20"/>
                <w:szCs w:val="20"/>
                <w:color w:val="auto"/>
              </w:rPr>
            </w:pPr>
            <w:r>
              <w:rPr>
                <w:rFonts w:ascii="Arial" w:cs="Arial" w:eastAsia="Arial" w:hAnsi="Arial"/>
                <w:sz w:val="18"/>
                <w:szCs w:val="18"/>
                <w:b w:val="1"/>
                <w:bCs w:val="1"/>
                <w:color w:val="auto"/>
              </w:rPr>
              <w:t>2018</w:t>
            </w:r>
          </w:p>
        </w:tc>
        <w:tc>
          <w:tcPr>
            <w:tcW w:w="1620" w:type="dxa"/>
            <w:vAlign w:val="bottom"/>
            <w:tcBorders>
              <w:right w:val="single" w:sz="8" w:color="auto"/>
            </w:tcBorders>
            <w:vMerge w:val="restart"/>
          </w:tcPr>
          <w:p>
            <w:pPr>
              <w:jc w:val="right"/>
              <w:ind w:right="650"/>
              <w:spacing w:after="0"/>
              <w:rPr>
                <w:sz w:val="20"/>
                <w:szCs w:val="20"/>
                <w:color w:val="auto"/>
              </w:rPr>
            </w:pPr>
            <w:r>
              <w:rPr>
                <w:rFonts w:ascii="Arial" w:cs="Arial" w:eastAsia="Arial" w:hAnsi="Arial"/>
                <w:sz w:val="18"/>
                <w:szCs w:val="18"/>
                <w:b w:val="1"/>
                <w:bCs w:val="1"/>
                <w:color w:val="auto"/>
              </w:rPr>
              <w:t>2017</w:t>
            </w:r>
          </w:p>
        </w:tc>
        <w:tc>
          <w:tcPr>
            <w:tcW w:w="3440" w:type="dxa"/>
            <w:vAlign w:val="bottom"/>
            <w:tcBorders>
              <w:right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15"/>
        </w:trPr>
        <w:tc>
          <w:tcPr>
            <w:tcW w:w="1580" w:type="dxa"/>
            <w:vAlign w:val="bottom"/>
            <w:tcBorders>
              <w:left w:val="single" w:sz="8" w:color="auto"/>
              <w:bottom w:val="single" w:sz="8" w:color="auto"/>
              <w:right w:val="single" w:sz="8" w:color="auto"/>
            </w:tcBorders>
          </w:tcPr>
          <w:p>
            <w:pPr>
              <w:spacing w:after="0"/>
              <w:rPr>
                <w:sz w:val="10"/>
                <w:szCs w:val="10"/>
                <w:color w:val="auto"/>
              </w:rPr>
            </w:pPr>
          </w:p>
        </w:tc>
        <w:tc>
          <w:tcPr>
            <w:tcW w:w="1420" w:type="dxa"/>
            <w:vAlign w:val="bottom"/>
            <w:tcBorders>
              <w:bottom w:val="single" w:sz="8" w:color="auto"/>
              <w:right w:val="single" w:sz="8" w:color="auto"/>
            </w:tcBorders>
            <w:vMerge w:val="continue"/>
          </w:tcPr>
          <w:p>
            <w:pPr>
              <w:spacing w:after="0"/>
              <w:rPr>
                <w:sz w:val="10"/>
                <w:szCs w:val="10"/>
                <w:color w:val="auto"/>
              </w:rPr>
            </w:pPr>
          </w:p>
        </w:tc>
        <w:tc>
          <w:tcPr>
            <w:tcW w:w="1660" w:type="dxa"/>
            <w:vAlign w:val="bottom"/>
            <w:tcBorders>
              <w:bottom w:val="single" w:sz="8" w:color="auto"/>
              <w:right w:val="single" w:sz="8" w:color="auto"/>
            </w:tcBorders>
            <w:vMerge w:val="continue"/>
          </w:tcPr>
          <w:p>
            <w:pPr>
              <w:spacing w:after="0"/>
              <w:rPr>
                <w:sz w:val="10"/>
                <w:szCs w:val="10"/>
                <w:color w:val="auto"/>
              </w:rPr>
            </w:pPr>
          </w:p>
        </w:tc>
        <w:tc>
          <w:tcPr>
            <w:tcW w:w="1520" w:type="dxa"/>
            <w:vAlign w:val="bottom"/>
            <w:tcBorders>
              <w:bottom w:val="single" w:sz="8" w:color="auto"/>
              <w:right w:val="single" w:sz="8" w:color="auto"/>
            </w:tcBorders>
            <w:vMerge w:val="continue"/>
          </w:tcPr>
          <w:p>
            <w:pPr>
              <w:spacing w:after="0"/>
              <w:rPr>
                <w:sz w:val="10"/>
                <w:szCs w:val="10"/>
                <w:color w:val="auto"/>
              </w:rPr>
            </w:pPr>
          </w:p>
        </w:tc>
        <w:tc>
          <w:tcPr>
            <w:tcW w:w="1620" w:type="dxa"/>
            <w:vAlign w:val="bottom"/>
            <w:tcBorders>
              <w:bottom w:val="single" w:sz="8" w:color="auto"/>
              <w:right w:val="single" w:sz="8" w:color="auto"/>
            </w:tcBorders>
            <w:vMerge w:val="continue"/>
          </w:tcPr>
          <w:p>
            <w:pPr>
              <w:spacing w:after="0"/>
              <w:rPr>
                <w:sz w:val="10"/>
                <w:szCs w:val="10"/>
                <w:color w:val="auto"/>
              </w:rPr>
            </w:pPr>
          </w:p>
        </w:tc>
        <w:tc>
          <w:tcPr>
            <w:tcW w:w="3440" w:type="dxa"/>
            <w:vAlign w:val="bottom"/>
            <w:tcBorders>
              <w:bottom w:val="single" w:sz="8" w:color="auto"/>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223"/>
        </w:trPr>
        <w:tc>
          <w:tcPr>
            <w:tcW w:w="158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2"/>
              </w:rPr>
              <w:t>CleanChip HK</w:t>
            </w:r>
          </w:p>
        </w:tc>
        <w:tc>
          <w:tcPr>
            <w:tcW w:w="14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3"/>
              </w:rPr>
              <w:t>Hong Kong, China</w:t>
            </w:r>
          </w:p>
        </w:tc>
        <w:tc>
          <w:tcPr>
            <w:tcW w:w="166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14,507.61</w:t>
            </w:r>
          </w:p>
        </w:tc>
        <w:tc>
          <w:tcPr>
            <w:tcW w:w="152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6,696.58</w:t>
            </w:r>
          </w:p>
        </w:tc>
        <w:tc>
          <w:tcPr>
            <w:tcW w:w="162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261.29</w:t>
            </w:r>
          </w:p>
        </w:tc>
        <w:tc>
          <w:tcPr>
            <w:tcW w:w="34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9"/>
              </w:rPr>
              <w:t>Sales proceeds, daily operation of the company</w:t>
            </w:r>
          </w:p>
        </w:tc>
        <w:tc>
          <w:tcPr>
            <w:tcW w:w="0" w:type="dxa"/>
            <w:vAlign w:val="bottom"/>
          </w:tcPr>
          <w:p>
            <w:pPr>
              <w:spacing w:after="0"/>
              <w:rPr>
                <w:sz w:val="1"/>
                <w:szCs w:val="1"/>
                <w:color w:val="auto"/>
              </w:rPr>
            </w:pPr>
          </w:p>
        </w:tc>
      </w:tr>
      <w:tr>
        <w:trPr>
          <w:trHeight w:val="223"/>
        </w:trPr>
        <w:tc>
          <w:tcPr>
            <w:tcW w:w="158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ACMKR</w:t>
            </w:r>
          </w:p>
        </w:tc>
        <w:tc>
          <w:tcPr>
            <w:tcW w:w="14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1"/>
              </w:rPr>
              <w:t>Korea</w:t>
            </w:r>
          </w:p>
        </w:tc>
        <w:tc>
          <w:tcPr>
            <w:tcW w:w="166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240.27</w:t>
            </w:r>
          </w:p>
        </w:tc>
        <w:tc>
          <w:tcPr>
            <w:tcW w:w="152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135.84</w:t>
            </w:r>
          </w:p>
        </w:tc>
        <w:tc>
          <w:tcPr>
            <w:tcW w:w="162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65.89</w:t>
            </w:r>
          </w:p>
        </w:tc>
        <w:tc>
          <w:tcPr>
            <w:tcW w:w="34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1"/>
              </w:rPr>
              <w:t>Daily operation of the company</w:t>
            </w:r>
          </w:p>
        </w:tc>
        <w:tc>
          <w:tcPr>
            <w:tcW w:w="0" w:type="dxa"/>
            <w:vAlign w:val="bottom"/>
          </w:tcPr>
          <w:p>
            <w:pPr>
              <w:spacing w:after="0"/>
              <w:rPr>
                <w:sz w:val="1"/>
                <w:szCs w:val="1"/>
                <w:color w:val="auto"/>
              </w:rPr>
            </w:pPr>
          </w:p>
        </w:tc>
      </w:tr>
      <w:tr>
        <w:trPr>
          <w:trHeight w:val="223"/>
        </w:trPr>
        <w:tc>
          <w:tcPr>
            <w:tcW w:w="158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9"/>
              </w:rPr>
              <w:t>ACM CA</w:t>
            </w:r>
          </w:p>
        </w:tc>
        <w:tc>
          <w:tcPr>
            <w:tcW w:w="14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1"/>
              </w:rPr>
              <w:t>U.S.</w:t>
            </w:r>
          </w:p>
        </w:tc>
        <w:tc>
          <w:tcPr>
            <w:tcW w:w="166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511.95</w:t>
            </w:r>
          </w:p>
        </w:tc>
        <w:tc>
          <w:tcPr>
            <w:tcW w:w="152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62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34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1"/>
              </w:rPr>
              <w:t>Daily operation of the company</w:t>
            </w:r>
          </w:p>
        </w:tc>
        <w:tc>
          <w:tcPr>
            <w:tcW w:w="0" w:type="dxa"/>
            <w:vAlign w:val="bottom"/>
          </w:tcPr>
          <w:p>
            <w:pPr>
              <w:spacing w:after="0"/>
              <w:rPr>
                <w:sz w:val="1"/>
                <w:szCs w:val="1"/>
                <w:color w:val="auto"/>
              </w:rPr>
            </w:pPr>
          </w:p>
        </w:tc>
      </w:tr>
      <w:tr>
        <w:trPr>
          <w:trHeight w:val="223"/>
        </w:trPr>
        <w:tc>
          <w:tcPr>
            <w:tcW w:w="158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88"/>
              </w:rPr>
              <w:t>Total</w:t>
            </w:r>
          </w:p>
        </w:tc>
        <w:tc>
          <w:tcPr>
            <w:tcW w:w="166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b w:val="1"/>
                <w:bCs w:val="1"/>
                <w:color w:val="auto"/>
              </w:rPr>
              <w:t>15,259.82</w:t>
            </w:r>
          </w:p>
        </w:tc>
        <w:tc>
          <w:tcPr>
            <w:tcW w:w="152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b w:val="1"/>
                <w:bCs w:val="1"/>
                <w:color w:val="auto"/>
              </w:rPr>
              <w:t>6,832.42</w:t>
            </w:r>
          </w:p>
        </w:tc>
        <w:tc>
          <w:tcPr>
            <w:tcW w:w="162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b w:val="1"/>
                <w:bCs w:val="1"/>
                <w:color w:val="auto"/>
              </w:rPr>
              <w:t>327.18</w:t>
            </w:r>
          </w:p>
        </w:tc>
        <w:tc>
          <w:tcPr>
            <w:tcW w:w="34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99"/>
              </w:rPr>
              <w:t>-</w:t>
            </w:r>
          </w:p>
        </w:tc>
        <w:tc>
          <w:tcPr>
            <w:tcW w:w="0" w:type="dxa"/>
            <w:vAlign w:val="bottom"/>
          </w:tcPr>
          <w:p>
            <w:pPr>
              <w:spacing w:after="0"/>
              <w:rPr>
                <w:sz w:val="1"/>
                <w:szCs w:val="1"/>
                <w:color w:val="auto"/>
              </w:rPr>
            </w:pPr>
          </w:p>
        </w:tc>
      </w:tr>
    </w:tbl>
    <w:p>
      <w:pPr>
        <w:spacing w:after="0" w:line="229" w:lineRule="exact"/>
        <w:rPr>
          <w:sz w:val="20"/>
          <w:szCs w:val="20"/>
          <w:color w:val="auto"/>
        </w:rPr>
      </w:pPr>
    </w:p>
    <w:p>
      <w:pPr>
        <w:ind w:right="60" w:firstLine="324"/>
        <w:spacing w:after="0" w:line="259" w:lineRule="auto"/>
        <w:rPr>
          <w:sz w:val="20"/>
          <w:szCs w:val="20"/>
          <w:color w:val="auto"/>
        </w:rPr>
      </w:pPr>
      <w:r>
        <w:rPr>
          <w:rFonts w:ascii="Arial" w:cs="Arial" w:eastAsia="Arial" w:hAnsi="Arial"/>
          <w:sz w:val="18"/>
          <w:szCs w:val="18"/>
          <w:color w:val="auto"/>
        </w:rPr>
        <w:t>As shown in the table above, at the end of 2017, 2018 and 2019, the balance of overseas deposits of the Company was RMB3.2718 million, RMB68.3242 million and RMB152.5982 million, respectively, all of which were bank deposits of the Issuer’s overseas wholly owned subsidiaries. Among them, the bank deposits of CleanChip HK were deposited in Hong Kong, China, the bank deposits of ACMKR were deposited in Korea, and the bank deposits of ACM CA were deposited in the United States.</w:t>
      </w:r>
    </w:p>
    <w:p>
      <w:pPr>
        <w:spacing w:after="0" w:line="38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8-4-1-54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58" w:name="page59"/>
    <w:bookmarkEnd w:id="58"/>
    <w:p>
      <w:pPr>
        <w:ind w:firstLine="332"/>
        <w:spacing w:after="0" w:line="251" w:lineRule="auto"/>
        <w:tabs>
          <w:tab w:leader="none" w:pos="588" w:val="left"/>
        </w:tabs>
        <w:numPr>
          <w:ilvl w:val="0"/>
          <w:numId w:val="55"/>
        </w:numPr>
        <w:rPr>
          <w:rFonts w:ascii="Arial" w:cs="Arial" w:eastAsia="Arial" w:hAnsi="Arial"/>
          <w:sz w:val="22"/>
          <w:szCs w:val="22"/>
          <w:color w:val="auto"/>
        </w:rPr>
      </w:pPr>
      <w:r>
        <w:rPr>
          <w:rFonts w:ascii="Arial" w:cs="Arial" w:eastAsia="Arial" w:hAnsi="Arial"/>
          <w:sz w:val="22"/>
          <w:szCs w:val="22"/>
          <w:color w:val="auto"/>
        </w:rPr>
        <w:t>During the Reporting Period, the reasons for the substantial increase of overseas deposits, the relationship between overseas deposits and business operations, and the rationality and necessity of overseas deposits</w:t>
      </w:r>
    </w:p>
    <w:p>
      <w:pPr>
        <w:spacing w:after="0" w:line="200" w:lineRule="exact"/>
        <w:rPr>
          <w:sz w:val="20"/>
          <w:szCs w:val="20"/>
          <w:color w:val="auto"/>
        </w:rPr>
      </w:pPr>
    </w:p>
    <w:p>
      <w:pPr>
        <w:jc w:val="both"/>
        <w:ind w:firstLine="324"/>
        <w:spacing w:after="0" w:line="282" w:lineRule="auto"/>
        <w:rPr>
          <w:sz w:val="20"/>
          <w:szCs w:val="20"/>
          <w:color w:val="auto"/>
        </w:rPr>
      </w:pPr>
      <w:r>
        <w:rPr>
          <w:rFonts w:ascii="Arial" w:cs="Arial" w:eastAsia="Arial" w:hAnsi="Arial"/>
          <w:sz w:val="19"/>
          <w:szCs w:val="19"/>
          <w:color w:val="auto"/>
        </w:rPr>
        <w:t>CleanChip HK is a Company registered in Hong Kong, China, through which the Issuer’s export business has been carried out since June 2018. The funds deposited in banks by CleanChip HK were mainly sourced from its sales proceeds. As customers generally pay at the end of the year, the Issuer had a larger amount of deposits in Hong Kong at the end of each reporting period. In 2018 and 2019, the operating income of the Issuer increased significantly, resulting in a substantial increase of the sales proceeds collected through CleanChip HK, which in turn caused a substantial increase in the amount of overseas deposits.</w:t>
      </w:r>
    </w:p>
    <w:p>
      <w:pPr>
        <w:spacing w:after="0" w:line="174" w:lineRule="exact"/>
        <w:rPr>
          <w:sz w:val="20"/>
          <w:szCs w:val="20"/>
          <w:color w:val="auto"/>
        </w:rPr>
      </w:pPr>
    </w:p>
    <w:p>
      <w:pPr>
        <w:jc w:val="both"/>
        <w:ind w:firstLine="324"/>
        <w:spacing w:after="0" w:line="238" w:lineRule="auto"/>
        <w:rPr>
          <w:sz w:val="20"/>
          <w:szCs w:val="20"/>
          <w:color w:val="auto"/>
        </w:rPr>
      </w:pPr>
      <w:r>
        <w:rPr>
          <w:rFonts w:ascii="Arial" w:cs="Arial" w:eastAsia="Arial" w:hAnsi="Arial"/>
          <w:sz w:val="22"/>
          <w:szCs w:val="22"/>
          <w:color w:val="auto"/>
        </w:rPr>
        <w:t>ACMKR is a Company registered in Korea, which is responsible for the R&amp;D of components related to the main products of the Company, as well as purchasing parts of semiconductor special equipment for the Issuer. ACMKR’s funds deposited with local banks in Korea were mainly used for its daily operation, some of which were pension reserve account funds for the sole use of paying employees’ pension upon their retirement.</w:t>
      </w:r>
    </w:p>
    <w:p>
      <w:pPr>
        <w:spacing w:after="0" w:line="212" w:lineRule="exact"/>
        <w:rPr>
          <w:sz w:val="20"/>
          <w:szCs w:val="20"/>
          <w:color w:val="auto"/>
        </w:rPr>
      </w:pPr>
    </w:p>
    <w:p>
      <w:pPr>
        <w:jc w:val="both"/>
        <w:ind w:firstLine="324"/>
        <w:spacing w:after="0"/>
        <w:rPr>
          <w:sz w:val="20"/>
          <w:szCs w:val="20"/>
          <w:color w:val="auto"/>
        </w:rPr>
      </w:pPr>
      <w:r>
        <w:rPr>
          <w:rFonts w:ascii="Arial" w:cs="Arial" w:eastAsia="Arial" w:hAnsi="Arial"/>
          <w:sz w:val="22"/>
          <w:szCs w:val="22"/>
          <w:color w:val="auto"/>
        </w:rPr>
        <w:t>ACM CA is a Company registered in the United States engaging in the procurement and sales of semiconductor special equipment parts and components for the Issuer. ACM CA’s funds deposited in the United States were mainly used for its daily operation such as purchasing raw materials and parts.</w:t>
      </w:r>
    </w:p>
    <w:p>
      <w:pPr>
        <w:spacing w:after="0" w:line="220"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In sum, the reason for the substantial increase of the amount deposited by the Issuer overseas lies in the substantial increase in the operating income of the Issuer; the Issuer’s deposits in Hong Kong represented the sales proceeds that have not been remitted back by CleanChip HK to Mainland China, and the deposits in Korea and the United States represented the funds required for the daily operation of overseas subsidiaries, which are reasonable and necessary.</w:t>
      </w:r>
    </w:p>
    <w:p>
      <w:pPr>
        <w:spacing w:after="0" w:line="206" w:lineRule="exact"/>
        <w:rPr>
          <w:sz w:val="20"/>
          <w:szCs w:val="20"/>
          <w:color w:val="auto"/>
        </w:rPr>
      </w:pPr>
    </w:p>
    <w:p>
      <w:pPr>
        <w:jc w:val="both"/>
        <w:ind w:firstLine="324"/>
        <w:spacing w:after="0" w:line="250" w:lineRule="auto"/>
        <w:rPr>
          <w:sz w:val="20"/>
          <w:szCs w:val="20"/>
          <w:color w:val="auto"/>
        </w:rPr>
      </w:pPr>
      <w:r>
        <w:rPr>
          <w:rFonts w:ascii="Arial" w:cs="Arial" w:eastAsia="Arial" w:hAnsi="Arial"/>
          <w:sz w:val="22"/>
          <w:szCs w:val="22"/>
          <w:color w:val="auto"/>
        </w:rPr>
        <w:t>The above information has been disclosed and clarified in “Q19” of the Reply to the Letter of First Round Review-related Inquiries.</w:t>
      </w:r>
    </w:p>
    <w:p>
      <w:pPr>
        <w:spacing w:after="0" w:line="202" w:lineRule="exact"/>
        <w:rPr>
          <w:sz w:val="20"/>
          <w:szCs w:val="20"/>
          <w:color w:val="auto"/>
        </w:rPr>
      </w:pPr>
    </w:p>
    <w:p>
      <w:pPr>
        <w:jc w:val="both"/>
        <w:ind w:firstLine="324"/>
        <w:spacing w:after="0" w:line="250" w:lineRule="auto"/>
        <w:rPr>
          <w:sz w:val="20"/>
          <w:szCs w:val="20"/>
          <w:color w:val="auto"/>
        </w:rPr>
      </w:pPr>
      <w:r>
        <w:rPr>
          <w:rFonts w:ascii="Arial" w:cs="Arial" w:eastAsia="Arial" w:hAnsi="Arial"/>
          <w:sz w:val="22"/>
          <w:szCs w:val="22"/>
          <w:color w:val="auto"/>
        </w:rPr>
        <w:t>In view of the above, the overseas deposits of the Issuer are reasonable and necessary, and the overseas deposits disclosed by the Issuer in the financial statements really exist.</w:t>
      </w:r>
    </w:p>
    <w:p>
      <w:pPr>
        <w:spacing w:after="0" w:line="196" w:lineRule="exact"/>
        <w:rPr>
          <w:sz w:val="20"/>
          <w:szCs w:val="20"/>
          <w:color w:val="auto"/>
        </w:rPr>
      </w:pPr>
    </w:p>
    <w:p>
      <w:pPr>
        <w:ind w:firstLine="332"/>
        <w:spacing w:after="0" w:line="256" w:lineRule="auto"/>
        <w:tabs>
          <w:tab w:leader="none" w:pos="742" w:val="left"/>
        </w:tabs>
        <w:numPr>
          <w:ilvl w:val="0"/>
          <w:numId w:val="56"/>
        </w:numPr>
        <w:rPr>
          <w:rFonts w:ascii="Arial" w:cs="Arial" w:eastAsia="Arial" w:hAnsi="Arial"/>
          <w:sz w:val="22"/>
          <w:szCs w:val="22"/>
          <w:b w:val="1"/>
          <w:bCs w:val="1"/>
          <w:color w:val="auto"/>
        </w:rPr>
      </w:pPr>
      <w:r>
        <w:rPr>
          <w:rFonts w:ascii="Arial" w:cs="Arial" w:eastAsia="Arial" w:hAnsi="Arial"/>
          <w:sz w:val="22"/>
          <w:szCs w:val="22"/>
          <w:b w:val="1"/>
          <w:bCs w:val="1"/>
          <w:color w:val="auto"/>
        </w:rPr>
        <w:t>Reasons for the negative operating cash flow of the parent company and the large positive amount of the consolidated operating cash flow</w:t>
      </w:r>
    </w:p>
    <w:p>
      <w:pPr>
        <w:spacing w:after="0" w:line="202"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The reason why the operating cash flow of the parent company in 2018 and 2019 was negative, and there was a large positive amount of consolidated operating cash flow lies in the following: since 2018, the Company has sold products to end customers through CleanChip HK, and there is a temporal difference between the amount of funds actually remitted back to Mainland China by CleanChip HK and the amount of proceeds collected from sales in the current period. From the perspective of the parent company, the temporal difference will cause negative operating cash flow; while from the perspective of consolidated financial statements, the temporal difference will have no impact given CleanChip HK is one of the entities in the consolidated financial statements.</w:t>
      </w:r>
    </w:p>
    <w:p>
      <w:pPr>
        <w:spacing w:after="0" w:line="39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8-4-1-55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59" w:name="page60"/>
    <w:bookmarkEnd w:id="59"/>
    <w:p>
      <w:pPr>
        <w:jc w:val="both"/>
        <w:ind w:firstLine="324"/>
        <w:spacing w:after="0" w:line="255" w:lineRule="auto"/>
        <w:rPr>
          <w:sz w:val="20"/>
          <w:szCs w:val="20"/>
          <w:color w:val="auto"/>
        </w:rPr>
      </w:pPr>
      <w:r>
        <w:rPr>
          <w:rFonts w:ascii="Arial" w:cs="Arial" w:eastAsia="Arial" w:hAnsi="Arial"/>
          <w:sz w:val="18"/>
          <w:szCs w:val="18"/>
          <w:color w:val="auto"/>
        </w:rPr>
        <w:t>The reason for the temporal difference between the amount of funds actually remitted back to Mainland China and the amount of proceeds collected from sales in the current period is that: generally, upon receipt of payments for orders by CleanChip HK, the Company will apply for remittance of the same to Mainland China according to the internal procedures, and in the light of the usual policy for the Company to only make centralized payment approval once a month, it will generally take a period of up to 3 months for CleanChip HK to remit the payment upon receipt to Mainland China. In general, more payments will be collected from customers at the end of a year. At the end of each reporting period, some of the sales proceeds deposited in Hong Kong have not been remitted back to China through relevant procedures.</w:t>
      </w:r>
    </w:p>
    <w:p>
      <w:pPr>
        <w:spacing w:after="0" w:line="212" w:lineRule="exact"/>
        <w:rPr>
          <w:sz w:val="20"/>
          <w:szCs w:val="20"/>
          <w:color w:val="auto"/>
        </w:rPr>
      </w:pPr>
    </w:p>
    <w:p>
      <w:pPr>
        <w:ind w:left="340"/>
        <w:spacing w:after="0"/>
        <w:rPr>
          <w:sz w:val="20"/>
          <w:szCs w:val="20"/>
          <w:color w:val="auto"/>
        </w:rPr>
      </w:pPr>
      <w:r>
        <w:rPr>
          <w:rFonts w:ascii="Arial" w:cs="Arial" w:eastAsia="Arial" w:hAnsi="Arial"/>
          <w:sz w:val="19"/>
          <w:szCs w:val="19"/>
          <w:color w:val="auto"/>
        </w:rPr>
        <w:t>The above information has been disclosed in “Q5” of the Reply to the Letter of Second Round Review-related Inquiries.</w:t>
      </w:r>
    </w:p>
    <w:p>
      <w:pPr>
        <w:spacing w:after="0" w:line="262" w:lineRule="exact"/>
        <w:rPr>
          <w:sz w:val="20"/>
          <w:szCs w:val="20"/>
          <w:color w:val="auto"/>
        </w:rPr>
      </w:pPr>
    </w:p>
    <w:p>
      <w:pPr>
        <w:ind w:left="600" w:hanging="268"/>
        <w:spacing w:after="0"/>
        <w:tabs>
          <w:tab w:leader="none" w:pos="600" w:val="left"/>
        </w:tabs>
        <w:numPr>
          <w:ilvl w:val="0"/>
          <w:numId w:val="57"/>
        </w:numPr>
        <w:rPr>
          <w:rFonts w:ascii="Arial" w:cs="Arial" w:eastAsia="Arial" w:hAnsi="Arial"/>
          <w:sz w:val="22"/>
          <w:szCs w:val="22"/>
          <w:b w:val="1"/>
          <w:bCs w:val="1"/>
          <w:color w:val="auto"/>
        </w:rPr>
      </w:pPr>
      <w:r>
        <w:rPr>
          <w:rFonts w:ascii="Arial" w:cs="Arial" w:eastAsia="Arial" w:hAnsi="Arial"/>
          <w:sz w:val="22"/>
          <w:szCs w:val="22"/>
          <w:b w:val="1"/>
          <w:bCs w:val="1"/>
          <w:color w:val="auto"/>
        </w:rPr>
        <w:t>Verification Procedures and Opinions</w:t>
      </w:r>
    </w:p>
    <w:p>
      <w:pPr>
        <w:spacing w:after="0" w:line="233" w:lineRule="exact"/>
        <w:rPr>
          <w:rFonts w:ascii="Arial" w:cs="Arial" w:eastAsia="Arial" w:hAnsi="Arial"/>
          <w:sz w:val="22"/>
          <w:szCs w:val="22"/>
          <w:b w:val="1"/>
          <w:bCs w:val="1"/>
          <w:color w:val="auto"/>
        </w:rPr>
      </w:pPr>
    </w:p>
    <w:p>
      <w:pPr>
        <w:ind w:left="340"/>
        <w:spacing w:after="0"/>
        <w:rPr>
          <w:rFonts w:ascii="Arial" w:cs="Arial" w:eastAsia="Arial" w:hAnsi="Arial"/>
          <w:sz w:val="22"/>
          <w:szCs w:val="22"/>
          <w:b w:val="1"/>
          <w:bCs w:val="1"/>
          <w:color w:val="auto"/>
        </w:rPr>
      </w:pPr>
      <w:r>
        <w:rPr>
          <w:rFonts w:ascii="Arial" w:cs="Arial" w:eastAsia="Arial" w:hAnsi="Arial"/>
          <w:sz w:val="22"/>
          <w:szCs w:val="22"/>
          <w:b w:val="1"/>
          <w:bCs w:val="1"/>
          <w:color w:val="auto"/>
        </w:rPr>
        <w:t>(i) Verification Procedures</w:t>
      </w:r>
    </w:p>
    <w:p>
      <w:pPr>
        <w:spacing w:after="0" w:line="246" w:lineRule="exact"/>
        <w:rPr>
          <w:sz w:val="20"/>
          <w:szCs w:val="20"/>
          <w:color w:val="auto"/>
        </w:rPr>
      </w:pPr>
    </w:p>
    <w:p>
      <w:pPr>
        <w:ind w:left="340"/>
        <w:spacing w:after="0"/>
        <w:rPr>
          <w:sz w:val="20"/>
          <w:szCs w:val="20"/>
          <w:color w:val="auto"/>
        </w:rPr>
      </w:pPr>
      <w:r>
        <w:rPr>
          <w:rFonts w:ascii="Arial" w:cs="Arial" w:eastAsia="Arial" w:hAnsi="Arial"/>
          <w:sz w:val="18"/>
          <w:szCs w:val="18"/>
          <w:color w:val="auto"/>
        </w:rPr>
        <w:t>Before the release of the Short-sell Report, the Sponsor performed the following verification procedures:</w:t>
      </w:r>
    </w:p>
    <w:p>
      <w:pPr>
        <w:spacing w:after="0" w:line="245" w:lineRule="exact"/>
        <w:rPr>
          <w:sz w:val="20"/>
          <w:szCs w:val="20"/>
          <w:color w:val="auto"/>
        </w:rPr>
      </w:pPr>
    </w:p>
    <w:p>
      <w:pPr>
        <w:ind w:left="540" w:hanging="208"/>
        <w:spacing w:after="0"/>
        <w:tabs>
          <w:tab w:leader="none" w:pos="540" w:val="left"/>
        </w:tabs>
        <w:numPr>
          <w:ilvl w:val="0"/>
          <w:numId w:val="58"/>
        </w:numPr>
        <w:rPr>
          <w:rFonts w:ascii="Arial" w:cs="Arial" w:eastAsia="Arial" w:hAnsi="Arial"/>
          <w:sz w:val="22"/>
          <w:szCs w:val="22"/>
          <w:color w:val="auto"/>
        </w:rPr>
      </w:pPr>
      <w:r>
        <w:rPr>
          <w:rFonts w:ascii="Arial" w:cs="Arial" w:eastAsia="Arial" w:hAnsi="Arial"/>
          <w:sz w:val="22"/>
          <w:szCs w:val="22"/>
          <w:color w:val="auto"/>
        </w:rPr>
        <w:t>Checking the bank statements of the Company;</w:t>
      </w:r>
    </w:p>
    <w:p>
      <w:pPr>
        <w:spacing w:after="0" w:line="233" w:lineRule="exact"/>
        <w:rPr>
          <w:rFonts w:ascii="Arial" w:cs="Arial" w:eastAsia="Arial" w:hAnsi="Arial"/>
          <w:sz w:val="22"/>
          <w:szCs w:val="22"/>
          <w:color w:val="auto"/>
        </w:rPr>
      </w:pPr>
    </w:p>
    <w:p>
      <w:pPr>
        <w:ind w:left="540" w:hanging="208"/>
        <w:spacing w:after="0"/>
        <w:tabs>
          <w:tab w:leader="none" w:pos="540" w:val="left"/>
        </w:tabs>
        <w:numPr>
          <w:ilvl w:val="0"/>
          <w:numId w:val="58"/>
        </w:numPr>
        <w:rPr>
          <w:rFonts w:ascii="Arial" w:cs="Arial" w:eastAsia="Arial" w:hAnsi="Arial"/>
          <w:sz w:val="22"/>
          <w:szCs w:val="22"/>
          <w:color w:val="auto"/>
        </w:rPr>
      </w:pPr>
      <w:r>
        <w:rPr>
          <w:rFonts w:ascii="Arial" w:cs="Arial" w:eastAsia="Arial" w:hAnsi="Arial"/>
          <w:sz w:val="22"/>
          <w:szCs w:val="22"/>
          <w:color w:val="auto"/>
        </w:rPr>
        <w:t>Requesting bank confirmation on the bank deposits and short-term loans at the end of the period;</w:t>
      </w:r>
    </w:p>
    <w:p>
      <w:pPr>
        <w:spacing w:after="0" w:line="233" w:lineRule="exact"/>
        <w:rPr>
          <w:rFonts w:ascii="Arial" w:cs="Arial" w:eastAsia="Arial" w:hAnsi="Arial"/>
          <w:sz w:val="22"/>
          <w:szCs w:val="22"/>
          <w:color w:val="auto"/>
        </w:rPr>
      </w:pPr>
    </w:p>
    <w:p>
      <w:pPr>
        <w:ind w:firstLine="332"/>
        <w:spacing w:after="0" w:line="250" w:lineRule="auto"/>
        <w:tabs>
          <w:tab w:leader="none" w:pos="540" w:val="left"/>
        </w:tabs>
        <w:numPr>
          <w:ilvl w:val="0"/>
          <w:numId w:val="58"/>
        </w:numPr>
        <w:rPr>
          <w:rFonts w:ascii="Arial" w:cs="Arial" w:eastAsia="Arial" w:hAnsi="Arial"/>
          <w:sz w:val="22"/>
          <w:szCs w:val="22"/>
          <w:color w:val="auto"/>
        </w:rPr>
      </w:pPr>
      <w:r>
        <w:rPr>
          <w:rFonts w:ascii="Arial" w:cs="Arial" w:eastAsia="Arial" w:hAnsi="Arial"/>
          <w:sz w:val="22"/>
          <w:szCs w:val="22"/>
          <w:color w:val="auto"/>
        </w:rPr>
        <w:t>Checking the Company’s loan contracts and obtaining the details of short-term loans to check the existence and accuracy of short-term loans;</w:t>
      </w:r>
    </w:p>
    <w:p>
      <w:pPr>
        <w:spacing w:after="0" w:line="201" w:lineRule="exact"/>
        <w:rPr>
          <w:rFonts w:ascii="Arial" w:cs="Arial" w:eastAsia="Arial" w:hAnsi="Arial"/>
          <w:sz w:val="22"/>
          <w:szCs w:val="22"/>
          <w:color w:val="auto"/>
        </w:rPr>
      </w:pPr>
    </w:p>
    <w:p>
      <w:pPr>
        <w:ind w:firstLine="332"/>
        <w:spacing w:after="0" w:line="250" w:lineRule="auto"/>
        <w:tabs>
          <w:tab w:leader="none" w:pos="566" w:val="left"/>
        </w:tabs>
        <w:numPr>
          <w:ilvl w:val="0"/>
          <w:numId w:val="58"/>
        </w:numPr>
        <w:rPr>
          <w:rFonts w:ascii="Arial" w:cs="Arial" w:eastAsia="Arial" w:hAnsi="Arial"/>
          <w:sz w:val="22"/>
          <w:szCs w:val="22"/>
          <w:color w:val="auto"/>
        </w:rPr>
      </w:pPr>
      <w:r>
        <w:rPr>
          <w:rFonts w:ascii="Arial" w:cs="Arial" w:eastAsia="Arial" w:hAnsi="Arial"/>
          <w:sz w:val="22"/>
          <w:szCs w:val="22"/>
          <w:color w:val="auto"/>
        </w:rPr>
        <w:t>Having access to the details of monetary funds and restricted funds, and checking the reasons for funds restriction and relevant documents for release of the restriction;</w:t>
      </w:r>
    </w:p>
    <w:p>
      <w:pPr>
        <w:spacing w:after="0" w:line="201" w:lineRule="exact"/>
        <w:rPr>
          <w:rFonts w:ascii="Arial" w:cs="Arial" w:eastAsia="Arial" w:hAnsi="Arial"/>
          <w:sz w:val="22"/>
          <w:szCs w:val="22"/>
          <w:color w:val="auto"/>
        </w:rPr>
      </w:pPr>
    </w:p>
    <w:p>
      <w:pPr>
        <w:ind w:firstLine="332"/>
        <w:spacing w:after="0" w:line="250" w:lineRule="auto"/>
        <w:tabs>
          <w:tab w:leader="none" w:pos="540" w:val="left"/>
        </w:tabs>
        <w:numPr>
          <w:ilvl w:val="0"/>
          <w:numId w:val="58"/>
        </w:numPr>
        <w:rPr>
          <w:rFonts w:ascii="Arial" w:cs="Arial" w:eastAsia="Arial" w:hAnsi="Arial"/>
          <w:sz w:val="22"/>
          <w:szCs w:val="22"/>
          <w:color w:val="auto"/>
        </w:rPr>
      </w:pPr>
      <w:r>
        <w:rPr>
          <w:rFonts w:ascii="Arial" w:cs="Arial" w:eastAsia="Arial" w:hAnsi="Arial"/>
          <w:sz w:val="22"/>
          <w:szCs w:val="22"/>
          <w:color w:val="auto"/>
        </w:rPr>
        <w:t>Having access to the detailed statement of overseas deposits and bank statements of each reporting period, and reexamining the accuracy of the place and amount of overseas deposits;</w:t>
      </w:r>
    </w:p>
    <w:p>
      <w:pPr>
        <w:spacing w:after="0" w:line="209" w:lineRule="exact"/>
        <w:rPr>
          <w:rFonts w:ascii="Arial" w:cs="Arial" w:eastAsia="Arial" w:hAnsi="Arial"/>
          <w:sz w:val="22"/>
          <w:szCs w:val="22"/>
          <w:color w:val="auto"/>
        </w:rPr>
      </w:pPr>
    </w:p>
    <w:p>
      <w:pPr>
        <w:ind w:left="520" w:hanging="188"/>
        <w:spacing w:after="0"/>
        <w:tabs>
          <w:tab w:leader="none" w:pos="520" w:val="left"/>
        </w:tabs>
        <w:numPr>
          <w:ilvl w:val="0"/>
          <w:numId w:val="58"/>
        </w:numPr>
        <w:rPr>
          <w:rFonts w:ascii="Arial" w:cs="Arial" w:eastAsia="Arial" w:hAnsi="Arial"/>
          <w:sz w:val="16"/>
          <w:szCs w:val="16"/>
          <w:color w:val="auto"/>
        </w:rPr>
      </w:pPr>
      <w:r>
        <w:rPr>
          <w:rFonts w:ascii="Arial" w:cs="Arial" w:eastAsia="Arial" w:hAnsi="Arial"/>
          <w:sz w:val="16"/>
          <w:szCs w:val="16"/>
          <w:color w:val="auto"/>
        </w:rPr>
        <w:t>Having access to the bank statements of each reporting period to check the receipt and payment records of CleanChip HK, and reexamining the</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matching between the funds remitted by CleanChip HK to Mainland China and the sales proceeds collected by CleanChip HK in each reporting period; and</w:t>
      </w:r>
    </w:p>
    <w:p>
      <w:pPr>
        <w:spacing w:after="0" w:line="261" w:lineRule="exact"/>
        <w:rPr>
          <w:sz w:val="20"/>
          <w:szCs w:val="20"/>
          <w:color w:val="auto"/>
        </w:rPr>
      </w:pPr>
    </w:p>
    <w:p>
      <w:pPr>
        <w:ind w:firstLine="332"/>
        <w:spacing w:after="0" w:line="277" w:lineRule="auto"/>
        <w:tabs>
          <w:tab w:leader="none" w:pos="512" w:val="left"/>
        </w:tabs>
        <w:numPr>
          <w:ilvl w:val="0"/>
          <w:numId w:val="59"/>
        </w:numPr>
        <w:rPr>
          <w:rFonts w:ascii="Arial" w:cs="Arial" w:eastAsia="Arial" w:hAnsi="Arial"/>
          <w:sz w:val="18"/>
          <w:szCs w:val="18"/>
          <w:color w:val="auto"/>
        </w:rPr>
      </w:pPr>
      <w:r>
        <w:rPr>
          <w:rFonts w:ascii="Arial" w:cs="Arial" w:eastAsia="Arial" w:hAnsi="Arial"/>
          <w:sz w:val="18"/>
          <w:szCs w:val="18"/>
          <w:color w:val="auto"/>
        </w:rPr>
        <w:t>Having access to the post-period bank statements to check the payment collected by CleanChip HK as well as the authenticity and accuracy of the funds remitted back to Mainland China after the period.</w:t>
      </w:r>
    </w:p>
    <w:p>
      <w:pPr>
        <w:spacing w:after="0" w:line="197"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After the release of the Short-sell Report, the Sponsor performed the following further procedures with respect to the Company’s monetary funds and bank loans during the Reporting Period:</w:t>
      </w:r>
    </w:p>
    <w:p>
      <w:pPr>
        <w:spacing w:after="0" w:line="197" w:lineRule="exact"/>
        <w:rPr>
          <w:sz w:val="20"/>
          <w:szCs w:val="20"/>
          <w:color w:val="auto"/>
        </w:rPr>
      </w:pPr>
    </w:p>
    <w:p>
      <w:pPr>
        <w:ind w:left="520" w:hanging="188"/>
        <w:spacing w:after="0"/>
        <w:tabs>
          <w:tab w:leader="none" w:pos="520" w:val="left"/>
        </w:tabs>
        <w:numPr>
          <w:ilvl w:val="0"/>
          <w:numId w:val="60"/>
        </w:numPr>
        <w:rPr>
          <w:rFonts w:ascii="Arial" w:cs="Arial" w:eastAsia="Arial" w:hAnsi="Arial"/>
          <w:sz w:val="18"/>
          <w:szCs w:val="18"/>
          <w:color w:val="auto"/>
        </w:rPr>
      </w:pPr>
      <w:r>
        <w:rPr>
          <w:rFonts w:ascii="Arial" w:cs="Arial" w:eastAsia="Arial" w:hAnsi="Arial"/>
          <w:sz w:val="18"/>
          <w:szCs w:val="18"/>
          <w:color w:val="auto"/>
        </w:rPr>
        <w:t>Reviewing and counting the use of the Company’s large-sum funds from January to June in 2020; and</w:t>
      </w:r>
    </w:p>
    <w:p>
      <w:pPr>
        <w:spacing w:after="0" w:line="244" w:lineRule="exact"/>
        <w:rPr>
          <w:rFonts w:ascii="Arial" w:cs="Arial" w:eastAsia="Arial" w:hAnsi="Arial"/>
          <w:sz w:val="18"/>
          <w:szCs w:val="18"/>
          <w:color w:val="auto"/>
        </w:rPr>
      </w:pPr>
    </w:p>
    <w:p>
      <w:pPr>
        <w:ind w:left="560" w:hanging="228"/>
        <w:spacing w:after="0"/>
        <w:tabs>
          <w:tab w:leader="none" w:pos="560" w:val="left"/>
        </w:tabs>
        <w:numPr>
          <w:ilvl w:val="0"/>
          <w:numId w:val="60"/>
        </w:numPr>
        <w:rPr>
          <w:rFonts w:ascii="Arial" w:cs="Arial" w:eastAsia="Arial" w:hAnsi="Arial"/>
          <w:sz w:val="19"/>
          <w:szCs w:val="19"/>
          <w:color w:val="auto"/>
        </w:rPr>
      </w:pPr>
      <w:r>
        <w:rPr>
          <w:rFonts w:ascii="Arial" w:cs="Arial" w:eastAsia="Arial" w:hAnsi="Arial"/>
          <w:sz w:val="19"/>
          <w:szCs w:val="19"/>
          <w:color w:val="auto"/>
        </w:rPr>
        <w:t>Interviewing the management of the Company to understand the business background of the Company’s bank loans, and</w:t>
      </w:r>
    </w:p>
    <w:p>
      <w:pPr>
        <w:spacing w:after="0" w:line="43" w:lineRule="exact"/>
        <w:rPr>
          <w:sz w:val="20"/>
          <w:szCs w:val="20"/>
          <w:color w:val="auto"/>
        </w:rPr>
      </w:pPr>
    </w:p>
    <w:p>
      <w:pPr>
        <w:spacing w:after="0"/>
        <w:rPr>
          <w:sz w:val="20"/>
          <w:szCs w:val="20"/>
          <w:color w:val="auto"/>
        </w:rPr>
      </w:pPr>
      <w:r>
        <w:rPr>
          <w:rFonts w:ascii="Arial" w:cs="Arial" w:eastAsia="Arial" w:hAnsi="Arial"/>
          <w:sz w:val="22"/>
          <w:szCs w:val="22"/>
          <w:color w:val="auto"/>
        </w:rPr>
        <w:t>verify the rationality of the loans;</w:t>
      </w:r>
    </w:p>
    <w:p>
      <w:pPr>
        <w:spacing w:after="0" w:line="39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8-4-1-56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60" w:name="page61"/>
    <w:bookmarkEnd w:id="60"/>
    <w:p>
      <w:pPr>
        <w:ind w:firstLine="332"/>
        <w:spacing w:after="0" w:line="277" w:lineRule="auto"/>
        <w:tabs>
          <w:tab w:leader="none" w:pos="513" w:val="left"/>
        </w:tabs>
        <w:numPr>
          <w:ilvl w:val="0"/>
          <w:numId w:val="61"/>
        </w:numPr>
        <w:rPr>
          <w:rFonts w:ascii="Arial" w:cs="Arial" w:eastAsia="Arial" w:hAnsi="Arial"/>
          <w:sz w:val="18"/>
          <w:szCs w:val="18"/>
          <w:color w:val="auto"/>
        </w:rPr>
      </w:pPr>
      <w:r>
        <w:rPr>
          <w:rFonts w:ascii="Arial" w:cs="Arial" w:eastAsia="Arial" w:hAnsi="Arial"/>
          <w:sz w:val="18"/>
          <w:szCs w:val="18"/>
          <w:color w:val="auto"/>
        </w:rPr>
        <w:t>Having access to the monetary fund details of ACMR and the Issuer, and comparing the consolidated monetary funds differences between ACMR and the Issuer; and</w:t>
      </w:r>
    </w:p>
    <w:p>
      <w:pPr>
        <w:spacing w:after="0" w:line="197" w:lineRule="exact"/>
        <w:rPr>
          <w:rFonts w:ascii="Arial" w:cs="Arial" w:eastAsia="Arial" w:hAnsi="Arial"/>
          <w:sz w:val="18"/>
          <w:szCs w:val="18"/>
          <w:color w:val="auto"/>
        </w:rPr>
      </w:pPr>
    </w:p>
    <w:p>
      <w:pPr>
        <w:ind w:firstLine="332"/>
        <w:spacing w:after="0" w:line="277" w:lineRule="auto"/>
        <w:tabs>
          <w:tab w:leader="none" w:pos="507" w:val="left"/>
        </w:tabs>
        <w:numPr>
          <w:ilvl w:val="0"/>
          <w:numId w:val="61"/>
        </w:numPr>
        <w:rPr>
          <w:rFonts w:ascii="Arial" w:cs="Arial" w:eastAsia="Arial" w:hAnsi="Arial"/>
          <w:sz w:val="18"/>
          <w:szCs w:val="18"/>
          <w:color w:val="auto"/>
        </w:rPr>
      </w:pPr>
      <w:r>
        <w:rPr>
          <w:rFonts w:ascii="Arial" w:cs="Arial" w:eastAsia="Arial" w:hAnsi="Arial"/>
          <w:sz w:val="18"/>
          <w:szCs w:val="18"/>
          <w:color w:val="auto"/>
        </w:rPr>
        <w:t>Interviewing the management of ACMR about the operation and bank account opening of ACM Cayman, and obtaining the statement of ACMR on this regard.</w:t>
      </w:r>
    </w:p>
    <w:p>
      <w:pPr>
        <w:spacing w:after="0" w:line="193"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(ii) Verification Opinions</w:t>
      </w:r>
    </w:p>
    <w:p>
      <w:pPr>
        <w:spacing w:after="0" w:line="256" w:lineRule="exact"/>
        <w:rPr>
          <w:sz w:val="20"/>
          <w:szCs w:val="20"/>
          <w:color w:val="auto"/>
        </w:rPr>
      </w:pPr>
    </w:p>
    <w:p>
      <w:pPr>
        <w:ind w:left="340"/>
        <w:spacing w:after="0"/>
        <w:rPr>
          <w:sz w:val="20"/>
          <w:szCs w:val="20"/>
          <w:color w:val="auto"/>
        </w:rPr>
      </w:pPr>
      <w:r>
        <w:rPr>
          <w:rFonts w:ascii="Arial" w:cs="Arial" w:eastAsia="Arial" w:hAnsi="Arial"/>
          <w:sz w:val="18"/>
          <w:szCs w:val="18"/>
          <w:color w:val="auto"/>
        </w:rPr>
        <w:t>Upon verification, the Sponsor opines that:</w:t>
      </w:r>
    </w:p>
    <w:p>
      <w:pPr>
        <w:spacing w:after="0" w:line="252" w:lineRule="exact"/>
        <w:rPr>
          <w:sz w:val="20"/>
          <w:szCs w:val="20"/>
          <w:color w:val="auto"/>
        </w:rPr>
      </w:pPr>
    </w:p>
    <w:p>
      <w:pPr>
        <w:ind w:left="520" w:hanging="188"/>
        <w:spacing w:after="0"/>
        <w:tabs>
          <w:tab w:leader="none" w:pos="520" w:val="left"/>
        </w:tabs>
        <w:numPr>
          <w:ilvl w:val="0"/>
          <w:numId w:val="62"/>
        </w:numPr>
        <w:rPr>
          <w:rFonts w:ascii="Arial" w:cs="Arial" w:eastAsia="Arial" w:hAnsi="Arial"/>
          <w:sz w:val="17"/>
          <w:szCs w:val="17"/>
          <w:color w:val="auto"/>
        </w:rPr>
      </w:pPr>
      <w:r>
        <w:rPr>
          <w:rFonts w:ascii="Arial" w:cs="Arial" w:eastAsia="Arial" w:hAnsi="Arial"/>
          <w:sz w:val="17"/>
          <w:szCs w:val="17"/>
          <w:color w:val="auto"/>
        </w:rPr>
        <w:t>The monetary funds of the Issuer as to the amount at the end of each reporting period were accurate and have been properly disclosed;</w:t>
      </w:r>
    </w:p>
    <w:p>
      <w:pPr>
        <w:spacing w:after="0" w:line="263" w:lineRule="exact"/>
        <w:rPr>
          <w:rFonts w:ascii="Arial" w:cs="Arial" w:eastAsia="Arial" w:hAnsi="Arial"/>
          <w:sz w:val="17"/>
          <w:szCs w:val="17"/>
          <w:color w:val="auto"/>
        </w:rPr>
      </w:pPr>
    </w:p>
    <w:p>
      <w:pPr>
        <w:ind w:firstLine="332"/>
        <w:spacing w:after="0" w:line="277" w:lineRule="auto"/>
        <w:tabs>
          <w:tab w:leader="none" w:pos="510" w:val="left"/>
        </w:tabs>
        <w:numPr>
          <w:ilvl w:val="0"/>
          <w:numId w:val="62"/>
        </w:numPr>
        <w:rPr>
          <w:rFonts w:ascii="Arial" w:cs="Arial" w:eastAsia="Arial" w:hAnsi="Arial"/>
          <w:sz w:val="18"/>
          <w:szCs w:val="18"/>
          <w:color w:val="auto"/>
        </w:rPr>
      </w:pPr>
      <w:r>
        <w:rPr>
          <w:rFonts w:ascii="Arial" w:cs="Arial" w:eastAsia="Arial" w:hAnsi="Arial"/>
          <w:sz w:val="18"/>
          <w:szCs w:val="18"/>
          <w:color w:val="auto"/>
        </w:rPr>
        <w:t>It was reasonable for the Issuer to seek short-term loans from January to June in 2020 through the guarantee provided by HUI WANG, the de facto controller of the Issuer, according to the relevant requirements of bank credit line;</w:t>
      </w:r>
    </w:p>
    <w:p>
      <w:pPr>
        <w:spacing w:after="0" w:line="197" w:lineRule="exact"/>
        <w:rPr>
          <w:rFonts w:ascii="Arial" w:cs="Arial" w:eastAsia="Arial" w:hAnsi="Arial"/>
          <w:sz w:val="18"/>
          <w:szCs w:val="18"/>
          <w:color w:val="auto"/>
        </w:rPr>
      </w:pPr>
    </w:p>
    <w:p>
      <w:pPr>
        <w:ind w:right="20" w:firstLine="332"/>
        <w:spacing w:after="0" w:line="277" w:lineRule="auto"/>
        <w:tabs>
          <w:tab w:leader="none" w:pos="511" w:val="left"/>
        </w:tabs>
        <w:numPr>
          <w:ilvl w:val="0"/>
          <w:numId w:val="62"/>
        </w:numPr>
        <w:rPr>
          <w:rFonts w:ascii="Arial" w:cs="Arial" w:eastAsia="Arial" w:hAnsi="Arial"/>
          <w:sz w:val="18"/>
          <w:szCs w:val="18"/>
          <w:color w:val="auto"/>
        </w:rPr>
      </w:pPr>
      <w:r>
        <w:rPr>
          <w:rFonts w:ascii="Arial" w:cs="Arial" w:eastAsia="Arial" w:hAnsi="Arial"/>
          <w:sz w:val="18"/>
          <w:szCs w:val="18"/>
          <w:color w:val="auto"/>
        </w:rPr>
        <w:t>It is incorrect for JCAP to present the “total current assets” in the consolidated financial statements of ACMR for 2017 and 2018 as the “total cash and equivalents” when presenting financial data;</w:t>
      </w:r>
    </w:p>
    <w:p>
      <w:pPr>
        <w:spacing w:after="0" w:line="197" w:lineRule="exact"/>
        <w:rPr>
          <w:rFonts w:ascii="Arial" w:cs="Arial" w:eastAsia="Arial" w:hAnsi="Arial"/>
          <w:sz w:val="18"/>
          <w:szCs w:val="18"/>
          <w:color w:val="auto"/>
        </w:rPr>
      </w:pPr>
    </w:p>
    <w:p>
      <w:pPr>
        <w:ind w:firstLine="332"/>
        <w:spacing w:after="0" w:line="277" w:lineRule="auto"/>
        <w:tabs>
          <w:tab w:leader="none" w:pos="514" w:val="left"/>
        </w:tabs>
        <w:numPr>
          <w:ilvl w:val="0"/>
          <w:numId w:val="62"/>
        </w:numPr>
        <w:rPr>
          <w:rFonts w:ascii="Arial" w:cs="Arial" w:eastAsia="Arial" w:hAnsi="Arial"/>
          <w:sz w:val="18"/>
          <w:szCs w:val="18"/>
          <w:color w:val="auto"/>
        </w:rPr>
      </w:pPr>
      <w:r>
        <w:rPr>
          <w:rFonts w:ascii="Arial" w:cs="Arial" w:eastAsia="Arial" w:hAnsi="Arial"/>
          <w:sz w:val="18"/>
          <w:szCs w:val="18"/>
          <w:color w:val="auto"/>
        </w:rPr>
        <w:t>The gap in cash between the Issuer and ACMR represents the cash held by ACMR and deposited in the United States, not the cash held by ACM Cayman;</w:t>
      </w:r>
    </w:p>
    <w:p>
      <w:pPr>
        <w:spacing w:after="0" w:line="197" w:lineRule="exact"/>
        <w:rPr>
          <w:rFonts w:ascii="Arial" w:cs="Arial" w:eastAsia="Arial" w:hAnsi="Arial"/>
          <w:sz w:val="18"/>
          <w:szCs w:val="18"/>
          <w:color w:val="auto"/>
        </w:rPr>
      </w:pPr>
    </w:p>
    <w:p>
      <w:pPr>
        <w:ind w:left="520" w:hanging="188"/>
        <w:spacing w:after="0"/>
        <w:tabs>
          <w:tab w:leader="none" w:pos="520" w:val="left"/>
        </w:tabs>
        <w:numPr>
          <w:ilvl w:val="0"/>
          <w:numId w:val="62"/>
        </w:numPr>
        <w:rPr>
          <w:rFonts w:ascii="Arial" w:cs="Arial" w:eastAsia="Arial" w:hAnsi="Arial"/>
          <w:sz w:val="18"/>
          <w:szCs w:val="18"/>
          <w:color w:val="auto"/>
        </w:rPr>
      </w:pPr>
      <w:r>
        <w:rPr>
          <w:rFonts w:ascii="Arial" w:cs="Arial" w:eastAsia="Arial" w:hAnsi="Arial"/>
          <w:sz w:val="18"/>
          <w:szCs w:val="18"/>
          <w:color w:val="auto"/>
        </w:rPr>
        <w:t>The amount of overseas deposits disclosed by the Issuer in the financial statements did exist; and</w:t>
      </w:r>
    </w:p>
    <w:p>
      <w:pPr>
        <w:spacing w:after="0" w:line="252" w:lineRule="exact"/>
        <w:rPr>
          <w:rFonts w:ascii="Arial" w:cs="Arial" w:eastAsia="Arial" w:hAnsi="Arial"/>
          <w:sz w:val="18"/>
          <w:szCs w:val="18"/>
          <w:color w:val="auto"/>
        </w:rPr>
      </w:pPr>
    </w:p>
    <w:p>
      <w:pPr>
        <w:jc w:val="both"/>
        <w:ind w:firstLine="332"/>
        <w:spacing w:after="0" w:line="286" w:lineRule="auto"/>
        <w:tabs>
          <w:tab w:leader="none" w:pos="519" w:val="left"/>
        </w:tabs>
        <w:numPr>
          <w:ilvl w:val="0"/>
          <w:numId w:val="62"/>
        </w:numPr>
        <w:rPr>
          <w:rFonts w:ascii="Arial" w:cs="Arial" w:eastAsia="Arial" w:hAnsi="Arial"/>
          <w:sz w:val="17"/>
          <w:szCs w:val="17"/>
          <w:color w:val="auto"/>
        </w:rPr>
      </w:pPr>
      <w:r>
        <w:rPr>
          <w:rFonts w:ascii="Arial" w:cs="Arial" w:eastAsia="Arial" w:hAnsi="Arial"/>
          <w:sz w:val="17"/>
          <w:szCs w:val="17"/>
          <w:color w:val="auto"/>
        </w:rPr>
        <w:t>The reason for the negative operating cash flow of the parent company, and the large positive amount of the consolidated operating cash flow in 2018 and 2019 is that: the Company sold products to end customers through CleanChip HK, and there was a temporal difference between the amount of funds actually remitted back to Mainland China and the amount of proceeds collected from sales by CleanChip HK in the current period.</w:t>
      </w:r>
    </w:p>
    <w:p>
      <w:pPr>
        <w:spacing w:after="0" w:line="179" w:lineRule="exact"/>
        <w:rPr>
          <w:sz w:val="20"/>
          <w:szCs w:val="20"/>
          <w:color w:val="auto"/>
        </w:rPr>
      </w:pPr>
    </w:p>
    <w:p>
      <w:pPr>
        <w:ind w:left="340" w:right="1320" w:hanging="8"/>
        <w:spacing w:after="0" w:line="463" w:lineRule="auto"/>
        <w:tabs>
          <w:tab w:leader="none" w:pos="556" w:val="left"/>
        </w:tabs>
        <w:numPr>
          <w:ilvl w:val="0"/>
          <w:numId w:val="63"/>
        </w:numPr>
        <w:rPr>
          <w:rFonts w:ascii="Arial" w:cs="Arial" w:eastAsia="Arial" w:hAnsi="Arial"/>
          <w:sz w:val="22"/>
          <w:szCs w:val="22"/>
          <w:b w:val="1"/>
          <w:bCs w:val="1"/>
          <w:color w:val="auto"/>
        </w:rPr>
      </w:pPr>
      <w:r>
        <w:rPr>
          <w:rFonts w:ascii="Arial" w:cs="Arial" w:eastAsia="Arial" w:hAnsi="Arial"/>
          <w:sz w:val="22"/>
          <w:szCs w:val="22"/>
          <w:b w:val="1"/>
          <w:bCs w:val="1"/>
          <w:color w:val="auto"/>
        </w:rPr>
        <w:t>Other Challenge 3: About Inventory (Index of Verification in Response to the Short-sell Report, No.8) Challenge in the Short-sell Report (Short-sell Report, pp.12):</w:t>
      </w:r>
    </w:p>
    <w:p>
      <w:pPr>
        <w:spacing w:after="0" w:line="2" w:lineRule="exact"/>
        <w:rPr>
          <w:sz w:val="20"/>
          <w:szCs w:val="20"/>
          <w:color w:val="auto"/>
        </w:rPr>
      </w:pPr>
    </w:p>
    <w:p>
      <w:pPr>
        <w:jc w:val="both"/>
        <w:ind w:firstLine="324"/>
        <w:spacing w:after="0" w:line="235" w:lineRule="auto"/>
        <w:rPr>
          <w:sz w:val="20"/>
          <w:szCs w:val="20"/>
          <w:color w:val="auto"/>
        </w:rPr>
      </w:pPr>
      <w:r>
        <w:rPr>
          <w:rFonts w:ascii="Arial" w:cs="Arial" w:eastAsia="Arial" w:hAnsi="Arial"/>
          <w:sz w:val="22"/>
          <w:szCs w:val="22"/>
          <w:color w:val="auto"/>
        </w:rPr>
        <w:t>“Inventory. There is a large mismatch between what clients have told us and what ACMR reports. ACMR claims nearly $20 mln in inventory of delivered machines—meaning completed machines that have not been paid for and are sitting on customer premises. This is an astonishing 45% of total inventory. But most clients say they pay for 90% of their orders by the time of delivery and the balance within 30 days of receiving the machine. ACMR employees tell us they ship machines as soon as they are assembled. There is no room for inventory of completed goods. We believe that the $19.6 mln in finished-goods inventory reported by the company is an invention.”</w:t>
      </w:r>
    </w:p>
    <w:p>
      <w:pPr>
        <w:spacing w:after="0" w:line="39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8-4-1-57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61" w:name="page62"/>
    <w:bookmarkEnd w:id="61"/>
    <w:p>
      <w:pPr>
        <w:ind w:left="340"/>
        <w:spacing w:after="0"/>
        <w:rPr>
          <w:sz w:val="20"/>
          <w:szCs w:val="20"/>
          <w:color w:val="auto"/>
        </w:rPr>
      </w:pPr>
      <w:r>
        <w:rPr>
          <w:rFonts w:ascii="Arial" w:cs="Arial" w:eastAsia="Arial" w:hAnsi="Arial"/>
          <w:sz w:val="22"/>
          <w:szCs w:val="22"/>
          <w:b w:val="1"/>
          <w:bCs w:val="1"/>
          <w:color w:val="auto"/>
        </w:rPr>
        <w:t>Response:</w:t>
      </w:r>
    </w:p>
    <w:p>
      <w:pPr>
        <w:spacing w:after="0" w:line="234" w:lineRule="exact"/>
        <w:rPr>
          <w:sz w:val="20"/>
          <w:szCs w:val="20"/>
          <w:color w:val="auto"/>
        </w:rPr>
      </w:pPr>
    </w:p>
    <w:p>
      <w:pPr>
        <w:ind w:left="340"/>
        <w:spacing w:after="0"/>
        <w:rPr>
          <w:sz w:val="20"/>
          <w:szCs w:val="20"/>
          <w:color w:val="auto"/>
        </w:rPr>
      </w:pPr>
      <w:r>
        <w:rPr>
          <w:rFonts w:ascii="Arial" w:cs="Arial" w:eastAsia="Arial" w:hAnsi="Arial"/>
          <w:sz w:val="22"/>
          <w:szCs w:val="22"/>
          <w:b w:val="1"/>
          <w:bCs w:val="1"/>
          <w:color w:val="auto"/>
        </w:rPr>
        <w:t>I. Clarification by the Issuer</w:t>
      </w:r>
    </w:p>
    <w:p>
      <w:pPr>
        <w:spacing w:after="0" w:line="246" w:lineRule="exact"/>
        <w:rPr>
          <w:sz w:val="20"/>
          <w:szCs w:val="20"/>
          <w:color w:val="auto"/>
        </w:rPr>
      </w:pPr>
    </w:p>
    <w:p>
      <w:pPr>
        <w:jc w:val="both"/>
        <w:ind w:firstLine="324"/>
        <w:spacing w:after="0" w:line="308" w:lineRule="auto"/>
        <w:rPr>
          <w:sz w:val="20"/>
          <w:szCs w:val="20"/>
          <w:color w:val="auto"/>
        </w:rPr>
      </w:pPr>
      <w:r>
        <w:rPr>
          <w:rFonts w:ascii="Arial" w:cs="Arial" w:eastAsia="Arial" w:hAnsi="Arial"/>
          <w:sz w:val="17"/>
          <w:szCs w:val="17"/>
          <w:color w:val="auto"/>
        </w:rPr>
        <w:t>The goods on delivery of the Company are accurately reported. The Company has made disclosure and clarification in “Section VIII.XII.(I) Asset Structure and Change Analysis” of the Prospectus, and in “Q22” and “Q24” of the Reply to the Letter of First Round Review-related Inquiries.</w:t>
      </w:r>
    </w:p>
    <w:p>
      <w:pPr>
        <w:spacing w:after="0" w:line="173" w:lineRule="exact"/>
        <w:rPr>
          <w:sz w:val="20"/>
          <w:szCs w:val="20"/>
          <w:color w:val="auto"/>
        </w:rPr>
      </w:pPr>
    </w:p>
    <w:p>
      <w:pPr>
        <w:jc w:val="both"/>
        <w:ind w:firstLine="324"/>
        <w:spacing w:after="0" w:line="308" w:lineRule="auto"/>
        <w:rPr>
          <w:sz w:val="20"/>
          <w:szCs w:val="20"/>
          <w:color w:val="auto"/>
        </w:rPr>
      </w:pPr>
      <w:r>
        <w:rPr>
          <w:rFonts w:ascii="Arial" w:cs="Arial" w:eastAsia="Arial" w:hAnsi="Arial"/>
          <w:sz w:val="17"/>
          <w:szCs w:val="17"/>
          <w:color w:val="auto"/>
        </w:rPr>
        <w:t>For some products, the Company ships and pays for them before receiving confirmation and acceptance documents from customers, for which no revenue can be recognized according to the Company’s revenue recognition policy. Instead, such products are recorded as goods on delivery.</w:t>
      </w:r>
    </w:p>
    <w:p>
      <w:pPr>
        <w:spacing w:after="0" w:line="169"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(i) Goods on delivery</w:t>
      </w:r>
    </w:p>
    <w:p>
      <w:pPr>
        <w:spacing w:after="0" w:line="256"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According to relevant provisions of China’s accounting standards for business enterprises, goods on delivery refer to finished products or goods in stock sold by way of collection and acceptance settlement that have been shipped, or the equipment that has been shipped on instalment sales but has not been accepted by the customer with unrecognized revenue.</w:t>
      </w:r>
    </w:p>
    <w:p>
      <w:pPr>
        <w:spacing w:after="0" w:line="211"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The Issuer entered into relevant sales agreements with the customers, and delivered the finished semiconductor cleaning equipment to the places designated by the customers according to the delivery arrangement agreed with the customers. The finished products in transit from the warehouse to the customers and those delivered to the customers’ premises were recorded by the Issuer as goods on delivery.</w:t>
      </w:r>
    </w:p>
    <w:p>
      <w:pPr>
        <w:spacing w:after="0" w:line="211"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At the end of 2019, all the goods on delivery of the Issuer, with the closing balance of RMB137,624,591.95, represented the semiconductor cleaning equipment under relevant sales agreements with customers which are in transit or have been delivered to the customers’ designated places as per the delivery arrangement pending commissioning and acceptance.</w:t>
      </w: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8-4-1-58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2" w:right="339" w:bottom="1440" w:gutter="0" w:footer="0" w:header="0"/>
        </w:sectPr>
      </w:pPr>
    </w:p>
    <w:bookmarkStart w:id="62" w:name="page63"/>
    <w:bookmarkEnd w:id="62"/>
    <w:p>
      <w:pPr>
        <w:ind w:left="340"/>
        <w:spacing w:after="0"/>
        <w:rPr>
          <w:sz w:val="20"/>
          <w:szCs w:val="20"/>
          <w:color w:val="auto"/>
        </w:rPr>
      </w:pPr>
      <w:r>
        <w:rPr>
          <w:rFonts w:ascii="Arial" w:cs="Arial" w:eastAsia="Arial" w:hAnsi="Arial"/>
          <w:sz w:val="22"/>
          <w:szCs w:val="22"/>
          <w:b w:val="1"/>
          <w:bCs w:val="1"/>
          <w:color w:val="auto"/>
        </w:rPr>
        <w:t>(ii) Deposits received</w:t>
      </w:r>
    </w:p>
    <w:p>
      <w:pPr>
        <w:spacing w:after="0" w:line="240" w:lineRule="exact"/>
        <w:rPr>
          <w:sz w:val="20"/>
          <w:szCs w:val="20"/>
          <w:color w:val="auto"/>
        </w:rPr>
      </w:pPr>
    </w:p>
    <w:p>
      <w:pPr>
        <w:jc w:val="both"/>
        <w:ind w:firstLine="324"/>
        <w:spacing w:after="0"/>
        <w:rPr>
          <w:sz w:val="20"/>
          <w:szCs w:val="20"/>
          <w:color w:val="auto"/>
        </w:rPr>
      </w:pPr>
      <w:r>
        <w:rPr>
          <w:rFonts w:ascii="Arial" w:cs="Arial" w:eastAsia="Arial" w:hAnsi="Arial"/>
          <w:sz w:val="22"/>
          <w:szCs w:val="22"/>
          <w:color w:val="auto"/>
        </w:rPr>
        <w:t>According to the main settlement policies between the Issuer and its customers, generally, the Issuer shall receive the deposits in the proportion agreed in the contract after delivery. The corresponding relationship between the Company’s deposits received and the goods on delivery is as follows:</w:t>
      </w:r>
    </w:p>
    <w:p>
      <w:pPr>
        <w:spacing w:after="0" w:line="213" w:lineRule="exact"/>
        <w:rPr>
          <w:sz w:val="20"/>
          <w:szCs w:val="20"/>
          <w:color w:val="auto"/>
        </w:rPr>
      </w:pPr>
    </w:p>
    <w:p>
      <w:pPr>
        <w:ind w:left="340"/>
        <w:spacing w:after="0"/>
        <w:rPr>
          <w:sz w:val="20"/>
          <w:szCs w:val="20"/>
          <w:color w:val="auto"/>
        </w:rPr>
      </w:pPr>
      <w:r>
        <w:rPr>
          <w:rFonts w:ascii="Arial" w:cs="Arial" w:eastAsia="Arial" w:hAnsi="Arial"/>
          <w:sz w:val="22"/>
          <w:szCs w:val="22"/>
          <w:color w:val="auto"/>
        </w:rPr>
        <w:t>1. June 30, 2020</w:t>
      </w:r>
    </w:p>
    <w:p>
      <w:pPr>
        <w:spacing w:after="0" w:line="233" w:lineRule="exact"/>
        <w:rPr>
          <w:sz w:val="20"/>
          <w:szCs w:val="20"/>
          <w:color w:val="auto"/>
        </w:rPr>
      </w:pPr>
    </w:p>
    <w:tbl>
      <w:tblPr>
        <w:tblLayout w:type="fixed"/>
        <w:tblInd w:w="10" w:type="dxa"/>
        <w:tblCellMar>
          <w:top w:w="0" w:type="dxa"/>
          <w:left w:w="0" w:type="dxa"/>
          <w:bottom w:w="0" w:type="dxa"/>
          <w:right w:w="0" w:type="dxa"/>
        </w:tblCellMar>
      </w:tblPr>
      <w:tr>
        <w:trPr>
          <w:trHeight w:val="274"/>
        </w:trPr>
        <w:tc>
          <w:tcPr>
            <w:tcW w:w="1160" w:type="dxa"/>
            <w:vAlign w:val="bottom"/>
          </w:tcPr>
          <w:p>
            <w:pPr>
              <w:spacing w:after="0"/>
              <w:rPr>
                <w:sz w:val="23"/>
                <w:szCs w:val="23"/>
                <w:color w:val="auto"/>
              </w:rPr>
            </w:pPr>
          </w:p>
        </w:tc>
        <w:tc>
          <w:tcPr>
            <w:tcW w:w="2540" w:type="dxa"/>
            <w:vAlign w:val="bottom"/>
          </w:tcPr>
          <w:p>
            <w:pPr>
              <w:spacing w:after="0"/>
              <w:rPr>
                <w:sz w:val="23"/>
                <w:szCs w:val="23"/>
                <w:color w:val="auto"/>
              </w:rPr>
            </w:pPr>
          </w:p>
        </w:tc>
        <w:tc>
          <w:tcPr>
            <w:tcW w:w="2500" w:type="dxa"/>
            <w:vAlign w:val="bottom"/>
          </w:tcPr>
          <w:p>
            <w:pPr>
              <w:spacing w:after="0"/>
              <w:rPr>
                <w:sz w:val="23"/>
                <w:szCs w:val="23"/>
                <w:color w:val="auto"/>
              </w:rPr>
            </w:pPr>
          </w:p>
        </w:tc>
        <w:tc>
          <w:tcPr>
            <w:tcW w:w="2480" w:type="dxa"/>
            <w:vAlign w:val="bottom"/>
          </w:tcPr>
          <w:p>
            <w:pPr>
              <w:spacing w:after="0"/>
              <w:rPr>
                <w:sz w:val="23"/>
                <w:szCs w:val="23"/>
                <w:color w:val="auto"/>
              </w:rPr>
            </w:pPr>
          </w:p>
        </w:tc>
        <w:tc>
          <w:tcPr>
            <w:tcW w:w="2560" w:type="dxa"/>
            <w:vAlign w:val="bottom"/>
          </w:tcPr>
          <w:p>
            <w:pPr>
              <w:ind w:left="980"/>
              <w:spacing w:after="0"/>
              <w:rPr>
                <w:sz w:val="20"/>
                <w:szCs w:val="20"/>
                <w:color w:val="auto"/>
              </w:rPr>
            </w:pPr>
            <w:r>
              <w:rPr>
                <w:rFonts w:ascii="Arial" w:cs="Arial" w:eastAsia="Arial" w:hAnsi="Arial"/>
                <w:sz w:val="22"/>
                <w:szCs w:val="22"/>
                <w:color w:val="auto"/>
                <w:w w:val="91"/>
              </w:rPr>
              <w:t>Unit: RMB10,000</w:t>
            </w:r>
          </w:p>
        </w:tc>
        <w:tc>
          <w:tcPr>
            <w:tcW w:w="0" w:type="dxa"/>
            <w:vAlign w:val="bottom"/>
          </w:tcPr>
          <w:p>
            <w:pPr>
              <w:spacing w:after="0"/>
              <w:rPr>
                <w:sz w:val="1"/>
                <w:szCs w:val="1"/>
                <w:color w:val="auto"/>
              </w:rPr>
            </w:pPr>
          </w:p>
        </w:tc>
      </w:tr>
      <w:tr>
        <w:trPr>
          <w:trHeight w:val="240"/>
        </w:trPr>
        <w:tc>
          <w:tcPr>
            <w:tcW w:w="1160" w:type="dxa"/>
            <w:vAlign w:val="bottom"/>
            <w:tcBorders>
              <w:bottom w:val="single" w:sz="8" w:color="auto"/>
            </w:tcBorders>
          </w:tcPr>
          <w:p>
            <w:pPr>
              <w:spacing w:after="0"/>
              <w:rPr>
                <w:sz w:val="20"/>
                <w:szCs w:val="20"/>
                <w:color w:val="auto"/>
              </w:rPr>
            </w:pPr>
          </w:p>
        </w:tc>
        <w:tc>
          <w:tcPr>
            <w:tcW w:w="2540" w:type="dxa"/>
            <w:vAlign w:val="bottom"/>
            <w:tcBorders>
              <w:bottom w:val="single" w:sz="8" w:color="auto"/>
            </w:tcBorders>
          </w:tcPr>
          <w:p>
            <w:pPr>
              <w:spacing w:after="0"/>
              <w:rPr>
                <w:sz w:val="20"/>
                <w:szCs w:val="20"/>
                <w:color w:val="auto"/>
              </w:rPr>
            </w:pPr>
          </w:p>
        </w:tc>
        <w:tc>
          <w:tcPr>
            <w:tcW w:w="2500" w:type="dxa"/>
            <w:vAlign w:val="bottom"/>
            <w:tcBorders>
              <w:bottom w:val="single" w:sz="8" w:color="auto"/>
            </w:tcBorders>
          </w:tcPr>
          <w:p>
            <w:pPr>
              <w:spacing w:after="0"/>
              <w:rPr>
                <w:sz w:val="20"/>
                <w:szCs w:val="20"/>
                <w:color w:val="auto"/>
              </w:rPr>
            </w:pPr>
          </w:p>
        </w:tc>
        <w:tc>
          <w:tcPr>
            <w:tcW w:w="2480" w:type="dxa"/>
            <w:vAlign w:val="bottom"/>
            <w:tcBorders>
              <w:bottom w:val="single" w:sz="8" w:color="auto"/>
            </w:tcBorders>
          </w:tcPr>
          <w:p>
            <w:pPr>
              <w:spacing w:after="0"/>
              <w:rPr>
                <w:sz w:val="20"/>
                <w:szCs w:val="20"/>
                <w:color w:val="auto"/>
              </w:rPr>
            </w:pPr>
          </w:p>
        </w:tc>
        <w:tc>
          <w:tcPr>
            <w:tcW w:w="256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1160" w:type="dxa"/>
            <w:vAlign w:val="bottom"/>
            <w:tcBorders>
              <w:left w:val="single" w:sz="8" w:color="auto"/>
              <w:right w:val="single" w:sz="8" w:color="auto"/>
            </w:tcBorders>
          </w:tcPr>
          <w:p>
            <w:pPr>
              <w:spacing w:after="0"/>
              <w:rPr>
                <w:sz w:val="17"/>
                <w:szCs w:val="17"/>
                <w:color w:val="auto"/>
              </w:rPr>
            </w:pPr>
          </w:p>
        </w:tc>
        <w:tc>
          <w:tcPr>
            <w:tcW w:w="2540" w:type="dxa"/>
            <w:vAlign w:val="bottom"/>
            <w:tcBorders>
              <w:right w:val="single" w:sz="8" w:color="auto"/>
            </w:tcBorders>
          </w:tcPr>
          <w:p>
            <w:pPr>
              <w:spacing w:after="0"/>
              <w:rPr>
                <w:sz w:val="17"/>
                <w:szCs w:val="17"/>
                <w:color w:val="auto"/>
              </w:rPr>
            </w:pPr>
          </w:p>
        </w:tc>
        <w:tc>
          <w:tcPr>
            <w:tcW w:w="2500" w:type="dxa"/>
            <w:vAlign w:val="bottom"/>
            <w:tcBorders>
              <w:right w:val="single" w:sz="8" w:color="auto"/>
            </w:tcBorders>
          </w:tcPr>
          <w:p>
            <w:pPr>
              <w:spacing w:after="0"/>
              <w:rPr>
                <w:sz w:val="17"/>
                <w:szCs w:val="17"/>
                <w:color w:val="auto"/>
              </w:rPr>
            </w:pPr>
          </w:p>
        </w:tc>
        <w:tc>
          <w:tcPr>
            <w:tcW w:w="24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b w:val="1"/>
                <w:bCs w:val="1"/>
                <w:color w:val="auto"/>
                <w:w w:val="94"/>
              </w:rPr>
              <w:t>Whether</w:t>
            </w:r>
          </w:p>
        </w:tc>
        <w:tc>
          <w:tcPr>
            <w:tcW w:w="2560" w:type="dxa"/>
            <w:vAlign w:val="bottom"/>
            <w:tcBorders>
              <w:right w:val="single" w:sz="8" w:color="auto"/>
            </w:tcBorders>
          </w:tcPr>
          <w:p>
            <w:pPr>
              <w:jc w:val="center"/>
              <w:spacing w:after="0" w:line="198" w:lineRule="exact"/>
              <w:rPr>
                <w:sz w:val="20"/>
                <w:szCs w:val="20"/>
                <w:color w:val="auto"/>
              </w:rPr>
            </w:pPr>
            <w:r>
              <w:rPr>
                <w:rFonts w:ascii="Arial" w:cs="Arial" w:eastAsia="Arial" w:hAnsi="Arial"/>
                <w:sz w:val="18"/>
                <w:szCs w:val="18"/>
                <w:b w:val="1"/>
                <w:bCs w:val="1"/>
                <w:color w:val="auto"/>
                <w:w w:val="88"/>
              </w:rPr>
              <w:t>Goods on</w:t>
            </w:r>
          </w:p>
        </w:tc>
        <w:tc>
          <w:tcPr>
            <w:tcW w:w="0" w:type="dxa"/>
            <w:vAlign w:val="bottom"/>
          </w:tcPr>
          <w:p>
            <w:pPr>
              <w:spacing w:after="0"/>
              <w:rPr>
                <w:sz w:val="1"/>
                <w:szCs w:val="1"/>
                <w:color w:val="auto"/>
              </w:rPr>
            </w:pPr>
          </w:p>
        </w:tc>
      </w:tr>
      <w:tr>
        <w:trPr>
          <w:trHeight w:val="108"/>
        </w:trPr>
        <w:tc>
          <w:tcPr>
            <w:tcW w:w="1160" w:type="dxa"/>
            <w:vAlign w:val="bottom"/>
            <w:tcBorders>
              <w:left w:val="single" w:sz="8" w:color="auto"/>
              <w:right w:val="single" w:sz="8" w:color="auto"/>
            </w:tcBorders>
          </w:tcPr>
          <w:p>
            <w:pPr>
              <w:spacing w:after="0"/>
              <w:rPr>
                <w:sz w:val="9"/>
                <w:szCs w:val="9"/>
                <w:color w:val="auto"/>
              </w:rPr>
            </w:pPr>
          </w:p>
        </w:tc>
        <w:tc>
          <w:tcPr>
            <w:tcW w:w="2540" w:type="dxa"/>
            <w:vAlign w:val="bottom"/>
            <w:tcBorders>
              <w:right w:val="single" w:sz="8" w:color="auto"/>
            </w:tcBorders>
          </w:tcPr>
          <w:p>
            <w:pPr>
              <w:spacing w:after="0"/>
              <w:rPr>
                <w:sz w:val="9"/>
                <w:szCs w:val="9"/>
                <w:color w:val="auto"/>
              </w:rPr>
            </w:pPr>
          </w:p>
        </w:tc>
        <w:tc>
          <w:tcPr>
            <w:tcW w:w="25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b w:val="1"/>
                <w:bCs w:val="1"/>
                <w:color w:val="auto"/>
                <w:w w:val="87"/>
              </w:rPr>
              <w:t>Ratio of deposits</w:t>
            </w:r>
          </w:p>
        </w:tc>
        <w:tc>
          <w:tcPr>
            <w:tcW w:w="2480" w:type="dxa"/>
            <w:vAlign w:val="bottom"/>
            <w:tcBorders>
              <w:right w:val="single" w:sz="8" w:color="auto"/>
            </w:tcBorders>
            <w:vMerge w:val="continue"/>
          </w:tcPr>
          <w:p>
            <w:pPr>
              <w:spacing w:after="0"/>
              <w:rPr>
                <w:sz w:val="9"/>
                <w:szCs w:val="9"/>
                <w:color w:val="auto"/>
              </w:rPr>
            </w:pPr>
          </w:p>
        </w:tc>
        <w:tc>
          <w:tcPr>
            <w:tcW w:w="256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b w:val="1"/>
                <w:bCs w:val="1"/>
                <w:color w:val="auto"/>
                <w:w w:val="91"/>
              </w:rPr>
              <w:t>delivery</w:t>
            </w:r>
          </w:p>
        </w:tc>
        <w:tc>
          <w:tcPr>
            <w:tcW w:w="0" w:type="dxa"/>
            <w:vAlign w:val="bottom"/>
          </w:tcPr>
          <w:p>
            <w:pPr>
              <w:spacing w:after="0"/>
              <w:rPr>
                <w:sz w:val="1"/>
                <w:szCs w:val="1"/>
                <w:color w:val="auto"/>
              </w:rPr>
            </w:pPr>
          </w:p>
        </w:tc>
      </w:tr>
      <w:tr>
        <w:trPr>
          <w:trHeight w:val="108"/>
        </w:trPr>
        <w:tc>
          <w:tcPr>
            <w:tcW w:w="1160" w:type="dxa"/>
            <w:vAlign w:val="bottom"/>
            <w:tcBorders>
              <w:left w:val="single" w:sz="8" w:color="auto"/>
              <w:right w:val="single" w:sz="8" w:color="auto"/>
            </w:tcBorders>
            <w:vMerge w:val="restart"/>
          </w:tcPr>
          <w:p>
            <w:pPr>
              <w:ind w:left="440"/>
              <w:spacing w:after="0"/>
              <w:rPr>
                <w:sz w:val="20"/>
                <w:szCs w:val="20"/>
                <w:color w:val="auto"/>
              </w:rPr>
            </w:pPr>
            <w:r>
              <w:rPr>
                <w:rFonts w:ascii="Arial" w:cs="Arial" w:eastAsia="Arial" w:hAnsi="Arial"/>
                <w:sz w:val="18"/>
                <w:szCs w:val="18"/>
                <w:b w:val="1"/>
                <w:bCs w:val="1"/>
                <w:color w:val="auto"/>
              </w:rPr>
              <w:t>S/N</w:t>
            </w:r>
          </w:p>
        </w:tc>
        <w:tc>
          <w:tcPr>
            <w:tcW w:w="254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b w:val="1"/>
                <w:bCs w:val="1"/>
                <w:color w:val="auto"/>
                <w:w w:val="89"/>
              </w:rPr>
              <w:t>Customer Name</w:t>
            </w:r>
          </w:p>
        </w:tc>
        <w:tc>
          <w:tcPr>
            <w:tcW w:w="2500" w:type="dxa"/>
            <w:vAlign w:val="bottom"/>
            <w:tcBorders>
              <w:right w:val="single" w:sz="8" w:color="auto"/>
            </w:tcBorders>
            <w:vMerge w:val="continue"/>
          </w:tcPr>
          <w:p>
            <w:pPr>
              <w:spacing w:after="0"/>
              <w:rPr>
                <w:sz w:val="9"/>
                <w:szCs w:val="9"/>
                <w:color w:val="auto"/>
              </w:rPr>
            </w:pPr>
          </w:p>
        </w:tc>
        <w:tc>
          <w:tcPr>
            <w:tcW w:w="24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b w:val="1"/>
                <w:bCs w:val="1"/>
                <w:color w:val="auto"/>
                <w:w w:val="87"/>
              </w:rPr>
              <w:t>corresponding to</w:t>
            </w:r>
          </w:p>
        </w:tc>
        <w:tc>
          <w:tcPr>
            <w:tcW w:w="2560" w:type="dxa"/>
            <w:vAlign w:val="bottom"/>
            <w:tcBorders>
              <w:right w:val="single" w:sz="8" w:color="auto"/>
            </w:tcBorders>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1160" w:type="dxa"/>
            <w:vAlign w:val="bottom"/>
            <w:tcBorders>
              <w:left w:val="single" w:sz="8" w:color="auto"/>
              <w:right w:val="single" w:sz="8" w:color="auto"/>
            </w:tcBorders>
            <w:vMerge w:val="continue"/>
          </w:tcPr>
          <w:p>
            <w:pPr>
              <w:spacing w:after="0"/>
              <w:rPr>
                <w:sz w:val="9"/>
                <w:szCs w:val="9"/>
                <w:color w:val="auto"/>
              </w:rPr>
            </w:pPr>
          </w:p>
        </w:tc>
        <w:tc>
          <w:tcPr>
            <w:tcW w:w="2540" w:type="dxa"/>
            <w:vAlign w:val="bottom"/>
            <w:tcBorders>
              <w:right w:val="single" w:sz="8" w:color="auto"/>
            </w:tcBorders>
            <w:vMerge w:val="continue"/>
          </w:tcPr>
          <w:p>
            <w:pPr>
              <w:spacing w:after="0"/>
              <w:rPr>
                <w:sz w:val="9"/>
                <w:szCs w:val="9"/>
                <w:color w:val="auto"/>
              </w:rPr>
            </w:pPr>
          </w:p>
        </w:tc>
        <w:tc>
          <w:tcPr>
            <w:tcW w:w="25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b w:val="1"/>
                <w:bCs w:val="1"/>
                <w:color w:val="auto"/>
                <w:w w:val="87"/>
              </w:rPr>
              <w:t>received</w:t>
            </w:r>
          </w:p>
        </w:tc>
        <w:tc>
          <w:tcPr>
            <w:tcW w:w="2480" w:type="dxa"/>
            <w:vAlign w:val="bottom"/>
            <w:tcBorders>
              <w:right w:val="single" w:sz="8" w:color="auto"/>
            </w:tcBorders>
            <w:vMerge w:val="continue"/>
          </w:tcPr>
          <w:p>
            <w:pPr>
              <w:spacing w:after="0"/>
              <w:rPr>
                <w:sz w:val="9"/>
                <w:szCs w:val="9"/>
                <w:color w:val="auto"/>
              </w:rPr>
            </w:pPr>
          </w:p>
        </w:tc>
        <w:tc>
          <w:tcPr>
            <w:tcW w:w="256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b w:val="1"/>
                <w:bCs w:val="1"/>
                <w:color w:val="auto"/>
                <w:w w:val="89"/>
              </w:rPr>
              <w:t>/unfinished</w:t>
            </w:r>
          </w:p>
        </w:tc>
        <w:tc>
          <w:tcPr>
            <w:tcW w:w="0" w:type="dxa"/>
            <w:vAlign w:val="bottom"/>
          </w:tcPr>
          <w:p>
            <w:pPr>
              <w:spacing w:after="0"/>
              <w:rPr>
                <w:sz w:val="1"/>
                <w:szCs w:val="1"/>
                <w:color w:val="auto"/>
              </w:rPr>
            </w:pPr>
          </w:p>
        </w:tc>
      </w:tr>
      <w:tr>
        <w:trPr>
          <w:trHeight w:val="108"/>
        </w:trPr>
        <w:tc>
          <w:tcPr>
            <w:tcW w:w="1160" w:type="dxa"/>
            <w:vAlign w:val="bottom"/>
            <w:tcBorders>
              <w:left w:val="single" w:sz="8" w:color="auto"/>
              <w:right w:val="single" w:sz="8" w:color="auto"/>
            </w:tcBorders>
          </w:tcPr>
          <w:p>
            <w:pPr>
              <w:spacing w:after="0"/>
              <w:rPr>
                <w:sz w:val="9"/>
                <w:szCs w:val="9"/>
                <w:color w:val="auto"/>
              </w:rPr>
            </w:pPr>
          </w:p>
        </w:tc>
        <w:tc>
          <w:tcPr>
            <w:tcW w:w="2540" w:type="dxa"/>
            <w:vAlign w:val="bottom"/>
            <w:tcBorders>
              <w:right w:val="single" w:sz="8" w:color="auto"/>
            </w:tcBorders>
          </w:tcPr>
          <w:p>
            <w:pPr>
              <w:spacing w:after="0"/>
              <w:rPr>
                <w:sz w:val="9"/>
                <w:szCs w:val="9"/>
                <w:color w:val="auto"/>
              </w:rPr>
            </w:pPr>
          </w:p>
        </w:tc>
        <w:tc>
          <w:tcPr>
            <w:tcW w:w="2500" w:type="dxa"/>
            <w:vAlign w:val="bottom"/>
            <w:tcBorders>
              <w:right w:val="single" w:sz="8" w:color="auto"/>
            </w:tcBorders>
            <w:vMerge w:val="continue"/>
          </w:tcPr>
          <w:p>
            <w:pPr>
              <w:spacing w:after="0"/>
              <w:rPr>
                <w:sz w:val="9"/>
                <w:szCs w:val="9"/>
                <w:color w:val="auto"/>
              </w:rPr>
            </w:pPr>
          </w:p>
        </w:tc>
        <w:tc>
          <w:tcPr>
            <w:tcW w:w="24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b w:val="1"/>
                <w:bCs w:val="1"/>
                <w:color w:val="auto"/>
                <w:w w:val="91"/>
              </w:rPr>
              <w:t>orders in hand</w:t>
            </w:r>
          </w:p>
        </w:tc>
        <w:tc>
          <w:tcPr>
            <w:tcW w:w="2560" w:type="dxa"/>
            <w:vAlign w:val="bottom"/>
            <w:tcBorders>
              <w:right w:val="single" w:sz="8" w:color="auto"/>
            </w:tcBorders>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26"/>
        </w:trPr>
        <w:tc>
          <w:tcPr>
            <w:tcW w:w="1160" w:type="dxa"/>
            <w:vAlign w:val="bottom"/>
            <w:tcBorders>
              <w:left w:val="single" w:sz="8" w:color="auto"/>
              <w:right w:val="single" w:sz="8" w:color="auto"/>
            </w:tcBorders>
          </w:tcPr>
          <w:p>
            <w:pPr>
              <w:spacing w:after="0"/>
              <w:rPr>
                <w:sz w:val="10"/>
                <w:szCs w:val="10"/>
                <w:color w:val="auto"/>
              </w:rPr>
            </w:pPr>
          </w:p>
        </w:tc>
        <w:tc>
          <w:tcPr>
            <w:tcW w:w="2540" w:type="dxa"/>
            <w:vAlign w:val="bottom"/>
            <w:tcBorders>
              <w:right w:val="single" w:sz="8" w:color="auto"/>
            </w:tcBorders>
          </w:tcPr>
          <w:p>
            <w:pPr>
              <w:spacing w:after="0"/>
              <w:rPr>
                <w:sz w:val="10"/>
                <w:szCs w:val="10"/>
                <w:color w:val="auto"/>
              </w:rPr>
            </w:pPr>
          </w:p>
        </w:tc>
        <w:tc>
          <w:tcPr>
            <w:tcW w:w="2500" w:type="dxa"/>
            <w:vAlign w:val="bottom"/>
            <w:tcBorders>
              <w:right w:val="single" w:sz="8" w:color="auto"/>
            </w:tcBorders>
          </w:tcPr>
          <w:p>
            <w:pPr>
              <w:spacing w:after="0"/>
              <w:rPr>
                <w:sz w:val="10"/>
                <w:szCs w:val="10"/>
                <w:color w:val="auto"/>
              </w:rPr>
            </w:pPr>
          </w:p>
        </w:tc>
        <w:tc>
          <w:tcPr>
            <w:tcW w:w="2480" w:type="dxa"/>
            <w:vAlign w:val="bottom"/>
            <w:tcBorders>
              <w:right w:val="single" w:sz="8" w:color="auto"/>
            </w:tcBorders>
            <w:vMerge w:val="continue"/>
          </w:tcPr>
          <w:p>
            <w:pPr>
              <w:spacing w:after="0"/>
              <w:rPr>
                <w:sz w:val="10"/>
                <w:szCs w:val="10"/>
                <w:color w:val="auto"/>
              </w:rPr>
            </w:pPr>
          </w:p>
        </w:tc>
        <w:tc>
          <w:tcPr>
            <w:tcW w:w="256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b w:val="1"/>
                <w:bCs w:val="1"/>
                <w:color w:val="auto"/>
                <w:w w:val="81"/>
              </w:rPr>
              <w:t>goods</w:t>
            </w:r>
          </w:p>
        </w:tc>
        <w:tc>
          <w:tcPr>
            <w:tcW w:w="0" w:type="dxa"/>
            <w:vAlign w:val="bottom"/>
          </w:tcPr>
          <w:p>
            <w:pPr>
              <w:spacing w:after="0"/>
              <w:rPr>
                <w:sz w:val="1"/>
                <w:szCs w:val="1"/>
                <w:color w:val="auto"/>
              </w:rPr>
            </w:pPr>
          </w:p>
        </w:tc>
      </w:tr>
      <w:tr>
        <w:trPr>
          <w:trHeight w:val="115"/>
        </w:trPr>
        <w:tc>
          <w:tcPr>
            <w:tcW w:w="1160" w:type="dxa"/>
            <w:vAlign w:val="bottom"/>
            <w:tcBorders>
              <w:left w:val="single" w:sz="8" w:color="auto"/>
              <w:bottom w:val="single" w:sz="8" w:color="auto"/>
              <w:right w:val="single" w:sz="8" w:color="auto"/>
            </w:tcBorders>
          </w:tcPr>
          <w:p>
            <w:pPr>
              <w:spacing w:after="0"/>
              <w:rPr>
                <w:sz w:val="10"/>
                <w:szCs w:val="10"/>
                <w:color w:val="auto"/>
              </w:rPr>
            </w:pPr>
          </w:p>
        </w:tc>
        <w:tc>
          <w:tcPr>
            <w:tcW w:w="2540" w:type="dxa"/>
            <w:vAlign w:val="bottom"/>
            <w:tcBorders>
              <w:bottom w:val="single" w:sz="8" w:color="auto"/>
              <w:right w:val="single" w:sz="8" w:color="auto"/>
            </w:tcBorders>
          </w:tcPr>
          <w:p>
            <w:pPr>
              <w:spacing w:after="0"/>
              <w:rPr>
                <w:sz w:val="10"/>
                <w:szCs w:val="10"/>
                <w:color w:val="auto"/>
              </w:rPr>
            </w:pPr>
          </w:p>
        </w:tc>
        <w:tc>
          <w:tcPr>
            <w:tcW w:w="2500" w:type="dxa"/>
            <w:vAlign w:val="bottom"/>
            <w:tcBorders>
              <w:bottom w:val="single" w:sz="8" w:color="auto"/>
              <w:right w:val="single" w:sz="8" w:color="auto"/>
            </w:tcBorders>
          </w:tcPr>
          <w:p>
            <w:pPr>
              <w:spacing w:after="0"/>
              <w:rPr>
                <w:sz w:val="10"/>
                <w:szCs w:val="10"/>
                <w:color w:val="auto"/>
              </w:rPr>
            </w:pPr>
          </w:p>
        </w:tc>
        <w:tc>
          <w:tcPr>
            <w:tcW w:w="2480" w:type="dxa"/>
            <w:vAlign w:val="bottom"/>
            <w:tcBorders>
              <w:bottom w:val="single" w:sz="8" w:color="auto"/>
              <w:right w:val="single" w:sz="8" w:color="auto"/>
            </w:tcBorders>
          </w:tcPr>
          <w:p>
            <w:pPr>
              <w:spacing w:after="0"/>
              <w:rPr>
                <w:sz w:val="10"/>
                <w:szCs w:val="10"/>
                <w:color w:val="auto"/>
              </w:rPr>
            </w:pPr>
          </w:p>
        </w:tc>
        <w:tc>
          <w:tcPr>
            <w:tcW w:w="2560" w:type="dxa"/>
            <w:vAlign w:val="bottom"/>
            <w:tcBorders>
              <w:bottom w:val="single" w:sz="8" w:color="auto"/>
              <w:right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23"/>
        </w:trPr>
        <w:tc>
          <w:tcPr>
            <w:tcW w:w="116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79"/>
              </w:rPr>
              <w:t>1</w:t>
            </w:r>
          </w:p>
        </w:tc>
        <w:tc>
          <w:tcPr>
            <w:tcW w:w="25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4"/>
              </w:rPr>
              <w:t>Nepes</w:t>
            </w:r>
          </w:p>
        </w:tc>
        <w:tc>
          <w:tcPr>
            <w:tcW w:w="25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1"/>
              </w:rPr>
              <w:t>50.00%</w:t>
            </w:r>
          </w:p>
        </w:tc>
        <w:tc>
          <w:tcPr>
            <w:tcW w:w="24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3"/>
              </w:rPr>
              <w:t>Yes</w:t>
            </w:r>
          </w:p>
        </w:tc>
        <w:tc>
          <w:tcPr>
            <w:tcW w:w="25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2"/>
              </w:rPr>
              <w:t>Goods on delivery</w:t>
            </w:r>
          </w:p>
        </w:tc>
        <w:tc>
          <w:tcPr>
            <w:tcW w:w="0" w:type="dxa"/>
            <w:vAlign w:val="bottom"/>
          </w:tcPr>
          <w:p>
            <w:pPr>
              <w:spacing w:after="0"/>
              <w:rPr>
                <w:sz w:val="1"/>
                <w:szCs w:val="1"/>
                <w:color w:val="auto"/>
              </w:rPr>
            </w:pPr>
          </w:p>
        </w:tc>
      </w:tr>
      <w:tr>
        <w:trPr>
          <w:trHeight w:val="223"/>
        </w:trPr>
        <w:tc>
          <w:tcPr>
            <w:tcW w:w="116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79"/>
              </w:rPr>
              <w:t>2</w:t>
            </w:r>
          </w:p>
        </w:tc>
        <w:tc>
          <w:tcPr>
            <w:tcW w:w="25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4"/>
              </w:rPr>
              <w:t>Nepes</w:t>
            </w:r>
          </w:p>
        </w:tc>
        <w:tc>
          <w:tcPr>
            <w:tcW w:w="25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1"/>
              </w:rPr>
              <w:t>50.00%</w:t>
            </w:r>
          </w:p>
        </w:tc>
        <w:tc>
          <w:tcPr>
            <w:tcW w:w="24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3"/>
              </w:rPr>
              <w:t>Yes</w:t>
            </w:r>
          </w:p>
        </w:tc>
        <w:tc>
          <w:tcPr>
            <w:tcW w:w="25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2"/>
              </w:rPr>
              <w:t>Goods on delivery</w:t>
            </w:r>
          </w:p>
        </w:tc>
        <w:tc>
          <w:tcPr>
            <w:tcW w:w="0" w:type="dxa"/>
            <w:vAlign w:val="bottom"/>
          </w:tcPr>
          <w:p>
            <w:pPr>
              <w:spacing w:after="0"/>
              <w:rPr>
                <w:sz w:val="1"/>
                <w:szCs w:val="1"/>
                <w:color w:val="auto"/>
              </w:rPr>
            </w:pPr>
          </w:p>
        </w:tc>
      </w:tr>
      <w:tr>
        <w:trPr>
          <w:trHeight w:val="223"/>
        </w:trPr>
        <w:tc>
          <w:tcPr>
            <w:tcW w:w="116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79"/>
              </w:rPr>
              <w:t>3</w:t>
            </w:r>
          </w:p>
        </w:tc>
        <w:tc>
          <w:tcPr>
            <w:tcW w:w="25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4"/>
              </w:rPr>
              <w:t>Beijing U-precision</w:t>
            </w:r>
          </w:p>
        </w:tc>
        <w:tc>
          <w:tcPr>
            <w:tcW w:w="25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1"/>
              </w:rPr>
              <w:t>15.00%</w:t>
            </w:r>
          </w:p>
        </w:tc>
        <w:tc>
          <w:tcPr>
            <w:tcW w:w="24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3"/>
              </w:rPr>
              <w:t>Yes</w:t>
            </w:r>
          </w:p>
        </w:tc>
        <w:tc>
          <w:tcPr>
            <w:tcW w:w="25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0"/>
              </w:rPr>
              <w:t>Unfinished goods</w:t>
            </w:r>
          </w:p>
        </w:tc>
        <w:tc>
          <w:tcPr>
            <w:tcW w:w="0" w:type="dxa"/>
            <w:vAlign w:val="bottom"/>
          </w:tcPr>
          <w:p>
            <w:pPr>
              <w:spacing w:after="0"/>
              <w:rPr>
                <w:sz w:val="1"/>
                <w:szCs w:val="1"/>
                <w:color w:val="auto"/>
              </w:rPr>
            </w:pPr>
          </w:p>
        </w:tc>
      </w:tr>
      <w:tr>
        <w:trPr>
          <w:trHeight w:val="223"/>
        </w:trPr>
        <w:tc>
          <w:tcPr>
            <w:tcW w:w="116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79"/>
              </w:rPr>
              <w:t>4</w:t>
            </w:r>
          </w:p>
        </w:tc>
        <w:tc>
          <w:tcPr>
            <w:tcW w:w="25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8"/>
              </w:rPr>
              <w:t>JCET</w:t>
            </w:r>
          </w:p>
        </w:tc>
        <w:tc>
          <w:tcPr>
            <w:tcW w:w="25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1"/>
              </w:rPr>
              <w:t>80.00%</w:t>
            </w:r>
          </w:p>
        </w:tc>
        <w:tc>
          <w:tcPr>
            <w:tcW w:w="24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3"/>
              </w:rPr>
              <w:t>Yes</w:t>
            </w:r>
          </w:p>
        </w:tc>
        <w:tc>
          <w:tcPr>
            <w:tcW w:w="25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2"/>
              </w:rPr>
              <w:t>Goods on delivery</w:t>
            </w:r>
          </w:p>
        </w:tc>
        <w:tc>
          <w:tcPr>
            <w:tcW w:w="0" w:type="dxa"/>
            <w:vAlign w:val="bottom"/>
          </w:tcPr>
          <w:p>
            <w:pPr>
              <w:spacing w:after="0"/>
              <w:rPr>
                <w:sz w:val="1"/>
                <w:szCs w:val="1"/>
                <w:color w:val="auto"/>
              </w:rPr>
            </w:pPr>
          </w:p>
        </w:tc>
      </w:tr>
      <w:tr>
        <w:trPr>
          <w:trHeight w:val="223"/>
        </w:trPr>
        <w:tc>
          <w:tcPr>
            <w:tcW w:w="116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79"/>
              </w:rPr>
              <w:t>5</w:t>
            </w:r>
          </w:p>
        </w:tc>
        <w:tc>
          <w:tcPr>
            <w:tcW w:w="25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7"/>
              </w:rPr>
              <w:t>SMIC</w:t>
            </w:r>
          </w:p>
        </w:tc>
        <w:tc>
          <w:tcPr>
            <w:tcW w:w="25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1"/>
              </w:rPr>
              <w:t>30.00%</w:t>
            </w:r>
          </w:p>
        </w:tc>
        <w:tc>
          <w:tcPr>
            <w:tcW w:w="24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3"/>
              </w:rPr>
              <w:t>Yes</w:t>
            </w:r>
          </w:p>
        </w:tc>
        <w:tc>
          <w:tcPr>
            <w:tcW w:w="25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2"/>
              </w:rPr>
              <w:t>Goods on delivery</w:t>
            </w:r>
          </w:p>
        </w:tc>
        <w:tc>
          <w:tcPr>
            <w:tcW w:w="0" w:type="dxa"/>
            <w:vAlign w:val="bottom"/>
          </w:tcPr>
          <w:p>
            <w:pPr>
              <w:spacing w:after="0"/>
              <w:rPr>
                <w:sz w:val="1"/>
                <w:szCs w:val="1"/>
                <w:color w:val="auto"/>
              </w:rPr>
            </w:pPr>
          </w:p>
        </w:tc>
      </w:tr>
      <w:tr>
        <w:trPr>
          <w:trHeight w:val="223"/>
        </w:trPr>
        <w:tc>
          <w:tcPr>
            <w:tcW w:w="116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79"/>
              </w:rPr>
              <w:t>6</w:t>
            </w:r>
          </w:p>
        </w:tc>
        <w:tc>
          <w:tcPr>
            <w:tcW w:w="25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7"/>
              </w:rPr>
              <w:t>SMIC</w:t>
            </w:r>
          </w:p>
        </w:tc>
        <w:tc>
          <w:tcPr>
            <w:tcW w:w="25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1"/>
              </w:rPr>
              <w:t>30.00%</w:t>
            </w:r>
          </w:p>
        </w:tc>
        <w:tc>
          <w:tcPr>
            <w:tcW w:w="24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3"/>
              </w:rPr>
              <w:t>Yes</w:t>
            </w:r>
          </w:p>
        </w:tc>
        <w:tc>
          <w:tcPr>
            <w:tcW w:w="25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0"/>
              </w:rPr>
              <w:t>Unfinished goods</w:t>
            </w:r>
          </w:p>
        </w:tc>
        <w:tc>
          <w:tcPr>
            <w:tcW w:w="0" w:type="dxa"/>
            <w:vAlign w:val="bottom"/>
          </w:tcPr>
          <w:p>
            <w:pPr>
              <w:spacing w:after="0"/>
              <w:rPr>
                <w:sz w:val="1"/>
                <w:szCs w:val="1"/>
                <w:color w:val="auto"/>
              </w:rPr>
            </w:pPr>
          </w:p>
        </w:tc>
      </w:tr>
      <w:tr>
        <w:trPr>
          <w:trHeight w:val="223"/>
        </w:trPr>
        <w:tc>
          <w:tcPr>
            <w:tcW w:w="116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79"/>
              </w:rPr>
              <w:t>7</w:t>
            </w:r>
          </w:p>
        </w:tc>
        <w:tc>
          <w:tcPr>
            <w:tcW w:w="25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1"/>
              </w:rPr>
              <w:t>Xiamen Tongfu</w:t>
            </w:r>
          </w:p>
        </w:tc>
        <w:tc>
          <w:tcPr>
            <w:tcW w:w="25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1"/>
              </w:rPr>
              <w:t>20.00%</w:t>
            </w:r>
          </w:p>
        </w:tc>
        <w:tc>
          <w:tcPr>
            <w:tcW w:w="24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3"/>
              </w:rPr>
              <w:t>Yes</w:t>
            </w:r>
          </w:p>
        </w:tc>
        <w:tc>
          <w:tcPr>
            <w:tcW w:w="25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2"/>
              </w:rPr>
              <w:t>Goods on delivery</w:t>
            </w:r>
          </w:p>
        </w:tc>
        <w:tc>
          <w:tcPr>
            <w:tcW w:w="0" w:type="dxa"/>
            <w:vAlign w:val="bottom"/>
          </w:tcPr>
          <w:p>
            <w:pPr>
              <w:spacing w:after="0"/>
              <w:rPr>
                <w:sz w:val="1"/>
                <w:szCs w:val="1"/>
                <w:color w:val="auto"/>
              </w:rPr>
            </w:pPr>
          </w:p>
        </w:tc>
      </w:tr>
      <w:tr>
        <w:trPr>
          <w:trHeight w:val="223"/>
        </w:trPr>
        <w:tc>
          <w:tcPr>
            <w:tcW w:w="116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79"/>
              </w:rPr>
              <w:t>8</w:t>
            </w:r>
          </w:p>
        </w:tc>
        <w:tc>
          <w:tcPr>
            <w:tcW w:w="25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2"/>
              </w:rPr>
              <w:t>Wafer Works</w:t>
            </w:r>
          </w:p>
        </w:tc>
        <w:tc>
          <w:tcPr>
            <w:tcW w:w="25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1"/>
              </w:rPr>
              <w:t>70.00%</w:t>
            </w:r>
          </w:p>
        </w:tc>
        <w:tc>
          <w:tcPr>
            <w:tcW w:w="24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3"/>
              </w:rPr>
              <w:t>Yes</w:t>
            </w:r>
          </w:p>
        </w:tc>
        <w:tc>
          <w:tcPr>
            <w:tcW w:w="25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2"/>
              </w:rPr>
              <w:t>Goods on delivery</w:t>
            </w:r>
          </w:p>
        </w:tc>
        <w:tc>
          <w:tcPr>
            <w:tcW w:w="0" w:type="dxa"/>
            <w:vAlign w:val="bottom"/>
          </w:tcPr>
          <w:p>
            <w:pPr>
              <w:spacing w:after="0"/>
              <w:rPr>
                <w:sz w:val="1"/>
                <w:szCs w:val="1"/>
                <w:color w:val="auto"/>
              </w:rPr>
            </w:pPr>
          </w:p>
        </w:tc>
      </w:tr>
      <w:tr>
        <w:trPr>
          <w:trHeight w:val="202"/>
        </w:trPr>
        <w:tc>
          <w:tcPr>
            <w:tcW w:w="1160" w:type="dxa"/>
            <w:vAlign w:val="bottom"/>
            <w:tcBorders>
              <w:left w:val="single" w:sz="8" w:color="auto"/>
              <w:right w:val="single" w:sz="8" w:color="auto"/>
            </w:tcBorders>
          </w:tcPr>
          <w:p>
            <w:pPr>
              <w:spacing w:after="0"/>
              <w:rPr>
                <w:sz w:val="17"/>
                <w:szCs w:val="17"/>
                <w:color w:val="auto"/>
              </w:rPr>
            </w:pPr>
          </w:p>
        </w:tc>
        <w:tc>
          <w:tcPr>
            <w:tcW w:w="2540" w:type="dxa"/>
            <w:vAlign w:val="bottom"/>
            <w:tcBorders>
              <w:right w:val="single" w:sz="8" w:color="auto"/>
            </w:tcBorders>
          </w:tcPr>
          <w:p>
            <w:pPr>
              <w:jc w:val="center"/>
              <w:spacing w:after="0" w:line="201" w:lineRule="exact"/>
              <w:rPr>
                <w:sz w:val="20"/>
                <w:szCs w:val="20"/>
                <w:color w:val="auto"/>
              </w:rPr>
            </w:pPr>
            <w:r>
              <w:rPr>
                <w:rFonts w:ascii="Arial" w:cs="Arial" w:eastAsia="Arial" w:hAnsi="Arial"/>
                <w:sz w:val="18"/>
                <w:szCs w:val="18"/>
                <w:color w:val="auto"/>
                <w:w w:val="89"/>
              </w:rPr>
              <w:t>Shenzhen Institutes of</w:t>
            </w:r>
          </w:p>
        </w:tc>
        <w:tc>
          <w:tcPr>
            <w:tcW w:w="2500" w:type="dxa"/>
            <w:vAlign w:val="bottom"/>
            <w:tcBorders>
              <w:right w:val="single" w:sz="8" w:color="auto"/>
            </w:tcBorders>
          </w:tcPr>
          <w:p>
            <w:pPr>
              <w:spacing w:after="0"/>
              <w:rPr>
                <w:sz w:val="17"/>
                <w:szCs w:val="17"/>
                <w:color w:val="auto"/>
              </w:rPr>
            </w:pPr>
          </w:p>
        </w:tc>
        <w:tc>
          <w:tcPr>
            <w:tcW w:w="2480" w:type="dxa"/>
            <w:vAlign w:val="bottom"/>
            <w:tcBorders>
              <w:right w:val="single" w:sz="8" w:color="auto"/>
            </w:tcBorders>
          </w:tcPr>
          <w:p>
            <w:pPr>
              <w:spacing w:after="0"/>
              <w:rPr>
                <w:sz w:val="17"/>
                <w:szCs w:val="17"/>
                <w:color w:val="auto"/>
              </w:rPr>
            </w:pPr>
          </w:p>
        </w:tc>
        <w:tc>
          <w:tcPr>
            <w:tcW w:w="256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16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18"/>
                <w:szCs w:val="18"/>
                <w:color w:val="auto"/>
                <w:w w:val="79"/>
              </w:rPr>
              <w:t>9</w:t>
            </w:r>
          </w:p>
        </w:tc>
        <w:tc>
          <w:tcPr>
            <w:tcW w:w="25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0"/>
              </w:rPr>
              <w:t>Advanced Technology</w:t>
            </w:r>
          </w:p>
        </w:tc>
        <w:tc>
          <w:tcPr>
            <w:tcW w:w="25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1"/>
              </w:rPr>
              <w:t>70.00%</w:t>
            </w:r>
          </w:p>
        </w:tc>
        <w:tc>
          <w:tcPr>
            <w:tcW w:w="24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83"/>
              </w:rPr>
              <w:t>Yes</w:t>
            </w:r>
          </w:p>
        </w:tc>
        <w:tc>
          <w:tcPr>
            <w:tcW w:w="256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2"/>
              </w:rPr>
              <w:t>Goods on delivery</w:t>
            </w:r>
          </w:p>
        </w:tc>
        <w:tc>
          <w:tcPr>
            <w:tcW w:w="0" w:type="dxa"/>
            <w:vAlign w:val="bottom"/>
          </w:tcPr>
          <w:p>
            <w:pPr>
              <w:spacing w:after="0"/>
              <w:rPr>
                <w:sz w:val="1"/>
                <w:szCs w:val="1"/>
                <w:color w:val="auto"/>
              </w:rPr>
            </w:pPr>
          </w:p>
        </w:tc>
      </w:tr>
      <w:tr>
        <w:trPr>
          <w:trHeight w:val="122"/>
        </w:trPr>
        <w:tc>
          <w:tcPr>
            <w:tcW w:w="1160" w:type="dxa"/>
            <w:vAlign w:val="bottom"/>
            <w:tcBorders>
              <w:left w:val="single" w:sz="8" w:color="auto"/>
              <w:right w:val="single" w:sz="8" w:color="auto"/>
            </w:tcBorders>
            <w:vMerge w:val="continue"/>
          </w:tcPr>
          <w:p>
            <w:pPr>
              <w:spacing w:after="0"/>
              <w:rPr>
                <w:sz w:val="10"/>
                <w:szCs w:val="10"/>
                <w:color w:val="auto"/>
              </w:rPr>
            </w:pPr>
          </w:p>
        </w:tc>
        <w:tc>
          <w:tcPr>
            <w:tcW w:w="254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1"/>
              </w:rPr>
              <w:t>Chinese Academy of</w:t>
            </w:r>
          </w:p>
        </w:tc>
        <w:tc>
          <w:tcPr>
            <w:tcW w:w="2500" w:type="dxa"/>
            <w:vAlign w:val="bottom"/>
            <w:tcBorders>
              <w:right w:val="single" w:sz="8" w:color="auto"/>
            </w:tcBorders>
            <w:vMerge w:val="continue"/>
          </w:tcPr>
          <w:p>
            <w:pPr>
              <w:spacing w:after="0"/>
              <w:rPr>
                <w:sz w:val="10"/>
                <w:szCs w:val="10"/>
                <w:color w:val="auto"/>
              </w:rPr>
            </w:pPr>
          </w:p>
        </w:tc>
        <w:tc>
          <w:tcPr>
            <w:tcW w:w="2480" w:type="dxa"/>
            <w:vAlign w:val="bottom"/>
            <w:tcBorders>
              <w:right w:val="single" w:sz="8" w:color="auto"/>
            </w:tcBorders>
            <w:vMerge w:val="continue"/>
          </w:tcPr>
          <w:p>
            <w:pPr>
              <w:spacing w:after="0"/>
              <w:rPr>
                <w:sz w:val="10"/>
                <w:szCs w:val="10"/>
                <w:color w:val="auto"/>
              </w:rPr>
            </w:pPr>
          </w:p>
        </w:tc>
        <w:tc>
          <w:tcPr>
            <w:tcW w:w="2560" w:type="dxa"/>
            <w:vAlign w:val="bottom"/>
            <w:tcBorders>
              <w:right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4"/>
        </w:trPr>
        <w:tc>
          <w:tcPr>
            <w:tcW w:w="1160" w:type="dxa"/>
            <w:vAlign w:val="bottom"/>
            <w:tcBorders>
              <w:left w:val="single" w:sz="8" w:color="auto"/>
              <w:right w:val="single" w:sz="8" w:color="auto"/>
            </w:tcBorders>
          </w:tcPr>
          <w:p>
            <w:pPr>
              <w:spacing w:after="0"/>
              <w:rPr>
                <w:sz w:val="8"/>
                <w:szCs w:val="8"/>
                <w:color w:val="auto"/>
              </w:rPr>
            </w:pPr>
          </w:p>
        </w:tc>
        <w:tc>
          <w:tcPr>
            <w:tcW w:w="2540" w:type="dxa"/>
            <w:vAlign w:val="bottom"/>
            <w:tcBorders>
              <w:right w:val="single" w:sz="8" w:color="auto"/>
            </w:tcBorders>
            <w:vMerge w:val="continue"/>
          </w:tcPr>
          <w:p>
            <w:pPr>
              <w:spacing w:after="0"/>
              <w:rPr>
                <w:sz w:val="8"/>
                <w:szCs w:val="8"/>
                <w:color w:val="auto"/>
              </w:rPr>
            </w:pPr>
          </w:p>
        </w:tc>
        <w:tc>
          <w:tcPr>
            <w:tcW w:w="2500" w:type="dxa"/>
            <w:vAlign w:val="bottom"/>
            <w:tcBorders>
              <w:right w:val="single" w:sz="8" w:color="auto"/>
            </w:tcBorders>
          </w:tcPr>
          <w:p>
            <w:pPr>
              <w:spacing w:after="0"/>
              <w:rPr>
                <w:sz w:val="8"/>
                <w:szCs w:val="8"/>
                <w:color w:val="auto"/>
              </w:rPr>
            </w:pPr>
          </w:p>
        </w:tc>
        <w:tc>
          <w:tcPr>
            <w:tcW w:w="2480" w:type="dxa"/>
            <w:vAlign w:val="bottom"/>
            <w:tcBorders>
              <w:right w:val="single" w:sz="8" w:color="auto"/>
            </w:tcBorders>
          </w:tcPr>
          <w:p>
            <w:pPr>
              <w:spacing w:after="0"/>
              <w:rPr>
                <w:sz w:val="8"/>
                <w:szCs w:val="8"/>
                <w:color w:val="auto"/>
              </w:rPr>
            </w:pPr>
          </w:p>
        </w:tc>
        <w:tc>
          <w:tcPr>
            <w:tcW w:w="2560" w:type="dxa"/>
            <w:vAlign w:val="bottom"/>
            <w:tcBorders>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237"/>
        </w:trPr>
        <w:tc>
          <w:tcPr>
            <w:tcW w:w="1160" w:type="dxa"/>
            <w:vAlign w:val="bottom"/>
            <w:tcBorders>
              <w:left w:val="single" w:sz="8" w:color="auto"/>
              <w:bottom w:val="single" w:sz="8" w:color="auto"/>
              <w:right w:val="single" w:sz="8" w:color="auto"/>
            </w:tcBorders>
          </w:tcPr>
          <w:p>
            <w:pPr>
              <w:spacing w:after="0"/>
              <w:rPr>
                <w:sz w:val="20"/>
                <w:szCs w:val="20"/>
                <w:color w:val="auto"/>
              </w:rPr>
            </w:pPr>
          </w:p>
        </w:tc>
        <w:tc>
          <w:tcPr>
            <w:tcW w:w="25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7"/>
              </w:rPr>
              <w:t>Sciences</w:t>
            </w:r>
          </w:p>
        </w:tc>
        <w:tc>
          <w:tcPr>
            <w:tcW w:w="2500" w:type="dxa"/>
            <w:vAlign w:val="bottom"/>
            <w:tcBorders>
              <w:bottom w:val="single" w:sz="8" w:color="auto"/>
              <w:right w:val="single" w:sz="8" w:color="auto"/>
            </w:tcBorders>
          </w:tcPr>
          <w:p>
            <w:pPr>
              <w:spacing w:after="0"/>
              <w:rPr>
                <w:sz w:val="20"/>
                <w:szCs w:val="20"/>
                <w:color w:val="auto"/>
              </w:rPr>
            </w:pPr>
          </w:p>
        </w:tc>
        <w:tc>
          <w:tcPr>
            <w:tcW w:w="2480" w:type="dxa"/>
            <w:vAlign w:val="bottom"/>
            <w:tcBorders>
              <w:bottom w:val="single" w:sz="8" w:color="auto"/>
              <w:right w:val="single" w:sz="8" w:color="auto"/>
            </w:tcBorders>
          </w:tcPr>
          <w:p>
            <w:pPr>
              <w:spacing w:after="0"/>
              <w:rPr>
                <w:sz w:val="20"/>
                <w:szCs w:val="20"/>
                <w:color w:val="auto"/>
              </w:rPr>
            </w:pPr>
          </w:p>
        </w:tc>
        <w:tc>
          <w:tcPr>
            <w:tcW w:w="256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116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9"/>
              </w:rPr>
              <w:t>10</w:t>
            </w:r>
          </w:p>
        </w:tc>
        <w:tc>
          <w:tcPr>
            <w:tcW w:w="25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1"/>
              </w:rPr>
              <w:t>Raytron</w:t>
            </w:r>
          </w:p>
        </w:tc>
        <w:tc>
          <w:tcPr>
            <w:tcW w:w="25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1"/>
              </w:rPr>
              <w:t>70.00%</w:t>
            </w:r>
          </w:p>
        </w:tc>
        <w:tc>
          <w:tcPr>
            <w:tcW w:w="24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3"/>
              </w:rPr>
              <w:t>Yes</w:t>
            </w:r>
          </w:p>
        </w:tc>
        <w:tc>
          <w:tcPr>
            <w:tcW w:w="25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2"/>
              </w:rPr>
              <w:t>Goods on delivery</w:t>
            </w:r>
          </w:p>
        </w:tc>
        <w:tc>
          <w:tcPr>
            <w:tcW w:w="0" w:type="dxa"/>
            <w:vAlign w:val="bottom"/>
          </w:tcPr>
          <w:p>
            <w:pPr>
              <w:spacing w:after="0"/>
              <w:rPr>
                <w:sz w:val="1"/>
                <w:szCs w:val="1"/>
                <w:color w:val="auto"/>
              </w:rPr>
            </w:pPr>
          </w:p>
        </w:tc>
      </w:tr>
      <w:tr>
        <w:trPr>
          <w:trHeight w:val="223"/>
        </w:trPr>
        <w:tc>
          <w:tcPr>
            <w:tcW w:w="116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79"/>
              </w:rPr>
              <w:t>11</w:t>
            </w:r>
          </w:p>
        </w:tc>
        <w:tc>
          <w:tcPr>
            <w:tcW w:w="25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4"/>
              </w:rPr>
              <w:t>Nepes</w:t>
            </w:r>
          </w:p>
        </w:tc>
        <w:tc>
          <w:tcPr>
            <w:tcW w:w="25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1"/>
              </w:rPr>
              <w:t>80.00%</w:t>
            </w:r>
          </w:p>
        </w:tc>
        <w:tc>
          <w:tcPr>
            <w:tcW w:w="24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3"/>
              </w:rPr>
              <w:t>Yes</w:t>
            </w:r>
          </w:p>
        </w:tc>
        <w:tc>
          <w:tcPr>
            <w:tcW w:w="25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2"/>
              </w:rPr>
              <w:t>Goods on delivery</w:t>
            </w:r>
          </w:p>
        </w:tc>
        <w:tc>
          <w:tcPr>
            <w:tcW w:w="0" w:type="dxa"/>
            <w:vAlign w:val="bottom"/>
          </w:tcPr>
          <w:p>
            <w:pPr>
              <w:spacing w:after="0"/>
              <w:rPr>
                <w:sz w:val="1"/>
                <w:szCs w:val="1"/>
                <w:color w:val="auto"/>
              </w:rPr>
            </w:pPr>
          </w:p>
        </w:tc>
      </w:tr>
      <w:tr>
        <w:trPr>
          <w:trHeight w:val="459"/>
        </w:trPr>
        <w:tc>
          <w:tcPr>
            <w:tcW w:w="6200" w:type="dxa"/>
            <w:vAlign w:val="bottom"/>
            <w:gridSpan w:val="3"/>
          </w:tcPr>
          <w:p>
            <w:pPr>
              <w:ind w:left="340"/>
              <w:spacing w:after="0"/>
              <w:rPr>
                <w:sz w:val="20"/>
                <w:szCs w:val="20"/>
                <w:color w:val="auto"/>
              </w:rPr>
            </w:pPr>
            <w:r>
              <w:rPr>
                <w:rFonts w:ascii="Arial" w:cs="Arial" w:eastAsia="Arial" w:hAnsi="Arial"/>
                <w:sz w:val="18"/>
                <w:szCs w:val="18"/>
                <w:color w:val="auto"/>
              </w:rPr>
              <w:t>Note: Raytron Technology Co., Ltd. is referred to as “Raytron.”</w:t>
            </w:r>
          </w:p>
        </w:tc>
        <w:tc>
          <w:tcPr>
            <w:tcW w:w="2480" w:type="dxa"/>
            <w:vAlign w:val="bottom"/>
          </w:tcPr>
          <w:p>
            <w:pPr>
              <w:spacing w:after="0"/>
              <w:rPr>
                <w:sz w:val="24"/>
                <w:szCs w:val="24"/>
                <w:color w:val="auto"/>
              </w:rPr>
            </w:pPr>
          </w:p>
        </w:tc>
        <w:tc>
          <w:tcPr>
            <w:tcW w:w="2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96"/>
        </w:trPr>
        <w:tc>
          <w:tcPr>
            <w:tcW w:w="3700" w:type="dxa"/>
            <w:vAlign w:val="bottom"/>
            <w:gridSpan w:val="2"/>
          </w:tcPr>
          <w:p>
            <w:pPr>
              <w:ind w:left="340"/>
              <w:spacing w:after="0"/>
              <w:rPr>
                <w:sz w:val="20"/>
                <w:szCs w:val="20"/>
                <w:color w:val="auto"/>
              </w:rPr>
            </w:pPr>
            <w:r>
              <w:rPr>
                <w:rFonts w:ascii="Arial" w:cs="Arial" w:eastAsia="Arial" w:hAnsi="Arial"/>
                <w:sz w:val="22"/>
                <w:szCs w:val="22"/>
                <w:color w:val="auto"/>
              </w:rPr>
              <w:t>2. December 31, 2019</w:t>
            </w:r>
          </w:p>
        </w:tc>
        <w:tc>
          <w:tcPr>
            <w:tcW w:w="2500" w:type="dxa"/>
            <w:vAlign w:val="bottom"/>
          </w:tcPr>
          <w:p>
            <w:pPr>
              <w:spacing w:after="0"/>
              <w:rPr>
                <w:sz w:val="24"/>
                <w:szCs w:val="24"/>
                <w:color w:val="auto"/>
              </w:rPr>
            </w:pPr>
          </w:p>
        </w:tc>
        <w:tc>
          <w:tcPr>
            <w:tcW w:w="2480" w:type="dxa"/>
            <w:vAlign w:val="bottom"/>
          </w:tcPr>
          <w:p>
            <w:pPr>
              <w:spacing w:after="0"/>
              <w:rPr>
                <w:sz w:val="24"/>
                <w:szCs w:val="24"/>
                <w:color w:val="auto"/>
              </w:rPr>
            </w:pPr>
          </w:p>
        </w:tc>
        <w:tc>
          <w:tcPr>
            <w:tcW w:w="2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86"/>
        </w:trPr>
        <w:tc>
          <w:tcPr>
            <w:tcW w:w="1160" w:type="dxa"/>
            <w:vAlign w:val="bottom"/>
          </w:tcPr>
          <w:p>
            <w:pPr>
              <w:spacing w:after="0"/>
              <w:rPr>
                <w:sz w:val="24"/>
                <w:szCs w:val="24"/>
                <w:color w:val="auto"/>
              </w:rPr>
            </w:pPr>
          </w:p>
        </w:tc>
        <w:tc>
          <w:tcPr>
            <w:tcW w:w="2540" w:type="dxa"/>
            <w:vAlign w:val="bottom"/>
          </w:tcPr>
          <w:p>
            <w:pPr>
              <w:spacing w:after="0"/>
              <w:rPr>
                <w:sz w:val="24"/>
                <w:szCs w:val="24"/>
                <w:color w:val="auto"/>
              </w:rPr>
            </w:pPr>
          </w:p>
        </w:tc>
        <w:tc>
          <w:tcPr>
            <w:tcW w:w="2500" w:type="dxa"/>
            <w:vAlign w:val="bottom"/>
          </w:tcPr>
          <w:p>
            <w:pPr>
              <w:spacing w:after="0"/>
              <w:rPr>
                <w:sz w:val="24"/>
                <w:szCs w:val="24"/>
                <w:color w:val="auto"/>
              </w:rPr>
            </w:pPr>
          </w:p>
        </w:tc>
        <w:tc>
          <w:tcPr>
            <w:tcW w:w="2480" w:type="dxa"/>
            <w:vAlign w:val="bottom"/>
          </w:tcPr>
          <w:p>
            <w:pPr>
              <w:spacing w:after="0"/>
              <w:rPr>
                <w:sz w:val="24"/>
                <w:szCs w:val="24"/>
                <w:color w:val="auto"/>
              </w:rPr>
            </w:pPr>
          </w:p>
        </w:tc>
        <w:tc>
          <w:tcPr>
            <w:tcW w:w="2560" w:type="dxa"/>
            <w:vAlign w:val="bottom"/>
          </w:tcPr>
          <w:p>
            <w:pPr>
              <w:ind w:left="980"/>
              <w:spacing w:after="0"/>
              <w:rPr>
                <w:sz w:val="20"/>
                <w:szCs w:val="20"/>
                <w:color w:val="auto"/>
              </w:rPr>
            </w:pPr>
            <w:r>
              <w:rPr>
                <w:rFonts w:ascii="Arial" w:cs="Arial" w:eastAsia="Arial" w:hAnsi="Arial"/>
                <w:sz w:val="22"/>
                <w:szCs w:val="22"/>
                <w:color w:val="auto"/>
                <w:w w:val="91"/>
              </w:rPr>
              <w:t>Unit: RMB10,000</w:t>
            </w:r>
          </w:p>
        </w:tc>
        <w:tc>
          <w:tcPr>
            <w:tcW w:w="0" w:type="dxa"/>
            <w:vAlign w:val="bottom"/>
          </w:tcPr>
          <w:p>
            <w:pPr>
              <w:spacing w:after="0"/>
              <w:rPr>
                <w:sz w:val="1"/>
                <w:szCs w:val="1"/>
                <w:color w:val="auto"/>
              </w:rPr>
            </w:pPr>
          </w:p>
        </w:tc>
      </w:tr>
      <w:tr>
        <w:trPr>
          <w:trHeight w:val="240"/>
        </w:trPr>
        <w:tc>
          <w:tcPr>
            <w:tcW w:w="1160" w:type="dxa"/>
            <w:vAlign w:val="bottom"/>
            <w:tcBorders>
              <w:bottom w:val="single" w:sz="8" w:color="auto"/>
            </w:tcBorders>
          </w:tcPr>
          <w:p>
            <w:pPr>
              <w:spacing w:after="0"/>
              <w:rPr>
                <w:sz w:val="20"/>
                <w:szCs w:val="20"/>
                <w:color w:val="auto"/>
              </w:rPr>
            </w:pPr>
          </w:p>
        </w:tc>
        <w:tc>
          <w:tcPr>
            <w:tcW w:w="2540" w:type="dxa"/>
            <w:vAlign w:val="bottom"/>
            <w:tcBorders>
              <w:bottom w:val="single" w:sz="8" w:color="auto"/>
            </w:tcBorders>
          </w:tcPr>
          <w:p>
            <w:pPr>
              <w:spacing w:after="0"/>
              <w:rPr>
                <w:sz w:val="20"/>
                <w:szCs w:val="20"/>
                <w:color w:val="auto"/>
              </w:rPr>
            </w:pPr>
          </w:p>
        </w:tc>
        <w:tc>
          <w:tcPr>
            <w:tcW w:w="2500" w:type="dxa"/>
            <w:vAlign w:val="bottom"/>
            <w:tcBorders>
              <w:bottom w:val="single" w:sz="8" w:color="auto"/>
            </w:tcBorders>
          </w:tcPr>
          <w:p>
            <w:pPr>
              <w:spacing w:after="0"/>
              <w:rPr>
                <w:sz w:val="20"/>
                <w:szCs w:val="20"/>
                <w:color w:val="auto"/>
              </w:rPr>
            </w:pPr>
          </w:p>
        </w:tc>
        <w:tc>
          <w:tcPr>
            <w:tcW w:w="2480" w:type="dxa"/>
            <w:vAlign w:val="bottom"/>
            <w:tcBorders>
              <w:bottom w:val="single" w:sz="8" w:color="auto"/>
            </w:tcBorders>
          </w:tcPr>
          <w:p>
            <w:pPr>
              <w:spacing w:after="0"/>
              <w:rPr>
                <w:sz w:val="20"/>
                <w:szCs w:val="20"/>
                <w:color w:val="auto"/>
              </w:rPr>
            </w:pPr>
          </w:p>
        </w:tc>
        <w:tc>
          <w:tcPr>
            <w:tcW w:w="256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1160" w:type="dxa"/>
            <w:vAlign w:val="bottom"/>
            <w:tcBorders>
              <w:left w:val="single" w:sz="8" w:color="auto"/>
              <w:right w:val="single" w:sz="8" w:color="auto"/>
            </w:tcBorders>
          </w:tcPr>
          <w:p>
            <w:pPr>
              <w:spacing w:after="0"/>
              <w:rPr>
                <w:sz w:val="17"/>
                <w:szCs w:val="17"/>
                <w:color w:val="auto"/>
              </w:rPr>
            </w:pPr>
          </w:p>
        </w:tc>
        <w:tc>
          <w:tcPr>
            <w:tcW w:w="2540" w:type="dxa"/>
            <w:vAlign w:val="bottom"/>
            <w:tcBorders>
              <w:right w:val="single" w:sz="8" w:color="auto"/>
            </w:tcBorders>
          </w:tcPr>
          <w:p>
            <w:pPr>
              <w:spacing w:after="0"/>
              <w:rPr>
                <w:sz w:val="17"/>
                <w:szCs w:val="17"/>
                <w:color w:val="auto"/>
              </w:rPr>
            </w:pPr>
          </w:p>
        </w:tc>
        <w:tc>
          <w:tcPr>
            <w:tcW w:w="25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b w:val="1"/>
                <w:bCs w:val="1"/>
                <w:color w:val="auto"/>
                <w:w w:val="87"/>
              </w:rPr>
              <w:t>Ratio of deposits</w:t>
            </w:r>
          </w:p>
        </w:tc>
        <w:tc>
          <w:tcPr>
            <w:tcW w:w="2480" w:type="dxa"/>
            <w:vAlign w:val="bottom"/>
            <w:tcBorders>
              <w:right w:val="single" w:sz="8" w:color="auto"/>
            </w:tcBorders>
          </w:tcPr>
          <w:p>
            <w:pPr>
              <w:jc w:val="center"/>
              <w:spacing w:after="0" w:line="198" w:lineRule="exact"/>
              <w:rPr>
                <w:sz w:val="20"/>
                <w:szCs w:val="20"/>
                <w:color w:val="auto"/>
              </w:rPr>
            </w:pPr>
            <w:r>
              <w:rPr>
                <w:rFonts w:ascii="Arial" w:cs="Arial" w:eastAsia="Arial" w:hAnsi="Arial"/>
                <w:sz w:val="18"/>
                <w:szCs w:val="18"/>
                <w:b w:val="1"/>
                <w:bCs w:val="1"/>
                <w:color w:val="auto"/>
                <w:w w:val="94"/>
              </w:rPr>
              <w:t>Whether</w:t>
            </w:r>
          </w:p>
        </w:tc>
        <w:tc>
          <w:tcPr>
            <w:tcW w:w="2560" w:type="dxa"/>
            <w:vAlign w:val="bottom"/>
            <w:tcBorders>
              <w:right w:val="single" w:sz="8" w:color="auto"/>
            </w:tcBorders>
          </w:tcPr>
          <w:p>
            <w:pPr>
              <w:jc w:val="center"/>
              <w:spacing w:after="0" w:line="198" w:lineRule="exact"/>
              <w:rPr>
                <w:sz w:val="20"/>
                <w:szCs w:val="20"/>
                <w:color w:val="auto"/>
              </w:rPr>
            </w:pPr>
            <w:r>
              <w:rPr>
                <w:rFonts w:ascii="Arial" w:cs="Arial" w:eastAsia="Arial" w:hAnsi="Arial"/>
                <w:sz w:val="18"/>
                <w:szCs w:val="18"/>
                <w:b w:val="1"/>
                <w:bCs w:val="1"/>
                <w:color w:val="auto"/>
                <w:w w:val="88"/>
              </w:rPr>
              <w:t>Goods on</w:t>
            </w:r>
          </w:p>
        </w:tc>
        <w:tc>
          <w:tcPr>
            <w:tcW w:w="0" w:type="dxa"/>
            <w:vAlign w:val="bottom"/>
          </w:tcPr>
          <w:p>
            <w:pPr>
              <w:spacing w:after="0"/>
              <w:rPr>
                <w:sz w:val="1"/>
                <w:szCs w:val="1"/>
                <w:color w:val="auto"/>
              </w:rPr>
            </w:pPr>
          </w:p>
        </w:tc>
      </w:tr>
      <w:tr>
        <w:trPr>
          <w:trHeight w:val="108"/>
        </w:trPr>
        <w:tc>
          <w:tcPr>
            <w:tcW w:w="1160" w:type="dxa"/>
            <w:vAlign w:val="bottom"/>
            <w:tcBorders>
              <w:left w:val="single" w:sz="8" w:color="auto"/>
              <w:right w:val="single" w:sz="8" w:color="auto"/>
            </w:tcBorders>
            <w:vMerge w:val="restart"/>
          </w:tcPr>
          <w:p>
            <w:pPr>
              <w:ind w:left="440"/>
              <w:spacing w:after="0"/>
              <w:rPr>
                <w:sz w:val="20"/>
                <w:szCs w:val="20"/>
                <w:color w:val="auto"/>
              </w:rPr>
            </w:pPr>
            <w:r>
              <w:rPr>
                <w:rFonts w:ascii="Arial" w:cs="Arial" w:eastAsia="Arial" w:hAnsi="Arial"/>
                <w:sz w:val="18"/>
                <w:szCs w:val="18"/>
                <w:b w:val="1"/>
                <w:bCs w:val="1"/>
                <w:color w:val="auto"/>
              </w:rPr>
              <w:t>S/N</w:t>
            </w:r>
          </w:p>
        </w:tc>
        <w:tc>
          <w:tcPr>
            <w:tcW w:w="254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b w:val="1"/>
                <w:bCs w:val="1"/>
                <w:color w:val="auto"/>
                <w:w w:val="89"/>
              </w:rPr>
              <w:t>Customer Name</w:t>
            </w:r>
          </w:p>
        </w:tc>
        <w:tc>
          <w:tcPr>
            <w:tcW w:w="2500" w:type="dxa"/>
            <w:vAlign w:val="bottom"/>
            <w:tcBorders>
              <w:right w:val="single" w:sz="8" w:color="auto"/>
            </w:tcBorders>
            <w:vMerge w:val="continue"/>
          </w:tcPr>
          <w:p>
            <w:pPr>
              <w:spacing w:after="0"/>
              <w:rPr>
                <w:sz w:val="9"/>
                <w:szCs w:val="9"/>
                <w:color w:val="auto"/>
              </w:rPr>
            </w:pPr>
          </w:p>
        </w:tc>
        <w:tc>
          <w:tcPr>
            <w:tcW w:w="24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b w:val="1"/>
                <w:bCs w:val="1"/>
                <w:color w:val="auto"/>
                <w:w w:val="87"/>
              </w:rPr>
              <w:t>corresponding to</w:t>
            </w:r>
          </w:p>
        </w:tc>
        <w:tc>
          <w:tcPr>
            <w:tcW w:w="256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b w:val="1"/>
                <w:bCs w:val="1"/>
                <w:color w:val="auto"/>
                <w:w w:val="90"/>
              </w:rPr>
              <w:t>delivery/unfinished</w:t>
            </w:r>
          </w:p>
        </w:tc>
        <w:tc>
          <w:tcPr>
            <w:tcW w:w="0" w:type="dxa"/>
            <w:vAlign w:val="bottom"/>
          </w:tcPr>
          <w:p>
            <w:pPr>
              <w:spacing w:after="0"/>
              <w:rPr>
                <w:sz w:val="1"/>
                <w:szCs w:val="1"/>
                <w:color w:val="auto"/>
              </w:rPr>
            </w:pPr>
          </w:p>
        </w:tc>
      </w:tr>
      <w:tr>
        <w:trPr>
          <w:trHeight w:val="108"/>
        </w:trPr>
        <w:tc>
          <w:tcPr>
            <w:tcW w:w="1160" w:type="dxa"/>
            <w:vAlign w:val="bottom"/>
            <w:tcBorders>
              <w:left w:val="single" w:sz="8" w:color="auto"/>
              <w:right w:val="single" w:sz="8" w:color="auto"/>
            </w:tcBorders>
            <w:vMerge w:val="continue"/>
          </w:tcPr>
          <w:p>
            <w:pPr>
              <w:spacing w:after="0"/>
              <w:rPr>
                <w:sz w:val="9"/>
                <w:szCs w:val="9"/>
                <w:color w:val="auto"/>
              </w:rPr>
            </w:pPr>
          </w:p>
        </w:tc>
        <w:tc>
          <w:tcPr>
            <w:tcW w:w="2540" w:type="dxa"/>
            <w:vAlign w:val="bottom"/>
            <w:tcBorders>
              <w:right w:val="single" w:sz="8" w:color="auto"/>
            </w:tcBorders>
            <w:vMerge w:val="continue"/>
          </w:tcPr>
          <w:p>
            <w:pPr>
              <w:spacing w:after="0"/>
              <w:rPr>
                <w:sz w:val="9"/>
                <w:szCs w:val="9"/>
                <w:color w:val="auto"/>
              </w:rPr>
            </w:pPr>
          </w:p>
        </w:tc>
        <w:tc>
          <w:tcPr>
            <w:tcW w:w="25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b w:val="1"/>
                <w:bCs w:val="1"/>
                <w:color w:val="auto"/>
                <w:w w:val="87"/>
              </w:rPr>
              <w:t>received</w:t>
            </w:r>
          </w:p>
        </w:tc>
        <w:tc>
          <w:tcPr>
            <w:tcW w:w="2480" w:type="dxa"/>
            <w:vAlign w:val="bottom"/>
            <w:tcBorders>
              <w:right w:val="single" w:sz="8" w:color="auto"/>
            </w:tcBorders>
            <w:vMerge w:val="continue"/>
          </w:tcPr>
          <w:p>
            <w:pPr>
              <w:spacing w:after="0"/>
              <w:rPr>
                <w:sz w:val="9"/>
                <w:szCs w:val="9"/>
                <w:color w:val="auto"/>
              </w:rPr>
            </w:pPr>
          </w:p>
        </w:tc>
        <w:tc>
          <w:tcPr>
            <w:tcW w:w="2560" w:type="dxa"/>
            <w:vAlign w:val="bottom"/>
            <w:tcBorders>
              <w:right w:val="single" w:sz="8" w:color="auto"/>
            </w:tcBorders>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26"/>
        </w:trPr>
        <w:tc>
          <w:tcPr>
            <w:tcW w:w="1160" w:type="dxa"/>
            <w:vAlign w:val="bottom"/>
            <w:tcBorders>
              <w:left w:val="single" w:sz="8" w:color="auto"/>
              <w:right w:val="single" w:sz="8" w:color="auto"/>
            </w:tcBorders>
          </w:tcPr>
          <w:p>
            <w:pPr>
              <w:spacing w:after="0"/>
              <w:rPr>
                <w:sz w:val="10"/>
                <w:szCs w:val="10"/>
                <w:color w:val="auto"/>
              </w:rPr>
            </w:pPr>
          </w:p>
        </w:tc>
        <w:tc>
          <w:tcPr>
            <w:tcW w:w="2540" w:type="dxa"/>
            <w:vAlign w:val="bottom"/>
            <w:tcBorders>
              <w:right w:val="single" w:sz="8" w:color="auto"/>
            </w:tcBorders>
          </w:tcPr>
          <w:p>
            <w:pPr>
              <w:spacing w:after="0"/>
              <w:rPr>
                <w:sz w:val="10"/>
                <w:szCs w:val="10"/>
                <w:color w:val="auto"/>
              </w:rPr>
            </w:pPr>
          </w:p>
        </w:tc>
        <w:tc>
          <w:tcPr>
            <w:tcW w:w="2500" w:type="dxa"/>
            <w:vAlign w:val="bottom"/>
            <w:tcBorders>
              <w:right w:val="single" w:sz="8" w:color="auto"/>
            </w:tcBorders>
            <w:vMerge w:val="continue"/>
          </w:tcPr>
          <w:p>
            <w:pPr>
              <w:spacing w:after="0"/>
              <w:rPr>
                <w:sz w:val="10"/>
                <w:szCs w:val="10"/>
                <w:color w:val="auto"/>
              </w:rPr>
            </w:pPr>
          </w:p>
        </w:tc>
        <w:tc>
          <w:tcPr>
            <w:tcW w:w="24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b w:val="1"/>
                <w:bCs w:val="1"/>
                <w:color w:val="auto"/>
                <w:w w:val="91"/>
              </w:rPr>
              <w:t>orders in hand</w:t>
            </w:r>
          </w:p>
        </w:tc>
        <w:tc>
          <w:tcPr>
            <w:tcW w:w="256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b w:val="1"/>
                <w:bCs w:val="1"/>
                <w:color w:val="auto"/>
                <w:w w:val="81"/>
              </w:rPr>
              <w:t>goods</w:t>
            </w:r>
          </w:p>
        </w:tc>
        <w:tc>
          <w:tcPr>
            <w:tcW w:w="0" w:type="dxa"/>
            <w:vAlign w:val="bottom"/>
          </w:tcPr>
          <w:p>
            <w:pPr>
              <w:spacing w:after="0"/>
              <w:rPr>
                <w:sz w:val="1"/>
                <w:szCs w:val="1"/>
                <w:color w:val="auto"/>
              </w:rPr>
            </w:pPr>
          </w:p>
        </w:tc>
      </w:tr>
      <w:tr>
        <w:trPr>
          <w:trHeight w:val="115"/>
        </w:trPr>
        <w:tc>
          <w:tcPr>
            <w:tcW w:w="1160" w:type="dxa"/>
            <w:vAlign w:val="bottom"/>
            <w:tcBorders>
              <w:left w:val="single" w:sz="8" w:color="auto"/>
              <w:bottom w:val="single" w:sz="8" w:color="auto"/>
              <w:right w:val="single" w:sz="8" w:color="auto"/>
            </w:tcBorders>
          </w:tcPr>
          <w:p>
            <w:pPr>
              <w:spacing w:after="0"/>
              <w:rPr>
                <w:sz w:val="10"/>
                <w:szCs w:val="10"/>
                <w:color w:val="auto"/>
              </w:rPr>
            </w:pPr>
          </w:p>
        </w:tc>
        <w:tc>
          <w:tcPr>
            <w:tcW w:w="2540" w:type="dxa"/>
            <w:vAlign w:val="bottom"/>
            <w:tcBorders>
              <w:bottom w:val="single" w:sz="8" w:color="auto"/>
              <w:right w:val="single" w:sz="8" w:color="auto"/>
            </w:tcBorders>
          </w:tcPr>
          <w:p>
            <w:pPr>
              <w:spacing w:after="0"/>
              <w:rPr>
                <w:sz w:val="10"/>
                <w:szCs w:val="10"/>
                <w:color w:val="auto"/>
              </w:rPr>
            </w:pPr>
          </w:p>
        </w:tc>
        <w:tc>
          <w:tcPr>
            <w:tcW w:w="2500" w:type="dxa"/>
            <w:vAlign w:val="bottom"/>
            <w:tcBorders>
              <w:bottom w:val="single" w:sz="8" w:color="auto"/>
              <w:right w:val="single" w:sz="8" w:color="auto"/>
            </w:tcBorders>
          </w:tcPr>
          <w:p>
            <w:pPr>
              <w:spacing w:after="0"/>
              <w:rPr>
                <w:sz w:val="10"/>
                <w:szCs w:val="10"/>
                <w:color w:val="auto"/>
              </w:rPr>
            </w:pPr>
          </w:p>
        </w:tc>
        <w:tc>
          <w:tcPr>
            <w:tcW w:w="2480" w:type="dxa"/>
            <w:vAlign w:val="bottom"/>
            <w:tcBorders>
              <w:bottom w:val="single" w:sz="8" w:color="auto"/>
              <w:right w:val="single" w:sz="8" w:color="auto"/>
            </w:tcBorders>
            <w:vMerge w:val="continue"/>
          </w:tcPr>
          <w:p>
            <w:pPr>
              <w:spacing w:after="0"/>
              <w:rPr>
                <w:sz w:val="10"/>
                <w:szCs w:val="10"/>
                <w:color w:val="auto"/>
              </w:rPr>
            </w:pPr>
          </w:p>
        </w:tc>
        <w:tc>
          <w:tcPr>
            <w:tcW w:w="2560" w:type="dxa"/>
            <w:vAlign w:val="bottom"/>
            <w:tcBorders>
              <w:bottom w:val="single" w:sz="8" w:color="auto"/>
              <w:right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23"/>
        </w:trPr>
        <w:tc>
          <w:tcPr>
            <w:tcW w:w="116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79"/>
              </w:rPr>
              <w:t>1</w:t>
            </w:r>
          </w:p>
        </w:tc>
        <w:tc>
          <w:tcPr>
            <w:tcW w:w="25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4"/>
              </w:rPr>
              <w:t>Nepes</w:t>
            </w:r>
          </w:p>
        </w:tc>
        <w:tc>
          <w:tcPr>
            <w:tcW w:w="25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1"/>
              </w:rPr>
              <w:t>20.00%</w:t>
            </w:r>
          </w:p>
        </w:tc>
        <w:tc>
          <w:tcPr>
            <w:tcW w:w="24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3"/>
              </w:rPr>
              <w:t>Yes</w:t>
            </w:r>
          </w:p>
        </w:tc>
        <w:tc>
          <w:tcPr>
            <w:tcW w:w="25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2"/>
              </w:rPr>
              <w:t>Goods on delivery</w:t>
            </w:r>
          </w:p>
        </w:tc>
        <w:tc>
          <w:tcPr>
            <w:tcW w:w="0" w:type="dxa"/>
            <w:vAlign w:val="bottom"/>
          </w:tcPr>
          <w:p>
            <w:pPr>
              <w:spacing w:after="0"/>
              <w:rPr>
                <w:sz w:val="1"/>
                <w:szCs w:val="1"/>
                <w:color w:val="auto"/>
              </w:rPr>
            </w:pPr>
          </w:p>
        </w:tc>
      </w:tr>
      <w:tr>
        <w:trPr>
          <w:trHeight w:val="223"/>
        </w:trPr>
        <w:tc>
          <w:tcPr>
            <w:tcW w:w="116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79"/>
              </w:rPr>
              <w:t>2</w:t>
            </w:r>
          </w:p>
        </w:tc>
        <w:tc>
          <w:tcPr>
            <w:tcW w:w="25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4"/>
              </w:rPr>
              <w:t>Nepes</w:t>
            </w:r>
          </w:p>
        </w:tc>
        <w:tc>
          <w:tcPr>
            <w:tcW w:w="25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1"/>
              </w:rPr>
              <w:t>20.00%</w:t>
            </w:r>
          </w:p>
        </w:tc>
        <w:tc>
          <w:tcPr>
            <w:tcW w:w="24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3"/>
              </w:rPr>
              <w:t>Yes</w:t>
            </w:r>
          </w:p>
        </w:tc>
        <w:tc>
          <w:tcPr>
            <w:tcW w:w="25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2"/>
              </w:rPr>
              <w:t>Goods on delivery</w:t>
            </w:r>
          </w:p>
        </w:tc>
        <w:tc>
          <w:tcPr>
            <w:tcW w:w="0" w:type="dxa"/>
            <w:vAlign w:val="bottom"/>
          </w:tcPr>
          <w:p>
            <w:pPr>
              <w:spacing w:after="0"/>
              <w:rPr>
                <w:sz w:val="1"/>
                <w:szCs w:val="1"/>
                <w:color w:val="auto"/>
              </w:rPr>
            </w:pPr>
          </w:p>
        </w:tc>
      </w:tr>
      <w:tr>
        <w:trPr>
          <w:trHeight w:val="223"/>
        </w:trPr>
        <w:tc>
          <w:tcPr>
            <w:tcW w:w="116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79"/>
              </w:rPr>
              <w:t>3</w:t>
            </w:r>
          </w:p>
        </w:tc>
        <w:tc>
          <w:tcPr>
            <w:tcW w:w="25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2"/>
              </w:rPr>
              <w:t>Wafer Works</w:t>
            </w:r>
          </w:p>
        </w:tc>
        <w:tc>
          <w:tcPr>
            <w:tcW w:w="25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1"/>
              </w:rPr>
              <w:t>90.00%</w:t>
            </w:r>
          </w:p>
        </w:tc>
        <w:tc>
          <w:tcPr>
            <w:tcW w:w="24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3"/>
              </w:rPr>
              <w:t>Yes</w:t>
            </w:r>
          </w:p>
        </w:tc>
        <w:tc>
          <w:tcPr>
            <w:tcW w:w="25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2"/>
              </w:rPr>
              <w:t>Goods on delivery</w:t>
            </w:r>
          </w:p>
        </w:tc>
        <w:tc>
          <w:tcPr>
            <w:tcW w:w="0" w:type="dxa"/>
            <w:vAlign w:val="bottom"/>
          </w:tcPr>
          <w:p>
            <w:pPr>
              <w:spacing w:after="0"/>
              <w:rPr>
                <w:sz w:val="1"/>
                <w:szCs w:val="1"/>
                <w:color w:val="auto"/>
              </w:rPr>
            </w:pPr>
          </w:p>
        </w:tc>
      </w:tr>
      <w:tr>
        <w:trPr>
          <w:trHeight w:val="223"/>
        </w:trPr>
        <w:tc>
          <w:tcPr>
            <w:tcW w:w="116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79"/>
              </w:rPr>
              <w:t>4</w:t>
            </w:r>
          </w:p>
        </w:tc>
        <w:tc>
          <w:tcPr>
            <w:tcW w:w="25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4"/>
              </w:rPr>
              <w:t>Beijing U-precision</w:t>
            </w:r>
          </w:p>
        </w:tc>
        <w:tc>
          <w:tcPr>
            <w:tcW w:w="25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1"/>
              </w:rPr>
              <w:t>79.47%</w:t>
            </w:r>
          </w:p>
        </w:tc>
        <w:tc>
          <w:tcPr>
            <w:tcW w:w="24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3"/>
              </w:rPr>
              <w:t>Yes</w:t>
            </w:r>
          </w:p>
        </w:tc>
        <w:tc>
          <w:tcPr>
            <w:tcW w:w="25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2"/>
              </w:rPr>
              <w:t>Goods on delivery</w:t>
            </w:r>
          </w:p>
        </w:tc>
        <w:tc>
          <w:tcPr>
            <w:tcW w:w="0" w:type="dxa"/>
            <w:vAlign w:val="bottom"/>
          </w:tcPr>
          <w:p>
            <w:pPr>
              <w:spacing w:after="0"/>
              <w:rPr>
                <w:sz w:val="1"/>
                <w:szCs w:val="1"/>
                <w:color w:val="auto"/>
              </w:rPr>
            </w:pPr>
          </w:p>
        </w:tc>
      </w:tr>
      <w:tr>
        <w:trPr>
          <w:trHeight w:val="223"/>
        </w:trPr>
        <w:tc>
          <w:tcPr>
            <w:tcW w:w="116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79"/>
              </w:rPr>
              <w:t>5</w:t>
            </w:r>
          </w:p>
        </w:tc>
        <w:tc>
          <w:tcPr>
            <w:tcW w:w="25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7"/>
              </w:rPr>
              <w:t>SMIC</w:t>
            </w:r>
          </w:p>
        </w:tc>
        <w:tc>
          <w:tcPr>
            <w:tcW w:w="25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1"/>
              </w:rPr>
              <w:t>90.00%</w:t>
            </w:r>
          </w:p>
        </w:tc>
        <w:tc>
          <w:tcPr>
            <w:tcW w:w="24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3"/>
              </w:rPr>
              <w:t>Yes</w:t>
            </w:r>
          </w:p>
        </w:tc>
        <w:tc>
          <w:tcPr>
            <w:tcW w:w="25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2"/>
              </w:rPr>
              <w:t>Goods on delivery</w:t>
            </w:r>
          </w:p>
        </w:tc>
        <w:tc>
          <w:tcPr>
            <w:tcW w:w="0" w:type="dxa"/>
            <w:vAlign w:val="bottom"/>
          </w:tcPr>
          <w:p>
            <w:pPr>
              <w:spacing w:after="0"/>
              <w:rPr>
                <w:sz w:val="1"/>
                <w:szCs w:val="1"/>
                <w:color w:val="auto"/>
              </w:rPr>
            </w:pPr>
          </w:p>
        </w:tc>
      </w:tr>
      <w:tr>
        <w:trPr>
          <w:trHeight w:val="223"/>
        </w:trPr>
        <w:tc>
          <w:tcPr>
            <w:tcW w:w="116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79"/>
              </w:rPr>
              <w:t>6</w:t>
            </w:r>
          </w:p>
        </w:tc>
        <w:tc>
          <w:tcPr>
            <w:tcW w:w="25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1"/>
              </w:rPr>
              <w:t>Raytron</w:t>
            </w:r>
          </w:p>
        </w:tc>
        <w:tc>
          <w:tcPr>
            <w:tcW w:w="25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1"/>
              </w:rPr>
              <w:t>30.00%</w:t>
            </w:r>
          </w:p>
        </w:tc>
        <w:tc>
          <w:tcPr>
            <w:tcW w:w="24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3"/>
              </w:rPr>
              <w:t>Yes</w:t>
            </w:r>
          </w:p>
        </w:tc>
        <w:tc>
          <w:tcPr>
            <w:tcW w:w="25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0"/>
              </w:rPr>
              <w:t>Unfinished goods</w:t>
            </w:r>
          </w:p>
        </w:tc>
        <w:tc>
          <w:tcPr>
            <w:tcW w:w="0" w:type="dxa"/>
            <w:vAlign w:val="bottom"/>
          </w:tcPr>
          <w:p>
            <w:pPr>
              <w:spacing w:after="0"/>
              <w:rPr>
                <w:sz w:val="1"/>
                <w:szCs w:val="1"/>
                <w:color w:val="auto"/>
              </w:rPr>
            </w:pPr>
          </w:p>
        </w:tc>
      </w:tr>
      <w:tr>
        <w:trPr>
          <w:trHeight w:val="223"/>
        </w:trPr>
        <w:tc>
          <w:tcPr>
            <w:tcW w:w="116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79"/>
              </w:rPr>
              <w:t>7</w:t>
            </w:r>
          </w:p>
        </w:tc>
        <w:tc>
          <w:tcPr>
            <w:tcW w:w="25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0"/>
              </w:rPr>
              <w:t>Huahong Group</w:t>
            </w:r>
          </w:p>
        </w:tc>
        <w:tc>
          <w:tcPr>
            <w:tcW w:w="25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1"/>
              </w:rPr>
              <w:t>70.00%</w:t>
            </w:r>
          </w:p>
        </w:tc>
        <w:tc>
          <w:tcPr>
            <w:tcW w:w="24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3"/>
              </w:rPr>
              <w:t>Yes</w:t>
            </w:r>
          </w:p>
        </w:tc>
        <w:tc>
          <w:tcPr>
            <w:tcW w:w="25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2"/>
              </w:rPr>
              <w:t>Goods on delivery</w:t>
            </w:r>
          </w:p>
        </w:tc>
        <w:tc>
          <w:tcPr>
            <w:tcW w:w="0" w:type="dxa"/>
            <w:vAlign w:val="bottom"/>
          </w:tcPr>
          <w:p>
            <w:pPr>
              <w:spacing w:after="0"/>
              <w:rPr>
                <w:sz w:val="1"/>
                <w:szCs w:val="1"/>
                <w:color w:val="auto"/>
              </w:rPr>
            </w:pPr>
          </w:p>
        </w:tc>
      </w:tr>
      <w:tr>
        <w:trPr>
          <w:trHeight w:val="223"/>
        </w:trPr>
        <w:tc>
          <w:tcPr>
            <w:tcW w:w="116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79"/>
              </w:rPr>
              <w:t>8</w:t>
            </w:r>
          </w:p>
        </w:tc>
        <w:tc>
          <w:tcPr>
            <w:tcW w:w="25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1"/>
              </w:rPr>
              <w:t>Xiamen Tongfu</w:t>
            </w:r>
          </w:p>
        </w:tc>
        <w:tc>
          <w:tcPr>
            <w:tcW w:w="25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1"/>
              </w:rPr>
              <w:t>20.00%</w:t>
            </w:r>
          </w:p>
        </w:tc>
        <w:tc>
          <w:tcPr>
            <w:tcW w:w="24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3"/>
              </w:rPr>
              <w:t>Yes</w:t>
            </w:r>
          </w:p>
        </w:tc>
        <w:tc>
          <w:tcPr>
            <w:tcW w:w="25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2"/>
              </w:rPr>
              <w:t>Goods on delivery</w:t>
            </w:r>
          </w:p>
        </w:tc>
        <w:tc>
          <w:tcPr>
            <w:tcW w:w="0" w:type="dxa"/>
            <w:vAlign w:val="bottom"/>
          </w:tcPr>
          <w:p>
            <w:pPr>
              <w:spacing w:after="0"/>
              <w:rPr>
                <w:sz w:val="1"/>
                <w:szCs w:val="1"/>
                <w:color w:val="auto"/>
              </w:rPr>
            </w:pPr>
          </w:p>
        </w:tc>
      </w:tr>
      <w:tr>
        <w:trPr>
          <w:trHeight w:val="223"/>
        </w:trPr>
        <w:tc>
          <w:tcPr>
            <w:tcW w:w="116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79"/>
              </w:rPr>
              <w:t>9</w:t>
            </w:r>
          </w:p>
        </w:tc>
        <w:tc>
          <w:tcPr>
            <w:tcW w:w="25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1"/>
              </w:rPr>
              <w:t>Yangtze Memory</w:t>
            </w:r>
          </w:p>
        </w:tc>
        <w:tc>
          <w:tcPr>
            <w:tcW w:w="25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1"/>
              </w:rPr>
              <w:t>90.00%</w:t>
            </w:r>
          </w:p>
        </w:tc>
        <w:tc>
          <w:tcPr>
            <w:tcW w:w="24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3"/>
              </w:rPr>
              <w:t>Yes</w:t>
            </w:r>
          </w:p>
        </w:tc>
        <w:tc>
          <w:tcPr>
            <w:tcW w:w="25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2"/>
              </w:rPr>
              <w:t>Goods on delivery</w:t>
            </w:r>
          </w:p>
        </w:tc>
        <w:tc>
          <w:tcPr>
            <w:tcW w:w="0" w:type="dxa"/>
            <w:vAlign w:val="bottom"/>
          </w:tcPr>
          <w:p>
            <w:pPr>
              <w:spacing w:after="0"/>
              <w:rPr>
                <w:sz w:val="1"/>
                <w:szCs w:val="1"/>
                <w:color w:val="auto"/>
              </w:rPr>
            </w:pPr>
          </w:p>
        </w:tc>
      </w:tr>
      <w:tr>
        <w:trPr>
          <w:trHeight w:val="582"/>
        </w:trPr>
        <w:tc>
          <w:tcPr>
            <w:tcW w:w="1160" w:type="dxa"/>
            <w:vAlign w:val="bottom"/>
          </w:tcPr>
          <w:p>
            <w:pPr>
              <w:spacing w:after="0"/>
              <w:rPr>
                <w:sz w:val="24"/>
                <w:szCs w:val="24"/>
                <w:color w:val="auto"/>
              </w:rPr>
            </w:pPr>
          </w:p>
        </w:tc>
        <w:tc>
          <w:tcPr>
            <w:tcW w:w="2540" w:type="dxa"/>
            <w:vAlign w:val="bottom"/>
          </w:tcPr>
          <w:p>
            <w:pPr>
              <w:spacing w:after="0"/>
              <w:rPr>
                <w:sz w:val="24"/>
                <w:szCs w:val="24"/>
                <w:color w:val="auto"/>
              </w:rPr>
            </w:pPr>
          </w:p>
        </w:tc>
        <w:tc>
          <w:tcPr>
            <w:tcW w:w="2500" w:type="dxa"/>
            <w:vAlign w:val="bottom"/>
          </w:tcPr>
          <w:p>
            <w:pPr>
              <w:jc w:val="right"/>
              <w:ind w:right="231"/>
              <w:spacing w:after="0"/>
              <w:rPr>
                <w:sz w:val="20"/>
                <w:szCs w:val="20"/>
                <w:color w:val="auto"/>
              </w:rPr>
            </w:pPr>
            <w:r>
              <w:rPr>
                <w:rFonts w:ascii="Arial" w:cs="Arial" w:eastAsia="Arial" w:hAnsi="Arial"/>
                <w:sz w:val="14"/>
                <w:szCs w:val="14"/>
                <w:color w:val="auto"/>
              </w:rPr>
              <w:t>8-4-1-59</w:t>
            </w:r>
          </w:p>
        </w:tc>
        <w:tc>
          <w:tcPr>
            <w:tcW w:w="2480" w:type="dxa"/>
            <w:vAlign w:val="bottom"/>
          </w:tcPr>
          <w:p>
            <w:pPr>
              <w:spacing w:after="0"/>
              <w:rPr>
                <w:sz w:val="24"/>
                <w:szCs w:val="24"/>
                <w:color w:val="auto"/>
              </w:rPr>
            </w:pPr>
          </w:p>
        </w:tc>
        <w:tc>
          <w:tcPr>
            <w:tcW w:w="2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6"/>
        </w:trPr>
        <w:tc>
          <w:tcPr>
            <w:tcW w:w="1160" w:type="dxa"/>
            <w:vAlign w:val="bottom"/>
            <w:tcBorders>
              <w:bottom w:val="single" w:sz="8" w:color="auto"/>
            </w:tcBorders>
          </w:tcPr>
          <w:p>
            <w:pPr>
              <w:spacing w:after="0"/>
              <w:rPr>
                <w:sz w:val="4"/>
                <w:szCs w:val="4"/>
                <w:color w:val="auto"/>
              </w:rPr>
            </w:pPr>
          </w:p>
        </w:tc>
        <w:tc>
          <w:tcPr>
            <w:tcW w:w="2540" w:type="dxa"/>
            <w:vAlign w:val="bottom"/>
            <w:tcBorders>
              <w:bottom w:val="single" w:sz="8" w:color="auto"/>
            </w:tcBorders>
          </w:tcPr>
          <w:p>
            <w:pPr>
              <w:spacing w:after="0"/>
              <w:rPr>
                <w:sz w:val="4"/>
                <w:szCs w:val="4"/>
                <w:color w:val="auto"/>
              </w:rPr>
            </w:pPr>
          </w:p>
        </w:tc>
        <w:tc>
          <w:tcPr>
            <w:tcW w:w="2500" w:type="dxa"/>
            <w:vAlign w:val="bottom"/>
            <w:tcBorders>
              <w:bottom w:val="single" w:sz="8" w:color="auto"/>
            </w:tcBorders>
          </w:tcPr>
          <w:p>
            <w:pPr>
              <w:spacing w:after="0"/>
              <w:rPr>
                <w:sz w:val="4"/>
                <w:szCs w:val="4"/>
                <w:color w:val="auto"/>
              </w:rPr>
            </w:pPr>
          </w:p>
        </w:tc>
        <w:tc>
          <w:tcPr>
            <w:tcW w:w="2480" w:type="dxa"/>
            <w:vAlign w:val="bottom"/>
            <w:tcBorders>
              <w:bottom w:val="single" w:sz="8" w:color="auto"/>
            </w:tcBorders>
          </w:tcPr>
          <w:p>
            <w:pPr>
              <w:spacing w:after="0"/>
              <w:rPr>
                <w:sz w:val="4"/>
                <w:szCs w:val="4"/>
                <w:color w:val="auto"/>
              </w:rPr>
            </w:pPr>
          </w:p>
        </w:tc>
        <w:tc>
          <w:tcPr>
            <w:tcW w:w="256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112" w:right="339" w:bottom="1440" w:gutter="0" w:footer="0" w:header="0"/>
        </w:sectPr>
      </w:pPr>
    </w:p>
    <w:bookmarkStart w:id="63" w:name="page64"/>
    <w:bookmarkEnd w:id="63"/>
    <w:p>
      <w:pPr>
        <w:ind w:left="340"/>
        <w:spacing w:after="0"/>
        <w:rPr>
          <w:sz w:val="20"/>
          <w:szCs w:val="20"/>
          <w:color w:val="auto"/>
        </w:rPr>
      </w:pPr>
      <w:r>
        <w:rPr>
          <w:rFonts w:ascii="Arial" w:cs="Arial" w:eastAsia="Arial" w:hAnsi="Arial"/>
          <w:sz w:val="22"/>
          <w:szCs w:val="22"/>
          <w:color w:val="auto"/>
        </w:rPr>
        <w:t>3. December 31, 2018</w:t>
      </w:r>
    </w:p>
    <w:p>
      <w:pPr>
        <w:spacing w:after="0" w:line="234" w:lineRule="exact"/>
        <w:rPr>
          <w:sz w:val="20"/>
          <w:szCs w:val="20"/>
          <w:color w:val="auto"/>
        </w:rPr>
      </w:pPr>
    </w:p>
    <w:tbl>
      <w:tblPr>
        <w:tblLayout w:type="fixed"/>
        <w:tblInd w:w="10" w:type="dxa"/>
        <w:tblCellMar>
          <w:top w:w="0" w:type="dxa"/>
          <w:left w:w="0" w:type="dxa"/>
          <w:bottom w:w="0" w:type="dxa"/>
          <w:right w:w="0" w:type="dxa"/>
        </w:tblCellMar>
      </w:tblPr>
      <w:tr>
        <w:trPr>
          <w:trHeight w:val="274"/>
        </w:trPr>
        <w:tc>
          <w:tcPr>
            <w:tcW w:w="1160" w:type="dxa"/>
            <w:vAlign w:val="bottom"/>
          </w:tcPr>
          <w:p>
            <w:pPr>
              <w:spacing w:after="0"/>
              <w:rPr>
                <w:sz w:val="23"/>
                <w:szCs w:val="23"/>
                <w:color w:val="auto"/>
              </w:rPr>
            </w:pPr>
          </w:p>
        </w:tc>
        <w:tc>
          <w:tcPr>
            <w:tcW w:w="2540" w:type="dxa"/>
            <w:vAlign w:val="bottom"/>
          </w:tcPr>
          <w:p>
            <w:pPr>
              <w:spacing w:after="0"/>
              <w:rPr>
                <w:sz w:val="23"/>
                <w:szCs w:val="23"/>
                <w:color w:val="auto"/>
              </w:rPr>
            </w:pPr>
          </w:p>
        </w:tc>
        <w:tc>
          <w:tcPr>
            <w:tcW w:w="2500" w:type="dxa"/>
            <w:vAlign w:val="bottom"/>
          </w:tcPr>
          <w:p>
            <w:pPr>
              <w:spacing w:after="0"/>
              <w:rPr>
                <w:sz w:val="23"/>
                <w:szCs w:val="23"/>
                <w:color w:val="auto"/>
              </w:rPr>
            </w:pPr>
          </w:p>
        </w:tc>
        <w:tc>
          <w:tcPr>
            <w:tcW w:w="2480" w:type="dxa"/>
            <w:vAlign w:val="bottom"/>
          </w:tcPr>
          <w:p>
            <w:pPr>
              <w:spacing w:after="0"/>
              <w:rPr>
                <w:sz w:val="23"/>
                <w:szCs w:val="23"/>
                <w:color w:val="auto"/>
              </w:rPr>
            </w:pPr>
          </w:p>
        </w:tc>
        <w:tc>
          <w:tcPr>
            <w:tcW w:w="2560" w:type="dxa"/>
            <w:vAlign w:val="bottom"/>
          </w:tcPr>
          <w:p>
            <w:pPr>
              <w:ind w:left="980"/>
              <w:spacing w:after="0"/>
              <w:rPr>
                <w:sz w:val="20"/>
                <w:szCs w:val="20"/>
                <w:color w:val="auto"/>
              </w:rPr>
            </w:pPr>
            <w:r>
              <w:rPr>
                <w:rFonts w:ascii="Arial" w:cs="Arial" w:eastAsia="Arial" w:hAnsi="Arial"/>
                <w:sz w:val="22"/>
                <w:szCs w:val="22"/>
                <w:color w:val="auto"/>
                <w:w w:val="91"/>
              </w:rPr>
              <w:t>Unit: RMB10,000</w:t>
            </w:r>
          </w:p>
        </w:tc>
        <w:tc>
          <w:tcPr>
            <w:tcW w:w="0" w:type="dxa"/>
            <w:vAlign w:val="bottom"/>
          </w:tcPr>
          <w:p>
            <w:pPr>
              <w:spacing w:after="0"/>
              <w:rPr>
                <w:sz w:val="1"/>
                <w:szCs w:val="1"/>
                <w:color w:val="auto"/>
              </w:rPr>
            </w:pPr>
          </w:p>
        </w:tc>
      </w:tr>
      <w:tr>
        <w:trPr>
          <w:trHeight w:val="240"/>
        </w:trPr>
        <w:tc>
          <w:tcPr>
            <w:tcW w:w="1160" w:type="dxa"/>
            <w:vAlign w:val="bottom"/>
            <w:tcBorders>
              <w:bottom w:val="single" w:sz="8" w:color="auto"/>
            </w:tcBorders>
          </w:tcPr>
          <w:p>
            <w:pPr>
              <w:spacing w:after="0"/>
              <w:rPr>
                <w:sz w:val="20"/>
                <w:szCs w:val="20"/>
                <w:color w:val="auto"/>
              </w:rPr>
            </w:pPr>
          </w:p>
        </w:tc>
        <w:tc>
          <w:tcPr>
            <w:tcW w:w="2540" w:type="dxa"/>
            <w:vAlign w:val="bottom"/>
            <w:tcBorders>
              <w:bottom w:val="single" w:sz="8" w:color="auto"/>
            </w:tcBorders>
          </w:tcPr>
          <w:p>
            <w:pPr>
              <w:spacing w:after="0"/>
              <w:rPr>
                <w:sz w:val="20"/>
                <w:szCs w:val="20"/>
                <w:color w:val="auto"/>
              </w:rPr>
            </w:pPr>
          </w:p>
        </w:tc>
        <w:tc>
          <w:tcPr>
            <w:tcW w:w="2500" w:type="dxa"/>
            <w:vAlign w:val="bottom"/>
            <w:tcBorders>
              <w:bottom w:val="single" w:sz="8" w:color="auto"/>
            </w:tcBorders>
          </w:tcPr>
          <w:p>
            <w:pPr>
              <w:spacing w:after="0"/>
              <w:rPr>
                <w:sz w:val="20"/>
                <w:szCs w:val="20"/>
                <w:color w:val="auto"/>
              </w:rPr>
            </w:pPr>
          </w:p>
        </w:tc>
        <w:tc>
          <w:tcPr>
            <w:tcW w:w="2480" w:type="dxa"/>
            <w:vAlign w:val="bottom"/>
            <w:tcBorders>
              <w:bottom w:val="single" w:sz="8" w:color="auto"/>
            </w:tcBorders>
          </w:tcPr>
          <w:p>
            <w:pPr>
              <w:spacing w:after="0"/>
              <w:rPr>
                <w:sz w:val="20"/>
                <w:szCs w:val="20"/>
                <w:color w:val="auto"/>
              </w:rPr>
            </w:pPr>
          </w:p>
        </w:tc>
        <w:tc>
          <w:tcPr>
            <w:tcW w:w="256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1160" w:type="dxa"/>
            <w:vAlign w:val="bottom"/>
            <w:tcBorders>
              <w:left w:val="single" w:sz="8" w:color="auto"/>
              <w:right w:val="single" w:sz="8" w:color="auto"/>
            </w:tcBorders>
          </w:tcPr>
          <w:p>
            <w:pPr>
              <w:spacing w:after="0"/>
              <w:rPr>
                <w:sz w:val="17"/>
                <w:szCs w:val="17"/>
                <w:color w:val="auto"/>
              </w:rPr>
            </w:pPr>
          </w:p>
        </w:tc>
        <w:tc>
          <w:tcPr>
            <w:tcW w:w="2540" w:type="dxa"/>
            <w:vAlign w:val="bottom"/>
            <w:tcBorders>
              <w:right w:val="single" w:sz="8" w:color="auto"/>
            </w:tcBorders>
          </w:tcPr>
          <w:p>
            <w:pPr>
              <w:spacing w:after="0"/>
              <w:rPr>
                <w:sz w:val="17"/>
                <w:szCs w:val="17"/>
                <w:color w:val="auto"/>
              </w:rPr>
            </w:pPr>
          </w:p>
        </w:tc>
        <w:tc>
          <w:tcPr>
            <w:tcW w:w="2500" w:type="dxa"/>
            <w:vAlign w:val="bottom"/>
            <w:tcBorders>
              <w:right w:val="single" w:sz="8" w:color="auto"/>
            </w:tcBorders>
          </w:tcPr>
          <w:p>
            <w:pPr>
              <w:spacing w:after="0"/>
              <w:rPr>
                <w:sz w:val="17"/>
                <w:szCs w:val="17"/>
                <w:color w:val="auto"/>
              </w:rPr>
            </w:pPr>
          </w:p>
        </w:tc>
        <w:tc>
          <w:tcPr>
            <w:tcW w:w="24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b w:val="1"/>
                <w:bCs w:val="1"/>
                <w:color w:val="auto"/>
                <w:w w:val="94"/>
              </w:rPr>
              <w:t>Whether</w:t>
            </w:r>
          </w:p>
        </w:tc>
        <w:tc>
          <w:tcPr>
            <w:tcW w:w="2560" w:type="dxa"/>
            <w:vAlign w:val="bottom"/>
            <w:tcBorders>
              <w:right w:val="single" w:sz="8" w:color="auto"/>
            </w:tcBorders>
          </w:tcPr>
          <w:p>
            <w:pPr>
              <w:jc w:val="center"/>
              <w:spacing w:after="0" w:line="198" w:lineRule="exact"/>
              <w:rPr>
                <w:sz w:val="20"/>
                <w:szCs w:val="20"/>
                <w:color w:val="auto"/>
              </w:rPr>
            </w:pPr>
            <w:r>
              <w:rPr>
                <w:rFonts w:ascii="Arial" w:cs="Arial" w:eastAsia="Arial" w:hAnsi="Arial"/>
                <w:sz w:val="18"/>
                <w:szCs w:val="18"/>
                <w:b w:val="1"/>
                <w:bCs w:val="1"/>
                <w:color w:val="auto"/>
                <w:w w:val="88"/>
              </w:rPr>
              <w:t>Goods on</w:t>
            </w:r>
          </w:p>
        </w:tc>
        <w:tc>
          <w:tcPr>
            <w:tcW w:w="0" w:type="dxa"/>
            <w:vAlign w:val="bottom"/>
          </w:tcPr>
          <w:p>
            <w:pPr>
              <w:spacing w:after="0"/>
              <w:rPr>
                <w:sz w:val="1"/>
                <w:szCs w:val="1"/>
                <w:color w:val="auto"/>
              </w:rPr>
            </w:pPr>
          </w:p>
        </w:tc>
      </w:tr>
      <w:tr>
        <w:trPr>
          <w:trHeight w:val="108"/>
        </w:trPr>
        <w:tc>
          <w:tcPr>
            <w:tcW w:w="1160" w:type="dxa"/>
            <w:vAlign w:val="bottom"/>
            <w:tcBorders>
              <w:left w:val="single" w:sz="8" w:color="auto"/>
              <w:right w:val="single" w:sz="8" w:color="auto"/>
            </w:tcBorders>
          </w:tcPr>
          <w:p>
            <w:pPr>
              <w:spacing w:after="0"/>
              <w:rPr>
                <w:sz w:val="9"/>
                <w:szCs w:val="9"/>
                <w:color w:val="auto"/>
              </w:rPr>
            </w:pPr>
          </w:p>
        </w:tc>
        <w:tc>
          <w:tcPr>
            <w:tcW w:w="2540" w:type="dxa"/>
            <w:vAlign w:val="bottom"/>
            <w:tcBorders>
              <w:right w:val="single" w:sz="8" w:color="auto"/>
            </w:tcBorders>
          </w:tcPr>
          <w:p>
            <w:pPr>
              <w:spacing w:after="0"/>
              <w:rPr>
                <w:sz w:val="9"/>
                <w:szCs w:val="9"/>
                <w:color w:val="auto"/>
              </w:rPr>
            </w:pPr>
          </w:p>
        </w:tc>
        <w:tc>
          <w:tcPr>
            <w:tcW w:w="25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b w:val="1"/>
                <w:bCs w:val="1"/>
                <w:color w:val="auto"/>
                <w:w w:val="87"/>
              </w:rPr>
              <w:t>Ratio of deposits</w:t>
            </w:r>
          </w:p>
        </w:tc>
        <w:tc>
          <w:tcPr>
            <w:tcW w:w="2480" w:type="dxa"/>
            <w:vAlign w:val="bottom"/>
            <w:tcBorders>
              <w:right w:val="single" w:sz="8" w:color="auto"/>
            </w:tcBorders>
            <w:vMerge w:val="continue"/>
          </w:tcPr>
          <w:p>
            <w:pPr>
              <w:spacing w:after="0"/>
              <w:rPr>
                <w:sz w:val="9"/>
                <w:szCs w:val="9"/>
                <w:color w:val="auto"/>
              </w:rPr>
            </w:pPr>
          </w:p>
        </w:tc>
        <w:tc>
          <w:tcPr>
            <w:tcW w:w="256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b w:val="1"/>
                <w:bCs w:val="1"/>
                <w:color w:val="auto"/>
                <w:w w:val="91"/>
              </w:rPr>
              <w:t>delivery</w:t>
            </w:r>
          </w:p>
        </w:tc>
        <w:tc>
          <w:tcPr>
            <w:tcW w:w="0" w:type="dxa"/>
            <w:vAlign w:val="bottom"/>
          </w:tcPr>
          <w:p>
            <w:pPr>
              <w:spacing w:after="0"/>
              <w:rPr>
                <w:sz w:val="1"/>
                <w:szCs w:val="1"/>
                <w:color w:val="auto"/>
              </w:rPr>
            </w:pPr>
          </w:p>
        </w:tc>
      </w:tr>
      <w:tr>
        <w:trPr>
          <w:trHeight w:val="108"/>
        </w:trPr>
        <w:tc>
          <w:tcPr>
            <w:tcW w:w="1160" w:type="dxa"/>
            <w:vAlign w:val="bottom"/>
            <w:tcBorders>
              <w:left w:val="single" w:sz="8" w:color="auto"/>
              <w:right w:val="single" w:sz="8" w:color="auto"/>
            </w:tcBorders>
            <w:vMerge w:val="restart"/>
          </w:tcPr>
          <w:p>
            <w:pPr>
              <w:ind w:left="440"/>
              <w:spacing w:after="0"/>
              <w:rPr>
                <w:sz w:val="20"/>
                <w:szCs w:val="20"/>
                <w:color w:val="auto"/>
              </w:rPr>
            </w:pPr>
            <w:r>
              <w:rPr>
                <w:rFonts w:ascii="Arial" w:cs="Arial" w:eastAsia="Arial" w:hAnsi="Arial"/>
                <w:sz w:val="18"/>
                <w:szCs w:val="18"/>
                <w:b w:val="1"/>
                <w:bCs w:val="1"/>
                <w:color w:val="auto"/>
              </w:rPr>
              <w:t>S/N</w:t>
            </w:r>
          </w:p>
        </w:tc>
        <w:tc>
          <w:tcPr>
            <w:tcW w:w="254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b w:val="1"/>
                <w:bCs w:val="1"/>
                <w:color w:val="auto"/>
                <w:w w:val="89"/>
              </w:rPr>
              <w:t>Customer Name</w:t>
            </w:r>
          </w:p>
        </w:tc>
        <w:tc>
          <w:tcPr>
            <w:tcW w:w="2500" w:type="dxa"/>
            <w:vAlign w:val="bottom"/>
            <w:tcBorders>
              <w:right w:val="single" w:sz="8" w:color="auto"/>
            </w:tcBorders>
            <w:vMerge w:val="continue"/>
          </w:tcPr>
          <w:p>
            <w:pPr>
              <w:spacing w:after="0"/>
              <w:rPr>
                <w:sz w:val="9"/>
                <w:szCs w:val="9"/>
                <w:color w:val="auto"/>
              </w:rPr>
            </w:pPr>
          </w:p>
        </w:tc>
        <w:tc>
          <w:tcPr>
            <w:tcW w:w="24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b w:val="1"/>
                <w:bCs w:val="1"/>
                <w:color w:val="auto"/>
                <w:w w:val="87"/>
              </w:rPr>
              <w:t>corresponding to</w:t>
            </w:r>
          </w:p>
        </w:tc>
        <w:tc>
          <w:tcPr>
            <w:tcW w:w="2560" w:type="dxa"/>
            <w:vAlign w:val="bottom"/>
            <w:tcBorders>
              <w:right w:val="single" w:sz="8" w:color="auto"/>
            </w:tcBorders>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1160" w:type="dxa"/>
            <w:vAlign w:val="bottom"/>
            <w:tcBorders>
              <w:left w:val="single" w:sz="8" w:color="auto"/>
              <w:right w:val="single" w:sz="8" w:color="auto"/>
            </w:tcBorders>
            <w:vMerge w:val="continue"/>
          </w:tcPr>
          <w:p>
            <w:pPr>
              <w:spacing w:after="0"/>
              <w:rPr>
                <w:sz w:val="9"/>
                <w:szCs w:val="9"/>
                <w:color w:val="auto"/>
              </w:rPr>
            </w:pPr>
          </w:p>
        </w:tc>
        <w:tc>
          <w:tcPr>
            <w:tcW w:w="2540" w:type="dxa"/>
            <w:vAlign w:val="bottom"/>
            <w:tcBorders>
              <w:right w:val="single" w:sz="8" w:color="auto"/>
            </w:tcBorders>
            <w:vMerge w:val="continue"/>
          </w:tcPr>
          <w:p>
            <w:pPr>
              <w:spacing w:after="0"/>
              <w:rPr>
                <w:sz w:val="9"/>
                <w:szCs w:val="9"/>
                <w:color w:val="auto"/>
              </w:rPr>
            </w:pPr>
          </w:p>
        </w:tc>
        <w:tc>
          <w:tcPr>
            <w:tcW w:w="25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b w:val="1"/>
                <w:bCs w:val="1"/>
                <w:color w:val="auto"/>
                <w:w w:val="87"/>
              </w:rPr>
              <w:t>received</w:t>
            </w:r>
          </w:p>
        </w:tc>
        <w:tc>
          <w:tcPr>
            <w:tcW w:w="2480" w:type="dxa"/>
            <w:vAlign w:val="bottom"/>
            <w:tcBorders>
              <w:right w:val="single" w:sz="8" w:color="auto"/>
            </w:tcBorders>
            <w:vMerge w:val="continue"/>
          </w:tcPr>
          <w:p>
            <w:pPr>
              <w:spacing w:after="0"/>
              <w:rPr>
                <w:sz w:val="9"/>
                <w:szCs w:val="9"/>
                <w:color w:val="auto"/>
              </w:rPr>
            </w:pPr>
          </w:p>
        </w:tc>
        <w:tc>
          <w:tcPr>
            <w:tcW w:w="256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b w:val="1"/>
                <w:bCs w:val="1"/>
                <w:color w:val="auto"/>
                <w:w w:val="89"/>
              </w:rPr>
              <w:t>/unfinished</w:t>
            </w:r>
          </w:p>
        </w:tc>
        <w:tc>
          <w:tcPr>
            <w:tcW w:w="0" w:type="dxa"/>
            <w:vAlign w:val="bottom"/>
          </w:tcPr>
          <w:p>
            <w:pPr>
              <w:spacing w:after="0"/>
              <w:rPr>
                <w:sz w:val="1"/>
                <w:szCs w:val="1"/>
                <w:color w:val="auto"/>
              </w:rPr>
            </w:pPr>
          </w:p>
        </w:tc>
      </w:tr>
      <w:tr>
        <w:trPr>
          <w:trHeight w:val="108"/>
        </w:trPr>
        <w:tc>
          <w:tcPr>
            <w:tcW w:w="1160" w:type="dxa"/>
            <w:vAlign w:val="bottom"/>
            <w:tcBorders>
              <w:left w:val="single" w:sz="8" w:color="auto"/>
              <w:right w:val="single" w:sz="8" w:color="auto"/>
            </w:tcBorders>
          </w:tcPr>
          <w:p>
            <w:pPr>
              <w:spacing w:after="0"/>
              <w:rPr>
                <w:sz w:val="9"/>
                <w:szCs w:val="9"/>
                <w:color w:val="auto"/>
              </w:rPr>
            </w:pPr>
          </w:p>
        </w:tc>
        <w:tc>
          <w:tcPr>
            <w:tcW w:w="2540" w:type="dxa"/>
            <w:vAlign w:val="bottom"/>
            <w:tcBorders>
              <w:right w:val="single" w:sz="8" w:color="auto"/>
            </w:tcBorders>
          </w:tcPr>
          <w:p>
            <w:pPr>
              <w:spacing w:after="0"/>
              <w:rPr>
                <w:sz w:val="9"/>
                <w:szCs w:val="9"/>
                <w:color w:val="auto"/>
              </w:rPr>
            </w:pPr>
          </w:p>
        </w:tc>
        <w:tc>
          <w:tcPr>
            <w:tcW w:w="2500" w:type="dxa"/>
            <w:vAlign w:val="bottom"/>
            <w:tcBorders>
              <w:right w:val="single" w:sz="8" w:color="auto"/>
            </w:tcBorders>
            <w:vMerge w:val="continue"/>
          </w:tcPr>
          <w:p>
            <w:pPr>
              <w:spacing w:after="0"/>
              <w:rPr>
                <w:sz w:val="9"/>
                <w:szCs w:val="9"/>
                <w:color w:val="auto"/>
              </w:rPr>
            </w:pPr>
          </w:p>
        </w:tc>
        <w:tc>
          <w:tcPr>
            <w:tcW w:w="24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b w:val="1"/>
                <w:bCs w:val="1"/>
                <w:color w:val="auto"/>
                <w:w w:val="91"/>
              </w:rPr>
              <w:t>orders in hand</w:t>
            </w:r>
          </w:p>
        </w:tc>
        <w:tc>
          <w:tcPr>
            <w:tcW w:w="2560" w:type="dxa"/>
            <w:vAlign w:val="bottom"/>
            <w:tcBorders>
              <w:right w:val="single" w:sz="8" w:color="auto"/>
            </w:tcBorders>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26"/>
        </w:trPr>
        <w:tc>
          <w:tcPr>
            <w:tcW w:w="1160" w:type="dxa"/>
            <w:vAlign w:val="bottom"/>
            <w:tcBorders>
              <w:left w:val="single" w:sz="8" w:color="auto"/>
              <w:right w:val="single" w:sz="8" w:color="auto"/>
            </w:tcBorders>
          </w:tcPr>
          <w:p>
            <w:pPr>
              <w:spacing w:after="0"/>
              <w:rPr>
                <w:sz w:val="10"/>
                <w:szCs w:val="10"/>
                <w:color w:val="auto"/>
              </w:rPr>
            </w:pPr>
          </w:p>
        </w:tc>
        <w:tc>
          <w:tcPr>
            <w:tcW w:w="2540" w:type="dxa"/>
            <w:vAlign w:val="bottom"/>
            <w:tcBorders>
              <w:right w:val="single" w:sz="8" w:color="auto"/>
            </w:tcBorders>
          </w:tcPr>
          <w:p>
            <w:pPr>
              <w:spacing w:after="0"/>
              <w:rPr>
                <w:sz w:val="10"/>
                <w:szCs w:val="10"/>
                <w:color w:val="auto"/>
              </w:rPr>
            </w:pPr>
          </w:p>
        </w:tc>
        <w:tc>
          <w:tcPr>
            <w:tcW w:w="2500" w:type="dxa"/>
            <w:vAlign w:val="bottom"/>
            <w:tcBorders>
              <w:right w:val="single" w:sz="8" w:color="auto"/>
            </w:tcBorders>
          </w:tcPr>
          <w:p>
            <w:pPr>
              <w:spacing w:after="0"/>
              <w:rPr>
                <w:sz w:val="10"/>
                <w:szCs w:val="10"/>
                <w:color w:val="auto"/>
              </w:rPr>
            </w:pPr>
          </w:p>
        </w:tc>
        <w:tc>
          <w:tcPr>
            <w:tcW w:w="2480" w:type="dxa"/>
            <w:vAlign w:val="bottom"/>
            <w:tcBorders>
              <w:right w:val="single" w:sz="8" w:color="auto"/>
            </w:tcBorders>
            <w:vMerge w:val="continue"/>
          </w:tcPr>
          <w:p>
            <w:pPr>
              <w:spacing w:after="0"/>
              <w:rPr>
                <w:sz w:val="10"/>
                <w:szCs w:val="10"/>
                <w:color w:val="auto"/>
              </w:rPr>
            </w:pPr>
          </w:p>
        </w:tc>
        <w:tc>
          <w:tcPr>
            <w:tcW w:w="256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b w:val="1"/>
                <w:bCs w:val="1"/>
                <w:color w:val="auto"/>
                <w:w w:val="81"/>
              </w:rPr>
              <w:t>goods</w:t>
            </w:r>
          </w:p>
        </w:tc>
        <w:tc>
          <w:tcPr>
            <w:tcW w:w="0" w:type="dxa"/>
            <w:vAlign w:val="bottom"/>
          </w:tcPr>
          <w:p>
            <w:pPr>
              <w:spacing w:after="0"/>
              <w:rPr>
                <w:sz w:val="1"/>
                <w:szCs w:val="1"/>
                <w:color w:val="auto"/>
              </w:rPr>
            </w:pPr>
          </w:p>
        </w:tc>
      </w:tr>
      <w:tr>
        <w:trPr>
          <w:trHeight w:val="115"/>
        </w:trPr>
        <w:tc>
          <w:tcPr>
            <w:tcW w:w="1160" w:type="dxa"/>
            <w:vAlign w:val="bottom"/>
            <w:tcBorders>
              <w:left w:val="single" w:sz="8" w:color="auto"/>
              <w:bottom w:val="single" w:sz="8" w:color="auto"/>
              <w:right w:val="single" w:sz="8" w:color="auto"/>
            </w:tcBorders>
          </w:tcPr>
          <w:p>
            <w:pPr>
              <w:spacing w:after="0"/>
              <w:rPr>
                <w:sz w:val="10"/>
                <w:szCs w:val="10"/>
                <w:color w:val="auto"/>
              </w:rPr>
            </w:pPr>
          </w:p>
        </w:tc>
        <w:tc>
          <w:tcPr>
            <w:tcW w:w="2540" w:type="dxa"/>
            <w:vAlign w:val="bottom"/>
            <w:tcBorders>
              <w:bottom w:val="single" w:sz="8" w:color="auto"/>
              <w:right w:val="single" w:sz="8" w:color="auto"/>
            </w:tcBorders>
          </w:tcPr>
          <w:p>
            <w:pPr>
              <w:spacing w:after="0"/>
              <w:rPr>
                <w:sz w:val="10"/>
                <w:szCs w:val="10"/>
                <w:color w:val="auto"/>
              </w:rPr>
            </w:pPr>
          </w:p>
        </w:tc>
        <w:tc>
          <w:tcPr>
            <w:tcW w:w="2500" w:type="dxa"/>
            <w:vAlign w:val="bottom"/>
            <w:tcBorders>
              <w:bottom w:val="single" w:sz="8" w:color="auto"/>
              <w:right w:val="single" w:sz="8" w:color="auto"/>
            </w:tcBorders>
          </w:tcPr>
          <w:p>
            <w:pPr>
              <w:spacing w:after="0"/>
              <w:rPr>
                <w:sz w:val="10"/>
                <w:szCs w:val="10"/>
                <w:color w:val="auto"/>
              </w:rPr>
            </w:pPr>
          </w:p>
        </w:tc>
        <w:tc>
          <w:tcPr>
            <w:tcW w:w="2480" w:type="dxa"/>
            <w:vAlign w:val="bottom"/>
            <w:tcBorders>
              <w:bottom w:val="single" w:sz="8" w:color="auto"/>
              <w:right w:val="single" w:sz="8" w:color="auto"/>
            </w:tcBorders>
          </w:tcPr>
          <w:p>
            <w:pPr>
              <w:spacing w:after="0"/>
              <w:rPr>
                <w:sz w:val="10"/>
                <w:szCs w:val="10"/>
                <w:color w:val="auto"/>
              </w:rPr>
            </w:pPr>
          </w:p>
        </w:tc>
        <w:tc>
          <w:tcPr>
            <w:tcW w:w="2560" w:type="dxa"/>
            <w:vAlign w:val="bottom"/>
            <w:tcBorders>
              <w:bottom w:val="single" w:sz="8" w:color="auto"/>
              <w:right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23"/>
        </w:trPr>
        <w:tc>
          <w:tcPr>
            <w:tcW w:w="116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79"/>
              </w:rPr>
              <w:t>1</w:t>
            </w:r>
          </w:p>
        </w:tc>
        <w:tc>
          <w:tcPr>
            <w:tcW w:w="25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4"/>
              </w:rPr>
              <w:t>Nepes</w:t>
            </w:r>
          </w:p>
        </w:tc>
        <w:tc>
          <w:tcPr>
            <w:tcW w:w="25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1"/>
              </w:rPr>
              <w:t>20.00%</w:t>
            </w:r>
          </w:p>
        </w:tc>
        <w:tc>
          <w:tcPr>
            <w:tcW w:w="24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3"/>
              </w:rPr>
              <w:t>Yes</w:t>
            </w:r>
          </w:p>
        </w:tc>
        <w:tc>
          <w:tcPr>
            <w:tcW w:w="25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0"/>
              </w:rPr>
              <w:t>Unfinished goods</w:t>
            </w:r>
          </w:p>
        </w:tc>
        <w:tc>
          <w:tcPr>
            <w:tcW w:w="0" w:type="dxa"/>
            <w:vAlign w:val="bottom"/>
          </w:tcPr>
          <w:p>
            <w:pPr>
              <w:spacing w:after="0"/>
              <w:rPr>
                <w:sz w:val="1"/>
                <w:szCs w:val="1"/>
                <w:color w:val="auto"/>
              </w:rPr>
            </w:pPr>
          </w:p>
        </w:tc>
      </w:tr>
      <w:tr>
        <w:trPr>
          <w:trHeight w:val="223"/>
        </w:trPr>
        <w:tc>
          <w:tcPr>
            <w:tcW w:w="116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79"/>
              </w:rPr>
              <w:t>2</w:t>
            </w:r>
          </w:p>
        </w:tc>
        <w:tc>
          <w:tcPr>
            <w:tcW w:w="25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4"/>
              </w:rPr>
              <w:t>Nepes</w:t>
            </w:r>
          </w:p>
        </w:tc>
        <w:tc>
          <w:tcPr>
            <w:tcW w:w="25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1"/>
              </w:rPr>
              <w:t>20.00%</w:t>
            </w:r>
          </w:p>
        </w:tc>
        <w:tc>
          <w:tcPr>
            <w:tcW w:w="24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3"/>
              </w:rPr>
              <w:t>Yes</w:t>
            </w:r>
          </w:p>
        </w:tc>
        <w:tc>
          <w:tcPr>
            <w:tcW w:w="25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0"/>
              </w:rPr>
              <w:t>Unfinished goods</w:t>
            </w:r>
          </w:p>
        </w:tc>
        <w:tc>
          <w:tcPr>
            <w:tcW w:w="0" w:type="dxa"/>
            <w:vAlign w:val="bottom"/>
          </w:tcPr>
          <w:p>
            <w:pPr>
              <w:spacing w:after="0"/>
              <w:rPr>
                <w:sz w:val="1"/>
                <w:szCs w:val="1"/>
                <w:color w:val="auto"/>
              </w:rPr>
            </w:pPr>
          </w:p>
        </w:tc>
      </w:tr>
      <w:tr>
        <w:trPr>
          <w:trHeight w:val="223"/>
        </w:trPr>
        <w:tc>
          <w:tcPr>
            <w:tcW w:w="116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79"/>
              </w:rPr>
              <w:t>3</w:t>
            </w:r>
          </w:p>
        </w:tc>
        <w:tc>
          <w:tcPr>
            <w:tcW w:w="25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2"/>
              </w:rPr>
              <w:t>Wafer Works</w:t>
            </w:r>
          </w:p>
        </w:tc>
        <w:tc>
          <w:tcPr>
            <w:tcW w:w="25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1"/>
              </w:rPr>
              <w:t>90.00%</w:t>
            </w:r>
          </w:p>
        </w:tc>
        <w:tc>
          <w:tcPr>
            <w:tcW w:w="24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3"/>
              </w:rPr>
              <w:t>Yes</w:t>
            </w:r>
          </w:p>
        </w:tc>
        <w:tc>
          <w:tcPr>
            <w:tcW w:w="25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2"/>
              </w:rPr>
              <w:t>Goods on delivery</w:t>
            </w:r>
          </w:p>
        </w:tc>
        <w:tc>
          <w:tcPr>
            <w:tcW w:w="0" w:type="dxa"/>
            <w:vAlign w:val="bottom"/>
          </w:tcPr>
          <w:p>
            <w:pPr>
              <w:spacing w:after="0"/>
              <w:rPr>
                <w:sz w:val="1"/>
                <w:szCs w:val="1"/>
                <w:color w:val="auto"/>
              </w:rPr>
            </w:pPr>
          </w:p>
        </w:tc>
      </w:tr>
      <w:tr>
        <w:trPr>
          <w:trHeight w:val="223"/>
        </w:trPr>
        <w:tc>
          <w:tcPr>
            <w:tcW w:w="116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79"/>
              </w:rPr>
              <w:t>4</w:t>
            </w:r>
          </w:p>
        </w:tc>
        <w:tc>
          <w:tcPr>
            <w:tcW w:w="25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7"/>
              </w:rPr>
              <w:t>TFME</w:t>
            </w:r>
          </w:p>
        </w:tc>
        <w:tc>
          <w:tcPr>
            <w:tcW w:w="25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9"/>
              </w:rPr>
              <w:t>-</w:t>
            </w:r>
          </w:p>
        </w:tc>
        <w:tc>
          <w:tcPr>
            <w:tcW w:w="24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5"/>
              </w:rPr>
              <w:t>No</w:t>
            </w:r>
          </w:p>
        </w:tc>
        <w:tc>
          <w:tcPr>
            <w:tcW w:w="25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116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79"/>
              </w:rPr>
              <w:t>5</w:t>
            </w:r>
          </w:p>
        </w:tc>
        <w:tc>
          <w:tcPr>
            <w:tcW w:w="25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4"/>
              </w:rPr>
              <w:t>JHICC</w:t>
            </w:r>
          </w:p>
        </w:tc>
        <w:tc>
          <w:tcPr>
            <w:tcW w:w="25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1"/>
              </w:rPr>
              <w:t>87.43%</w:t>
            </w:r>
          </w:p>
        </w:tc>
        <w:tc>
          <w:tcPr>
            <w:tcW w:w="24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3"/>
              </w:rPr>
              <w:t>Yes</w:t>
            </w:r>
          </w:p>
        </w:tc>
        <w:tc>
          <w:tcPr>
            <w:tcW w:w="25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2"/>
              </w:rPr>
              <w:t>Goods on delivery</w:t>
            </w:r>
          </w:p>
        </w:tc>
        <w:tc>
          <w:tcPr>
            <w:tcW w:w="0" w:type="dxa"/>
            <w:vAlign w:val="bottom"/>
          </w:tcPr>
          <w:p>
            <w:pPr>
              <w:spacing w:after="0"/>
              <w:rPr>
                <w:sz w:val="1"/>
                <w:szCs w:val="1"/>
                <w:color w:val="auto"/>
              </w:rPr>
            </w:pPr>
          </w:p>
        </w:tc>
      </w:tr>
      <w:tr>
        <w:trPr>
          <w:trHeight w:val="223"/>
        </w:trPr>
        <w:tc>
          <w:tcPr>
            <w:tcW w:w="116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79"/>
              </w:rPr>
              <w:t>6</w:t>
            </w:r>
          </w:p>
        </w:tc>
        <w:tc>
          <w:tcPr>
            <w:tcW w:w="25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3"/>
              </w:rPr>
              <w:t>NSI</w:t>
            </w:r>
          </w:p>
        </w:tc>
        <w:tc>
          <w:tcPr>
            <w:tcW w:w="25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1"/>
              </w:rPr>
              <w:t>90.00%</w:t>
            </w:r>
          </w:p>
        </w:tc>
        <w:tc>
          <w:tcPr>
            <w:tcW w:w="24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3"/>
              </w:rPr>
              <w:t>Yes</w:t>
            </w:r>
          </w:p>
        </w:tc>
        <w:tc>
          <w:tcPr>
            <w:tcW w:w="25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2"/>
              </w:rPr>
              <w:t>Goods on delivery</w:t>
            </w:r>
          </w:p>
        </w:tc>
        <w:tc>
          <w:tcPr>
            <w:tcW w:w="0" w:type="dxa"/>
            <w:vAlign w:val="bottom"/>
          </w:tcPr>
          <w:p>
            <w:pPr>
              <w:spacing w:after="0"/>
              <w:rPr>
                <w:sz w:val="1"/>
                <w:szCs w:val="1"/>
                <w:color w:val="auto"/>
              </w:rPr>
            </w:pPr>
          </w:p>
        </w:tc>
      </w:tr>
      <w:tr>
        <w:trPr>
          <w:trHeight w:val="223"/>
        </w:trPr>
        <w:tc>
          <w:tcPr>
            <w:tcW w:w="116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79"/>
              </w:rPr>
              <w:t>7</w:t>
            </w:r>
          </w:p>
        </w:tc>
        <w:tc>
          <w:tcPr>
            <w:tcW w:w="25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3"/>
              </w:rPr>
              <w:t>NSI</w:t>
            </w:r>
          </w:p>
        </w:tc>
        <w:tc>
          <w:tcPr>
            <w:tcW w:w="25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1"/>
              </w:rPr>
              <w:t>90.00%</w:t>
            </w:r>
          </w:p>
        </w:tc>
        <w:tc>
          <w:tcPr>
            <w:tcW w:w="24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3"/>
              </w:rPr>
              <w:t>Yes</w:t>
            </w:r>
          </w:p>
        </w:tc>
        <w:tc>
          <w:tcPr>
            <w:tcW w:w="25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2"/>
              </w:rPr>
              <w:t>Goods on delivery</w:t>
            </w:r>
          </w:p>
        </w:tc>
        <w:tc>
          <w:tcPr>
            <w:tcW w:w="0" w:type="dxa"/>
            <w:vAlign w:val="bottom"/>
          </w:tcPr>
          <w:p>
            <w:pPr>
              <w:spacing w:after="0"/>
              <w:rPr>
                <w:sz w:val="1"/>
                <w:szCs w:val="1"/>
                <w:color w:val="auto"/>
              </w:rPr>
            </w:pPr>
          </w:p>
        </w:tc>
      </w:tr>
      <w:tr>
        <w:trPr>
          <w:trHeight w:val="223"/>
        </w:trPr>
        <w:tc>
          <w:tcPr>
            <w:tcW w:w="116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79"/>
              </w:rPr>
              <w:t>8</w:t>
            </w:r>
          </w:p>
        </w:tc>
        <w:tc>
          <w:tcPr>
            <w:tcW w:w="25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1"/>
              </w:rPr>
              <w:t>JRH</w:t>
            </w:r>
          </w:p>
        </w:tc>
        <w:tc>
          <w:tcPr>
            <w:tcW w:w="25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1"/>
              </w:rPr>
              <w:t>30.00%</w:t>
            </w:r>
          </w:p>
        </w:tc>
        <w:tc>
          <w:tcPr>
            <w:tcW w:w="24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3"/>
              </w:rPr>
              <w:t>Yes</w:t>
            </w:r>
          </w:p>
        </w:tc>
        <w:tc>
          <w:tcPr>
            <w:tcW w:w="25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2"/>
              </w:rPr>
              <w:t>Goods on delivery</w:t>
            </w:r>
          </w:p>
        </w:tc>
        <w:tc>
          <w:tcPr>
            <w:tcW w:w="0" w:type="dxa"/>
            <w:vAlign w:val="bottom"/>
          </w:tcPr>
          <w:p>
            <w:pPr>
              <w:spacing w:after="0"/>
              <w:rPr>
                <w:sz w:val="1"/>
                <w:szCs w:val="1"/>
                <w:color w:val="auto"/>
              </w:rPr>
            </w:pPr>
          </w:p>
        </w:tc>
      </w:tr>
      <w:tr>
        <w:trPr>
          <w:trHeight w:val="223"/>
        </w:trPr>
        <w:tc>
          <w:tcPr>
            <w:tcW w:w="116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79"/>
              </w:rPr>
              <w:t>9</w:t>
            </w:r>
          </w:p>
        </w:tc>
        <w:tc>
          <w:tcPr>
            <w:tcW w:w="25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0"/>
              </w:rPr>
              <w:t>Huahong Group</w:t>
            </w:r>
          </w:p>
        </w:tc>
        <w:tc>
          <w:tcPr>
            <w:tcW w:w="25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1"/>
              </w:rPr>
              <w:t>70.00%</w:t>
            </w:r>
          </w:p>
        </w:tc>
        <w:tc>
          <w:tcPr>
            <w:tcW w:w="24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3"/>
              </w:rPr>
              <w:t>Yes</w:t>
            </w:r>
          </w:p>
        </w:tc>
        <w:tc>
          <w:tcPr>
            <w:tcW w:w="25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2"/>
              </w:rPr>
              <w:t>Goods on delivery</w:t>
            </w:r>
          </w:p>
        </w:tc>
        <w:tc>
          <w:tcPr>
            <w:tcW w:w="0" w:type="dxa"/>
            <w:vAlign w:val="bottom"/>
          </w:tcPr>
          <w:p>
            <w:pPr>
              <w:spacing w:after="0"/>
              <w:rPr>
                <w:sz w:val="1"/>
                <w:szCs w:val="1"/>
                <w:color w:val="auto"/>
              </w:rPr>
            </w:pPr>
          </w:p>
        </w:tc>
      </w:tr>
      <w:tr>
        <w:trPr>
          <w:trHeight w:val="223"/>
        </w:trPr>
        <w:tc>
          <w:tcPr>
            <w:tcW w:w="116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9"/>
              </w:rPr>
              <w:t>10</w:t>
            </w:r>
          </w:p>
        </w:tc>
        <w:tc>
          <w:tcPr>
            <w:tcW w:w="25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7"/>
              </w:rPr>
              <w:t>SMIC</w:t>
            </w:r>
          </w:p>
        </w:tc>
        <w:tc>
          <w:tcPr>
            <w:tcW w:w="25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1"/>
              </w:rPr>
              <w:t>30.00%</w:t>
            </w:r>
          </w:p>
        </w:tc>
        <w:tc>
          <w:tcPr>
            <w:tcW w:w="24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3"/>
              </w:rPr>
              <w:t>Yes</w:t>
            </w:r>
          </w:p>
        </w:tc>
        <w:tc>
          <w:tcPr>
            <w:tcW w:w="25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2"/>
              </w:rPr>
              <w:t>Goods on delivery</w:t>
            </w:r>
          </w:p>
        </w:tc>
        <w:tc>
          <w:tcPr>
            <w:tcW w:w="0" w:type="dxa"/>
            <w:vAlign w:val="bottom"/>
          </w:tcPr>
          <w:p>
            <w:pPr>
              <w:spacing w:after="0"/>
              <w:rPr>
                <w:sz w:val="1"/>
                <w:szCs w:val="1"/>
                <w:color w:val="auto"/>
              </w:rPr>
            </w:pPr>
          </w:p>
        </w:tc>
      </w:tr>
    </w:tbl>
    <w:p>
      <w:pPr>
        <w:spacing w:after="0" w:line="222" w:lineRule="exact"/>
        <w:rPr>
          <w:sz w:val="20"/>
          <w:szCs w:val="20"/>
          <w:color w:val="auto"/>
        </w:rPr>
      </w:pPr>
    </w:p>
    <w:p>
      <w:pPr>
        <w:jc w:val="both"/>
        <w:ind w:firstLine="324"/>
        <w:spacing w:after="0" w:line="235" w:lineRule="auto"/>
        <w:rPr>
          <w:sz w:val="20"/>
          <w:szCs w:val="20"/>
          <w:color w:val="auto"/>
        </w:rPr>
      </w:pPr>
      <w:r>
        <w:rPr>
          <w:rFonts w:ascii="Arial" w:cs="Arial" w:eastAsia="Arial" w:hAnsi="Arial"/>
          <w:sz w:val="22"/>
          <w:szCs w:val="22"/>
          <w:color w:val="auto"/>
        </w:rPr>
        <w:t>The Company had no corresponding orders in hand and goods on delivery or unfinished goods for a sum of deposits received from TFME as of December 31, 2018. In January 2018, the Company entered into a sales contract (TFME2) with TFME, the contract of which was then canceled by TFME due to the change of its production and operation plan. In 2019, the Company refunded the deposits received under the TFME2 contract. Based on the machine (unfinished goods) under such contract, the Company produced the same type of machine which were sold to Xiamen Tongfu, and the revenue of such machine was recognized in November 2018.</w:t>
      </w:r>
    </w:p>
    <w:p>
      <w:pPr>
        <w:spacing w:after="0" w:line="215" w:lineRule="exact"/>
        <w:rPr>
          <w:sz w:val="20"/>
          <w:szCs w:val="20"/>
          <w:color w:val="auto"/>
        </w:rPr>
      </w:pPr>
    </w:p>
    <w:p>
      <w:pPr>
        <w:ind w:left="340"/>
        <w:spacing w:after="0"/>
        <w:rPr>
          <w:sz w:val="20"/>
          <w:szCs w:val="20"/>
          <w:color w:val="auto"/>
        </w:rPr>
      </w:pPr>
      <w:r>
        <w:rPr>
          <w:rFonts w:ascii="Arial" w:cs="Arial" w:eastAsia="Arial" w:hAnsi="Arial"/>
          <w:sz w:val="22"/>
          <w:szCs w:val="22"/>
          <w:color w:val="auto"/>
        </w:rPr>
        <w:t>4. December 31, 2017</w:t>
      </w:r>
    </w:p>
    <w:p>
      <w:pPr>
        <w:spacing w:after="0" w:line="233" w:lineRule="exact"/>
        <w:rPr>
          <w:sz w:val="20"/>
          <w:szCs w:val="20"/>
          <w:color w:val="auto"/>
        </w:rPr>
      </w:pPr>
    </w:p>
    <w:tbl>
      <w:tblPr>
        <w:tblLayout w:type="fixed"/>
        <w:tblInd w:w="10" w:type="dxa"/>
        <w:tblCellMar>
          <w:top w:w="0" w:type="dxa"/>
          <w:left w:w="0" w:type="dxa"/>
          <w:bottom w:w="0" w:type="dxa"/>
          <w:right w:w="0" w:type="dxa"/>
        </w:tblCellMar>
      </w:tblPr>
      <w:tr>
        <w:trPr>
          <w:trHeight w:val="274"/>
        </w:trPr>
        <w:tc>
          <w:tcPr>
            <w:tcW w:w="1160" w:type="dxa"/>
            <w:vAlign w:val="bottom"/>
          </w:tcPr>
          <w:p>
            <w:pPr>
              <w:spacing w:after="0"/>
              <w:rPr>
                <w:sz w:val="23"/>
                <w:szCs w:val="23"/>
                <w:color w:val="auto"/>
              </w:rPr>
            </w:pPr>
          </w:p>
        </w:tc>
        <w:tc>
          <w:tcPr>
            <w:tcW w:w="2540" w:type="dxa"/>
            <w:vAlign w:val="bottom"/>
          </w:tcPr>
          <w:p>
            <w:pPr>
              <w:spacing w:after="0"/>
              <w:rPr>
                <w:sz w:val="23"/>
                <w:szCs w:val="23"/>
                <w:color w:val="auto"/>
              </w:rPr>
            </w:pPr>
          </w:p>
        </w:tc>
        <w:tc>
          <w:tcPr>
            <w:tcW w:w="2500" w:type="dxa"/>
            <w:vAlign w:val="bottom"/>
          </w:tcPr>
          <w:p>
            <w:pPr>
              <w:spacing w:after="0"/>
              <w:rPr>
                <w:sz w:val="23"/>
                <w:szCs w:val="23"/>
                <w:color w:val="auto"/>
              </w:rPr>
            </w:pPr>
          </w:p>
        </w:tc>
        <w:tc>
          <w:tcPr>
            <w:tcW w:w="2480" w:type="dxa"/>
            <w:vAlign w:val="bottom"/>
          </w:tcPr>
          <w:p>
            <w:pPr>
              <w:spacing w:after="0"/>
              <w:rPr>
                <w:sz w:val="23"/>
                <w:szCs w:val="23"/>
                <w:color w:val="auto"/>
              </w:rPr>
            </w:pPr>
          </w:p>
        </w:tc>
        <w:tc>
          <w:tcPr>
            <w:tcW w:w="2560" w:type="dxa"/>
            <w:vAlign w:val="bottom"/>
          </w:tcPr>
          <w:p>
            <w:pPr>
              <w:ind w:left="980"/>
              <w:spacing w:after="0"/>
              <w:rPr>
                <w:sz w:val="20"/>
                <w:szCs w:val="20"/>
                <w:color w:val="auto"/>
              </w:rPr>
            </w:pPr>
            <w:r>
              <w:rPr>
                <w:rFonts w:ascii="Arial" w:cs="Arial" w:eastAsia="Arial" w:hAnsi="Arial"/>
                <w:sz w:val="22"/>
                <w:szCs w:val="22"/>
                <w:color w:val="auto"/>
                <w:w w:val="91"/>
              </w:rPr>
              <w:t>Unit: RMB10,000</w:t>
            </w:r>
          </w:p>
        </w:tc>
        <w:tc>
          <w:tcPr>
            <w:tcW w:w="0" w:type="dxa"/>
            <w:vAlign w:val="bottom"/>
          </w:tcPr>
          <w:p>
            <w:pPr>
              <w:spacing w:after="0"/>
              <w:rPr>
                <w:sz w:val="1"/>
                <w:szCs w:val="1"/>
                <w:color w:val="auto"/>
              </w:rPr>
            </w:pPr>
          </w:p>
        </w:tc>
      </w:tr>
      <w:tr>
        <w:trPr>
          <w:trHeight w:val="240"/>
        </w:trPr>
        <w:tc>
          <w:tcPr>
            <w:tcW w:w="1160" w:type="dxa"/>
            <w:vAlign w:val="bottom"/>
            <w:tcBorders>
              <w:bottom w:val="single" w:sz="8" w:color="auto"/>
            </w:tcBorders>
          </w:tcPr>
          <w:p>
            <w:pPr>
              <w:spacing w:after="0"/>
              <w:rPr>
                <w:sz w:val="20"/>
                <w:szCs w:val="20"/>
                <w:color w:val="auto"/>
              </w:rPr>
            </w:pPr>
          </w:p>
        </w:tc>
        <w:tc>
          <w:tcPr>
            <w:tcW w:w="2540" w:type="dxa"/>
            <w:vAlign w:val="bottom"/>
            <w:tcBorders>
              <w:bottom w:val="single" w:sz="8" w:color="auto"/>
            </w:tcBorders>
          </w:tcPr>
          <w:p>
            <w:pPr>
              <w:spacing w:after="0"/>
              <w:rPr>
                <w:sz w:val="20"/>
                <w:szCs w:val="20"/>
                <w:color w:val="auto"/>
              </w:rPr>
            </w:pPr>
          </w:p>
        </w:tc>
        <w:tc>
          <w:tcPr>
            <w:tcW w:w="2500" w:type="dxa"/>
            <w:vAlign w:val="bottom"/>
            <w:tcBorders>
              <w:bottom w:val="single" w:sz="8" w:color="auto"/>
            </w:tcBorders>
          </w:tcPr>
          <w:p>
            <w:pPr>
              <w:spacing w:after="0"/>
              <w:rPr>
                <w:sz w:val="20"/>
                <w:szCs w:val="20"/>
                <w:color w:val="auto"/>
              </w:rPr>
            </w:pPr>
          </w:p>
        </w:tc>
        <w:tc>
          <w:tcPr>
            <w:tcW w:w="2480" w:type="dxa"/>
            <w:vAlign w:val="bottom"/>
            <w:tcBorders>
              <w:bottom w:val="single" w:sz="8" w:color="auto"/>
            </w:tcBorders>
          </w:tcPr>
          <w:p>
            <w:pPr>
              <w:spacing w:after="0"/>
              <w:rPr>
                <w:sz w:val="20"/>
                <w:szCs w:val="20"/>
                <w:color w:val="auto"/>
              </w:rPr>
            </w:pPr>
          </w:p>
        </w:tc>
        <w:tc>
          <w:tcPr>
            <w:tcW w:w="256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1160" w:type="dxa"/>
            <w:vAlign w:val="bottom"/>
            <w:tcBorders>
              <w:left w:val="single" w:sz="8" w:color="auto"/>
              <w:right w:val="single" w:sz="8" w:color="auto"/>
            </w:tcBorders>
          </w:tcPr>
          <w:p>
            <w:pPr>
              <w:spacing w:after="0"/>
              <w:rPr>
                <w:sz w:val="17"/>
                <w:szCs w:val="17"/>
                <w:color w:val="auto"/>
              </w:rPr>
            </w:pPr>
          </w:p>
        </w:tc>
        <w:tc>
          <w:tcPr>
            <w:tcW w:w="2540" w:type="dxa"/>
            <w:vAlign w:val="bottom"/>
            <w:tcBorders>
              <w:right w:val="single" w:sz="8" w:color="auto"/>
            </w:tcBorders>
          </w:tcPr>
          <w:p>
            <w:pPr>
              <w:spacing w:after="0"/>
              <w:rPr>
                <w:sz w:val="17"/>
                <w:szCs w:val="17"/>
                <w:color w:val="auto"/>
              </w:rPr>
            </w:pPr>
          </w:p>
        </w:tc>
        <w:tc>
          <w:tcPr>
            <w:tcW w:w="2500" w:type="dxa"/>
            <w:vAlign w:val="bottom"/>
            <w:tcBorders>
              <w:right w:val="single" w:sz="8" w:color="auto"/>
            </w:tcBorders>
          </w:tcPr>
          <w:p>
            <w:pPr>
              <w:spacing w:after="0"/>
              <w:rPr>
                <w:sz w:val="17"/>
                <w:szCs w:val="17"/>
                <w:color w:val="auto"/>
              </w:rPr>
            </w:pPr>
          </w:p>
        </w:tc>
        <w:tc>
          <w:tcPr>
            <w:tcW w:w="24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b w:val="1"/>
                <w:bCs w:val="1"/>
                <w:color w:val="auto"/>
                <w:w w:val="94"/>
              </w:rPr>
              <w:t>Whether</w:t>
            </w:r>
          </w:p>
        </w:tc>
        <w:tc>
          <w:tcPr>
            <w:tcW w:w="2560" w:type="dxa"/>
            <w:vAlign w:val="bottom"/>
            <w:tcBorders>
              <w:right w:val="single" w:sz="8" w:color="auto"/>
            </w:tcBorders>
          </w:tcPr>
          <w:p>
            <w:pPr>
              <w:jc w:val="center"/>
              <w:spacing w:after="0" w:line="198" w:lineRule="exact"/>
              <w:rPr>
                <w:sz w:val="20"/>
                <w:szCs w:val="20"/>
                <w:color w:val="auto"/>
              </w:rPr>
            </w:pPr>
            <w:r>
              <w:rPr>
                <w:rFonts w:ascii="Arial" w:cs="Arial" w:eastAsia="Arial" w:hAnsi="Arial"/>
                <w:sz w:val="18"/>
                <w:szCs w:val="18"/>
                <w:b w:val="1"/>
                <w:bCs w:val="1"/>
                <w:color w:val="auto"/>
                <w:w w:val="88"/>
              </w:rPr>
              <w:t>Goods on</w:t>
            </w:r>
          </w:p>
        </w:tc>
        <w:tc>
          <w:tcPr>
            <w:tcW w:w="0" w:type="dxa"/>
            <w:vAlign w:val="bottom"/>
          </w:tcPr>
          <w:p>
            <w:pPr>
              <w:spacing w:after="0"/>
              <w:rPr>
                <w:sz w:val="1"/>
                <w:szCs w:val="1"/>
                <w:color w:val="auto"/>
              </w:rPr>
            </w:pPr>
          </w:p>
        </w:tc>
      </w:tr>
      <w:tr>
        <w:trPr>
          <w:trHeight w:val="108"/>
        </w:trPr>
        <w:tc>
          <w:tcPr>
            <w:tcW w:w="1160" w:type="dxa"/>
            <w:vAlign w:val="bottom"/>
            <w:tcBorders>
              <w:left w:val="single" w:sz="8" w:color="auto"/>
              <w:right w:val="single" w:sz="8" w:color="auto"/>
            </w:tcBorders>
          </w:tcPr>
          <w:p>
            <w:pPr>
              <w:spacing w:after="0"/>
              <w:rPr>
                <w:sz w:val="9"/>
                <w:szCs w:val="9"/>
                <w:color w:val="auto"/>
              </w:rPr>
            </w:pPr>
          </w:p>
        </w:tc>
        <w:tc>
          <w:tcPr>
            <w:tcW w:w="2540" w:type="dxa"/>
            <w:vAlign w:val="bottom"/>
            <w:tcBorders>
              <w:right w:val="single" w:sz="8" w:color="auto"/>
            </w:tcBorders>
          </w:tcPr>
          <w:p>
            <w:pPr>
              <w:spacing w:after="0"/>
              <w:rPr>
                <w:sz w:val="9"/>
                <w:szCs w:val="9"/>
                <w:color w:val="auto"/>
              </w:rPr>
            </w:pPr>
          </w:p>
        </w:tc>
        <w:tc>
          <w:tcPr>
            <w:tcW w:w="25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b w:val="1"/>
                <w:bCs w:val="1"/>
                <w:color w:val="auto"/>
                <w:w w:val="87"/>
              </w:rPr>
              <w:t>Ratio of deposits</w:t>
            </w:r>
          </w:p>
        </w:tc>
        <w:tc>
          <w:tcPr>
            <w:tcW w:w="2480" w:type="dxa"/>
            <w:vAlign w:val="bottom"/>
            <w:tcBorders>
              <w:right w:val="single" w:sz="8" w:color="auto"/>
            </w:tcBorders>
            <w:vMerge w:val="continue"/>
          </w:tcPr>
          <w:p>
            <w:pPr>
              <w:spacing w:after="0"/>
              <w:rPr>
                <w:sz w:val="9"/>
                <w:szCs w:val="9"/>
                <w:color w:val="auto"/>
              </w:rPr>
            </w:pPr>
          </w:p>
        </w:tc>
        <w:tc>
          <w:tcPr>
            <w:tcW w:w="256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b w:val="1"/>
                <w:bCs w:val="1"/>
                <w:color w:val="auto"/>
                <w:w w:val="91"/>
              </w:rPr>
              <w:t>delivery</w:t>
            </w:r>
          </w:p>
        </w:tc>
        <w:tc>
          <w:tcPr>
            <w:tcW w:w="0" w:type="dxa"/>
            <w:vAlign w:val="bottom"/>
          </w:tcPr>
          <w:p>
            <w:pPr>
              <w:spacing w:after="0"/>
              <w:rPr>
                <w:sz w:val="1"/>
                <w:szCs w:val="1"/>
                <w:color w:val="auto"/>
              </w:rPr>
            </w:pPr>
          </w:p>
        </w:tc>
      </w:tr>
      <w:tr>
        <w:trPr>
          <w:trHeight w:val="108"/>
        </w:trPr>
        <w:tc>
          <w:tcPr>
            <w:tcW w:w="116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18"/>
                <w:szCs w:val="18"/>
                <w:b w:val="1"/>
                <w:bCs w:val="1"/>
                <w:color w:val="auto"/>
                <w:w w:val="93"/>
              </w:rPr>
              <w:t>S/N</w:t>
            </w:r>
          </w:p>
        </w:tc>
        <w:tc>
          <w:tcPr>
            <w:tcW w:w="254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b w:val="1"/>
                <w:bCs w:val="1"/>
                <w:color w:val="auto"/>
                <w:w w:val="89"/>
              </w:rPr>
              <w:t>Customer Name</w:t>
            </w:r>
          </w:p>
        </w:tc>
        <w:tc>
          <w:tcPr>
            <w:tcW w:w="2500" w:type="dxa"/>
            <w:vAlign w:val="bottom"/>
            <w:tcBorders>
              <w:right w:val="single" w:sz="8" w:color="auto"/>
            </w:tcBorders>
            <w:vMerge w:val="continue"/>
          </w:tcPr>
          <w:p>
            <w:pPr>
              <w:spacing w:after="0"/>
              <w:rPr>
                <w:sz w:val="9"/>
                <w:szCs w:val="9"/>
                <w:color w:val="auto"/>
              </w:rPr>
            </w:pPr>
          </w:p>
        </w:tc>
        <w:tc>
          <w:tcPr>
            <w:tcW w:w="24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b w:val="1"/>
                <w:bCs w:val="1"/>
                <w:color w:val="auto"/>
                <w:w w:val="87"/>
              </w:rPr>
              <w:t>corresponding to</w:t>
            </w:r>
          </w:p>
        </w:tc>
        <w:tc>
          <w:tcPr>
            <w:tcW w:w="2560" w:type="dxa"/>
            <w:vAlign w:val="bottom"/>
            <w:tcBorders>
              <w:right w:val="single" w:sz="8" w:color="auto"/>
            </w:tcBorders>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1160" w:type="dxa"/>
            <w:vAlign w:val="bottom"/>
            <w:tcBorders>
              <w:left w:val="single" w:sz="8" w:color="auto"/>
              <w:right w:val="single" w:sz="8" w:color="auto"/>
            </w:tcBorders>
            <w:vMerge w:val="continue"/>
          </w:tcPr>
          <w:p>
            <w:pPr>
              <w:spacing w:after="0"/>
              <w:rPr>
                <w:sz w:val="9"/>
                <w:szCs w:val="9"/>
                <w:color w:val="auto"/>
              </w:rPr>
            </w:pPr>
          </w:p>
        </w:tc>
        <w:tc>
          <w:tcPr>
            <w:tcW w:w="2540" w:type="dxa"/>
            <w:vAlign w:val="bottom"/>
            <w:tcBorders>
              <w:right w:val="single" w:sz="8" w:color="auto"/>
            </w:tcBorders>
            <w:vMerge w:val="continue"/>
          </w:tcPr>
          <w:p>
            <w:pPr>
              <w:spacing w:after="0"/>
              <w:rPr>
                <w:sz w:val="9"/>
                <w:szCs w:val="9"/>
                <w:color w:val="auto"/>
              </w:rPr>
            </w:pPr>
          </w:p>
        </w:tc>
        <w:tc>
          <w:tcPr>
            <w:tcW w:w="25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b w:val="1"/>
                <w:bCs w:val="1"/>
                <w:color w:val="auto"/>
                <w:w w:val="87"/>
              </w:rPr>
              <w:t>received</w:t>
            </w:r>
          </w:p>
        </w:tc>
        <w:tc>
          <w:tcPr>
            <w:tcW w:w="2480" w:type="dxa"/>
            <w:vAlign w:val="bottom"/>
            <w:tcBorders>
              <w:right w:val="single" w:sz="8" w:color="auto"/>
            </w:tcBorders>
            <w:vMerge w:val="continue"/>
          </w:tcPr>
          <w:p>
            <w:pPr>
              <w:spacing w:after="0"/>
              <w:rPr>
                <w:sz w:val="9"/>
                <w:szCs w:val="9"/>
                <w:color w:val="auto"/>
              </w:rPr>
            </w:pPr>
          </w:p>
        </w:tc>
        <w:tc>
          <w:tcPr>
            <w:tcW w:w="256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b w:val="1"/>
                <w:bCs w:val="1"/>
                <w:color w:val="auto"/>
                <w:w w:val="89"/>
              </w:rPr>
              <w:t>/unfinished</w:t>
            </w:r>
          </w:p>
        </w:tc>
        <w:tc>
          <w:tcPr>
            <w:tcW w:w="0" w:type="dxa"/>
            <w:vAlign w:val="bottom"/>
          </w:tcPr>
          <w:p>
            <w:pPr>
              <w:spacing w:after="0"/>
              <w:rPr>
                <w:sz w:val="1"/>
                <w:szCs w:val="1"/>
                <w:color w:val="auto"/>
              </w:rPr>
            </w:pPr>
          </w:p>
        </w:tc>
      </w:tr>
      <w:tr>
        <w:trPr>
          <w:trHeight w:val="108"/>
        </w:trPr>
        <w:tc>
          <w:tcPr>
            <w:tcW w:w="1160" w:type="dxa"/>
            <w:vAlign w:val="bottom"/>
            <w:tcBorders>
              <w:left w:val="single" w:sz="8" w:color="auto"/>
              <w:right w:val="single" w:sz="8" w:color="auto"/>
            </w:tcBorders>
          </w:tcPr>
          <w:p>
            <w:pPr>
              <w:spacing w:after="0"/>
              <w:rPr>
                <w:sz w:val="9"/>
                <w:szCs w:val="9"/>
                <w:color w:val="auto"/>
              </w:rPr>
            </w:pPr>
          </w:p>
        </w:tc>
        <w:tc>
          <w:tcPr>
            <w:tcW w:w="2540" w:type="dxa"/>
            <w:vAlign w:val="bottom"/>
            <w:tcBorders>
              <w:right w:val="single" w:sz="8" w:color="auto"/>
            </w:tcBorders>
          </w:tcPr>
          <w:p>
            <w:pPr>
              <w:spacing w:after="0"/>
              <w:rPr>
                <w:sz w:val="9"/>
                <w:szCs w:val="9"/>
                <w:color w:val="auto"/>
              </w:rPr>
            </w:pPr>
          </w:p>
        </w:tc>
        <w:tc>
          <w:tcPr>
            <w:tcW w:w="2500" w:type="dxa"/>
            <w:vAlign w:val="bottom"/>
            <w:tcBorders>
              <w:right w:val="single" w:sz="8" w:color="auto"/>
            </w:tcBorders>
            <w:vMerge w:val="continue"/>
          </w:tcPr>
          <w:p>
            <w:pPr>
              <w:spacing w:after="0"/>
              <w:rPr>
                <w:sz w:val="9"/>
                <w:szCs w:val="9"/>
                <w:color w:val="auto"/>
              </w:rPr>
            </w:pPr>
          </w:p>
        </w:tc>
        <w:tc>
          <w:tcPr>
            <w:tcW w:w="24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b w:val="1"/>
                <w:bCs w:val="1"/>
                <w:color w:val="auto"/>
                <w:w w:val="91"/>
              </w:rPr>
              <w:t>orders in hand</w:t>
            </w:r>
          </w:p>
        </w:tc>
        <w:tc>
          <w:tcPr>
            <w:tcW w:w="2560" w:type="dxa"/>
            <w:vAlign w:val="bottom"/>
            <w:tcBorders>
              <w:right w:val="single" w:sz="8" w:color="auto"/>
            </w:tcBorders>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26"/>
        </w:trPr>
        <w:tc>
          <w:tcPr>
            <w:tcW w:w="1160" w:type="dxa"/>
            <w:vAlign w:val="bottom"/>
            <w:tcBorders>
              <w:left w:val="single" w:sz="8" w:color="auto"/>
              <w:right w:val="single" w:sz="8" w:color="auto"/>
            </w:tcBorders>
          </w:tcPr>
          <w:p>
            <w:pPr>
              <w:spacing w:after="0"/>
              <w:rPr>
                <w:sz w:val="10"/>
                <w:szCs w:val="10"/>
                <w:color w:val="auto"/>
              </w:rPr>
            </w:pPr>
          </w:p>
        </w:tc>
        <w:tc>
          <w:tcPr>
            <w:tcW w:w="2540" w:type="dxa"/>
            <w:vAlign w:val="bottom"/>
            <w:tcBorders>
              <w:right w:val="single" w:sz="8" w:color="auto"/>
            </w:tcBorders>
          </w:tcPr>
          <w:p>
            <w:pPr>
              <w:spacing w:after="0"/>
              <w:rPr>
                <w:sz w:val="10"/>
                <w:szCs w:val="10"/>
                <w:color w:val="auto"/>
              </w:rPr>
            </w:pPr>
          </w:p>
        </w:tc>
        <w:tc>
          <w:tcPr>
            <w:tcW w:w="2500" w:type="dxa"/>
            <w:vAlign w:val="bottom"/>
            <w:tcBorders>
              <w:right w:val="single" w:sz="8" w:color="auto"/>
            </w:tcBorders>
          </w:tcPr>
          <w:p>
            <w:pPr>
              <w:spacing w:after="0"/>
              <w:rPr>
                <w:sz w:val="10"/>
                <w:szCs w:val="10"/>
                <w:color w:val="auto"/>
              </w:rPr>
            </w:pPr>
          </w:p>
        </w:tc>
        <w:tc>
          <w:tcPr>
            <w:tcW w:w="2480" w:type="dxa"/>
            <w:vAlign w:val="bottom"/>
            <w:tcBorders>
              <w:right w:val="single" w:sz="8" w:color="auto"/>
            </w:tcBorders>
            <w:vMerge w:val="continue"/>
          </w:tcPr>
          <w:p>
            <w:pPr>
              <w:spacing w:after="0"/>
              <w:rPr>
                <w:sz w:val="10"/>
                <w:szCs w:val="10"/>
                <w:color w:val="auto"/>
              </w:rPr>
            </w:pPr>
          </w:p>
        </w:tc>
        <w:tc>
          <w:tcPr>
            <w:tcW w:w="256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b w:val="1"/>
                <w:bCs w:val="1"/>
                <w:color w:val="auto"/>
                <w:w w:val="81"/>
              </w:rPr>
              <w:t>goods</w:t>
            </w:r>
          </w:p>
        </w:tc>
        <w:tc>
          <w:tcPr>
            <w:tcW w:w="0" w:type="dxa"/>
            <w:vAlign w:val="bottom"/>
          </w:tcPr>
          <w:p>
            <w:pPr>
              <w:spacing w:after="0"/>
              <w:rPr>
                <w:sz w:val="1"/>
                <w:szCs w:val="1"/>
                <w:color w:val="auto"/>
              </w:rPr>
            </w:pPr>
          </w:p>
        </w:tc>
      </w:tr>
      <w:tr>
        <w:trPr>
          <w:trHeight w:val="115"/>
        </w:trPr>
        <w:tc>
          <w:tcPr>
            <w:tcW w:w="1160" w:type="dxa"/>
            <w:vAlign w:val="bottom"/>
            <w:tcBorders>
              <w:left w:val="single" w:sz="8" w:color="auto"/>
              <w:bottom w:val="single" w:sz="8" w:color="auto"/>
              <w:right w:val="single" w:sz="8" w:color="auto"/>
            </w:tcBorders>
          </w:tcPr>
          <w:p>
            <w:pPr>
              <w:spacing w:after="0"/>
              <w:rPr>
                <w:sz w:val="10"/>
                <w:szCs w:val="10"/>
                <w:color w:val="auto"/>
              </w:rPr>
            </w:pPr>
          </w:p>
        </w:tc>
        <w:tc>
          <w:tcPr>
            <w:tcW w:w="2540" w:type="dxa"/>
            <w:vAlign w:val="bottom"/>
            <w:tcBorders>
              <w:bottom w:val="single" w:sz="8" w:color="auto"/>
              <w:right w:val="single" w:sz="8" w:color="auto"/>
            </w:tcBorders>
          </w:tcPr>
          <w:p>
            <w:pPr>
              <w:spacing w:after="0"/>
              <w:rPr>
                <w:sz w:val="10"/>
                <w:szCs w:val="10"/>
                <w:color w:val="auto"/>
              </w:rPr>
            </w:pPr>
          </w:p>
        </w:tc>
        <w:tc>
          <w:tcPr>
            <w:tcW w:w="2500" w:type="dxa"/>
            <w:vAlign w:val="bottom"/>
            <w:tcBorders>
              <w:bottom w:val="single" w:sz="8" w:color="auto"/>
              <w:right w:val="single" w:sz="8" w:color="auto"/>
            </w:tcBorders>
          </w:tcPr>
          <w:p>
            <w:pPr>
              <w:spacing w:after="0"/>
              <w:rPr>
                <w:sz w:val="10"/>
                <w:szCs w:val="10"/>
                <w:color w:val="auto"/>
              </w:rPr>
            </w:pPr>
          </w:p>
        </w:tc>
        <w:tc>
          <w:tcPr>
            <w:tcW w:w="2480" w:type="dxa"/>
            <w:vAlign w:val="bottom"/>
            <w:tcBorders>
              <w:bottom w:val="single" w:sz="8" w:color="auto"/>
              <w:right w:val="single" w:sz="8" w:color="auto"/>
            </w:tcBorders>
          </w:tcPr>
          <w:p>
            <w:pPr>
              <w:spacing w:after="0"/>
              <w:rPr>
                <w:sz w:val="10"/>
                <w:szCs w:val="10"/>
                <w:color w:val="auto"/>
              </w:rPr>
            </w:pPr>
          </w:p>
        </w:tc>
        <w:tc>
          <w:tcPr>
            <w:tcW w:w="2560" w:type="dxa"/>
            <w:vAlign w:val="bottom"/>
            <w:tcBorders>
              <w:bottom w:val="single" w:sz="8" w:color="auto"/>
              <w:right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23"/>
        </w:trPr>
        <w:tc>
          <w:tcPr>
            <w:tcW w:w="116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79"/>
              </w:rPr>
              <w:t>1</w:t>
            </w:r>
          </w:p>
        </w:tc>
        <w:tc>
          <w:tcPr>
            <w:tcW w:w="25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4"/>
              </w:rPr>
              <w:t>Nepes</w:t>
            </w:r>
          </w:p>
        </w:tc>
        <w:tc>
          <w:tcPr>
            <w:tcW w:w="25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1"/>
              </w:rPr>
              <w:t>20.00%</w:t>
            </w:r>
          </w:p>
        </w:tc>
        <w:tc>
          <w:tcPr>
            <w:tcW w:w="24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3"/>
              </w:rPr>
              <w:t>Yes</w:t>
            </w:r>
          </w:p>
        </w:tc>
        <w:tc>
          <w:tcPr>
            <w:tcW w:w="25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0"/>
              </w:rPr>
              <w:t>Unfinished goods</w:t>
            </w:r>
          </w:p>
        </w:tc>
        <w:tc>
          <w:tcPr>
            <w:tcW w:w="0" w:type="dxa"/>
            <w:vAlign w:val="bottom"/>
          </w:tcPr>
          <w:p>
            <w:pPr>
              <w:spacing w:after="0"/>
              <w:rPr>
                <w:sz w:val="1"/>
                <w:szCs w:val="1"/>
                <w:color w:val="auto"/>
              </w:rPr>
            </w:pPr>
          </w:p>
        </w:tc>
      </w:tr>
      <w:tr>
        <w:trPr>
          <w:trHeight w:val="223"/>
        </w:trPr>
        <w:tc>
          <w:tcPr>
            <w:tcW w:w="116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79"/>
              </w:rPr>
              <w:t>2</w:t>
            </w:r>
          </w:p>
        </w:tc>
        <w:tc>
          <w:tcPr>
            <w:tcW w:w="25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1"/>
              </w:rPr>
              <w:t>JRH</w:t>
            </w:r>
          </w:p>
        </w:tc>
        <w:tc>
          <w:tcPr>
            <w:tcW w:w="25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1"/>
              </w:rPr>
              <w:t>30.00%</w:t>
            </w:r>
          </w:p>
        </w:tc>
        <w:tc>
          <w:tcPr>
            <w:tcW w:w="24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3"/>
              </w:rPr>
              <w:t>Yes</w:t>
            </w:r>
          </w:p>
        </w:tc>
        <w:tc>
          <w:tcPr>
            <w:tcW w:w="25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2"/>
              </w:rPr>
              <w:t>Goods on delivery</w:t>
            </w:r>
          </w:p>
        </w:tc>
        <w:tc>
          <w:tcPr>
            <w:tcW w:w="0" w:type="dxa"/>
            <w:vAlign w:val="bottom"/>
          </w:tcPr>
          <w:p>
            <w:pPr>
              <w:spacing w:after="0"/>
              <w:rPr>
                <w:sz w:val="1"/>
                <w:szCs w:val="1"/>
                <w:color w:val="auto"/>
              </w:rPr>
            </w:pPr>
          </w:p>
        </w:tc>
      </w:tr>
      <w:tr>
        <w:trPr>
          <w:trHeight w:val="223"/>
        </w:trPr>
        <w:tc>
          <w:tcPr>
            <w:tcW w:w="116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79"/>
              </w:rPr>
              <w:t>3</w:t>
            </w:r>
          </w:p>
        </w:tc>
        <w:tc>
          <w:tcPr>
            <w:tcW w:w="25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1"/>
              </w:rPr>
              <w:t>Xiamen Tongfu</w:t>
            </w:r>
          </w:p>
        </w:tc>
        <w:tc>
          <w:tcPr>
            <w:tcW w:w="25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1"/>
              </w:rPr>
              <w:t>20.00%</w:t>
            </w:r>
          </w:p>
        </w:tc>
        <w:tc>
          <w:tcPr>
            <w:tcW w:w="24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3"/>
              </w:rPr>
              <w:t>Yes</w:t>
            </w:r>
          </w:p>
        </w:tc>
        <w:tc>
          <w:tcPr>
            <w:tcW w:w="25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2"/>
              </w:rPr>
              <w:t>Goods on delivery</w:t>
            </w:r>
          </w:p>
        </w:tc>
        <w:tc>
          <w:tcPr>
            <w:tcW w:w="0" w:type="dxa"/>
            <w:vAlign w:val="bottom"/>
          </w:tcPr>
          <w:p>
            <w:pPr>
              <w:spacing w:after="0"/>
              <w:rPr>
                <w:sz w:val="1"/>
                <w:szCs w:val="1"/>
                <w:color w:val="auto"/>
              </w:rPr>
            </w:pPr>
          </w:p>
        </w:tc>
      </w:tr>
      <w:tr>
        <w:trPr>
          <w:trHeight w:val="223"/>
        </w:trPr>
        <w:tc>
          <w:tcPr>
            <w:tcW w:w="116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79"/>
              </w:rPr>
              <w:t>4</w:t>
            </w:r>
          </w:p>
        </w:tc>
        <w:tc>
          <w:tcPr>
            <w:tcW w:w="25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2"/>
              </w:rPr>
              <w:t>Wafer Works</w:t>
            </w:r>
          </w:p>
        </w:tc>
        <w:tc>
          <w:tcPr>
            <w:tcW w:w="25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1"/>
              </w:rPr>
              <w:t>70.00%</w:t>
            </w:r>
          </w:p>
        </w:tc>
        <w:tc>
          <w:tcPr>
            <w:tcW w:w="24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3"/>
              </w:rPr>
              <w:t>Yes</w:t>
            </w:r>
          </w:p>
        </w:tc>
        <w:tc>
          <w:tcPr>
            <w:tcW w:w="25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2"/>
              </w:rPr>
              <w:t>Goods on delivery</w:t>
            </w:r>
          </w:p>
        </w:tc>
        <w:tc>
          <w:tcPr>
            <w:tcW w:w="0" w:type="dxa"/>
            <w:vAlign w:val="bottom"/>
          </w:tcPr>
          <w:p>
            <w:pPr>
              <w:spacing w:after="0"/>
              <w:rPr>
                <w:sz w:val="1"/>
                <w:szCs w:val="1"/>
                <w:color w:val="auto"/>
              </w:rPr>
            </w:pPr>
          </w:p>
        </w:tc>
      </w:tr>
    </w:tbl>
    <w:p>
      <w:pPr>
        <w:spacing w:after="0" w:line="222" w:lineRule="exact"/>
        <w:rPr>
          <w:sz w:val="20"/>
          <w:szCs w:val="20"/>
          <w:color w:val="auto"/>
        </w:rPr>
      </w:pPr>
    </w:p>
    <w:p>
      <w:pPr>
        <w:ind w:left="340"/>
        <w:spacing w:after="0"/>
        <w:rPr>
          <w:sz w:val="20"/>
          <w:szCs w:val="20"/>
          <w:color w:val="auto"/>
        </w:rPr>
      </w:pPr>
      <w:r>
        <w:rPr>
          <w:rFonts w:ascii="Arial" w:cs="Arial" w:eastAsia="Arial" w:hAnsi="Arial"/>
          <w:sz w:val="21"/>
          <w:szCs w:val="21"/>
          <w:color w:val="auto"/>
        </w:rPr>
        <w:t>The above information has been disclosed in “Q24” of the Reply to the Letter of First Round Review-related Inquiries.</w:t>
      </w: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8-4-1-60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64" w:name="page65"/>
    <w:bookmarkEnd w:id="64"/>
    <w:p>
      <w:pPr>
        <w:jc w:val="both"/>
        <w:ind w:firstLine="324"/>
        <w:spacing w:after="0" w:line="263" w:lineRule="auto"/>
        <w:rPr>
          <w:sz w:val="20"/>
          <w:szCs w:val="20"/>
          <w:color w:val="auto"/>
        </w:rPr>
      </w:pPr>
      <w:r>
        <w:rPr>
          <w:rFonts w:ascii="Arial" w:cs="Arial" w:eastAsia="Arial" w:hAnsi="Arial"/>
          <w:sz w:val="18"/>
          <w:szCs w:val="18"/>
          <w:color w:val="auto"/>
        </w:rPr>
        <w:t>In sum, JCAP was unclear about the Issuer’s revenue recognition policy and had a misunderstanding of the accounting standards for goods on delivery, mistakenly identifying that the revenue can be recognized after delivery of goods or collection of payment. The goods on delivery of the Issuer at the end of 2019 were accurately reported.</w:t>
      </w:r>
    </w:p>
    <w:p>
      <w:pPr>
        <w:spacing w:after="0" w:line="197" w:lineRule="exact"/>
        <w:rPr>
          <w:sz w:val="20"/>
          <w:szCs w:val="20"/>
          <w:color w:val="auto"/>
        </w:rPr>
      </w:pPr>
    </w:p>
    <w:p>
      <w:pPr>
        <w:ind w:left="600" w:hanging="268"/>
        <w:spacing w:after="0"/>
        <w:tabs>
          <w:tab w:leader="none" w:pos="600" w:val="left"/>
        </w:tabs>
        <w:numPr>
          <w:ilvl w:val="0"/>
          <w:numId w:val="64"/>
        </w:numPr>
        <w:rPr>
          <w:rFonts w:ascii="Arial" w:cs="Arial" w:eastAsia="Arial" w:hAnsi="Arial"/>
          <w:sz w:val="22"/>
          <w:szCs w:val="22"/>
          <w:b w:val="1"/>
          <w:bCs w:val="1"/>
          <w:color w:val="auto"/>
        </w:rPr>
      </w:pPr>
      <w:r>
        <w:rPr>
          <w:rFonts w:ascii="Arial" w:cs="Arial" w:eastAsia="Arial" w:hAnsi="Arial"/>
          <w:sz w:val="22"/>
          <w:szCs w:val="22"/>
          <w:b w:val="1"/>
          <w:bCs w:val="1"/>
          <w:color w:val="auto"/>
        </w:rPr>
        <w:t>Verification Procedures and Opinions</w:t>
      </w:r>
    </w:p>
    <w:p>
      <w:pPr>
        <w:spacing w:after="0" w:line="233" w:lineRule="exact"/>
        <w:rPr>
          <w:rFonts w:ascii="Arial" w:cs="Arial" w:eastAsia="Arial" w:hAnsi="Arial"/>
          <w:sz w:val="22"/>
          <w:szCs w:val="22"/>
          <w:b w:val="1"/>
          <w:bCs w:val="1"/>
          <w:color w:val="auto"/>
        </w:rPr>
      </w:pPr>
    </w:p>
    <w:p>
      <w:pPr>
        <w:ind w:left="340"/>
        <w:spacing w:after="0"/>
        <w:rPr>
          <w:rFonts w:ascii="Arial" w:cs="Arial" w:eastAsia="Arial" w:hAnsi="Arial"/>
          <w:sz w:val="22"/>
          <w:szCs w:val="22"/>
          <w:b w:val="1"/>
          <w:bCs w:val="1"/>
          <w:color w:val="auto"/>
        </w:rPr>
      </w:pPr>
      <w:r>
        <w:rPr>
          <w:rFonts w:ascii="Arial" w:cs="Arial" w:eastAsia="Arial" w:hAnsi="Arial"/>
          <w:sz w:val="22"/>
          <w:szCs w:val="22"/>
          <w:b w:val="1"/>
          <w:bCs w:val="1"/>
          <w:color w:val="auto"/>
        </w:rPr>
        <w:t>(i) Verification Procedures</w:t>
      </w:r>
    </w:p>
    <w:p>
      <w:pPr>
        <w:spacing w:after="0" w:line="246" w:lineRule="exact"/>
        <w:rPr>
          <w:sz w:val="20"/>
          <w:szCs w:val="20"/>
          <w:color w:val="auto"/>
        </w:rPr>
      </w:pPr>
    </w:p>
    <w:p>
      <w:pPr>
        <w:ind w:left="340"/>
        <w:spacing w:after="0"/>
        <w:rPr>
          <w:sz w:val="20"/>
          <w:szCs w:val="20"/>
          <w:color w:val="auto"/>
        </w:rPr>
      </w:pPr>
      <w:r>
        <w:rPr>
          <w:rFonts w:ascii="Arial" w:cs="Arial" w:eastAsia="Arial" w:hAnsi="Arial"/>
          <w:sz w:val="18"/>
          <w:szCs w:val="18"/>
          <w:color w:val="auto"/>
        </w:rPr>
        <w:t>Before the release of the Short-sell Report, the Sponsor performed the following verification procedures:</w:t>
      </w:r>
    </w:p>
    <w:p>
      <w:pPr>
        <w:spacing w:after="0" w:line="252" w:lineRule="exact"/>
        <w:rPr>
          <w:sz w:val="20"/>
          <w:szCs w:val="20"/>
          <w:color w:val="auto"/>
        </w:rPr>
      </w:pPr>
    </w:p>
    <w:p>
      <w:pPr>
        <w:ind w:left="520" w:hanging="188"/>
        <w:spacing w:after="0"/>
        <w:tabs>
          <w:tab w:leader="none" w:pos="520" w:val="left"/>
        </w:tabs>
        <w:numPr>
          <w:ilvl w:val="0"/>
          <w:numId w:val="65"/>
        </w:numPr>
        <w:rPr>
          <w:rFonts w:ascii="Arial" w:cs="Arial" w:eastAsia="Arial" w:hAnsi="Arial"/>
          <w:sz w:val="17"/>
          <w:szCs w:val="17"/>
          <w:color w:val="auto"/>
        </w:rPr>
      </w:pPr>
      <w:r>
        <w:rPr>
          <w:rFonts w:ascii="Arial" w:cs="Arial" w:eastAsia="Arial" w:hAnsi="Arial"/>
          <w:sz w:val="17"/>
          <w:szCs w:val="17"/>
          <w:color w:val="auto"/>
        </w:rPr>
        <w:t>Reviewing the Company’s revenue recognition policy and double-checking the accuracy of the Company’s records on goods on delivery;</w:t>
      </w:r>
    </w:p>
    <w:p>
      <w:pPr>
        <w:spacing w:after="0" w:line="263" w:lineRule="exact"/>
        <w:rPr>
          <w:rFonts w:ascii="Arial" w:cs="Arial" w:eastAsia="Arial" w:hAnsi="Arial"/>
          <w:sz w:val="17"/>
          <w:szCs w:val="17"/>
          <w:color w:val="auto"/>
        </w:rPr>
      </w:pPr>
    </w:p>
    <w:p>
      <w:pPr>
        <w:ind w:right="20" w:firstLine="332"/>
        <w:spacing w:after="0" w:line="277" w:lineRule="auto"/>
        <w:tabs>
          <w:tab w:leader="none" w:pos="507" w:val="left"/>
        </w:tabs>
        <w:numPr>
          <w:ilvl w:val="0"/>
          <w:numId w:val="65"/>
        </w:numPr>
        <w:rPr>
          <w:rFonts w:ascii="Arial" w:cs="Arial" w:eastAsia="Arial" w:hAnsi="Arial"/>
          <w:sz w:val="18"/>
          <w:szCs w:val="18"/>
          <w:color w:val="auto"/>
        </w:rPr>
      </w:pPr>
      <w:r>
        <w:rPr>
          <w:rFonts w:ascii="Arial" w:cs="Arial" w:eastAsia="Arial" w:hAnsi="Arial"/>
          <w:sz w:val="18"/>
          <w:szCs w:val="18"/>
          <w:color w:val="auto"/>
        </w:rPr>
        <w:t>Having access to the details of the goods on delivery, and implementing the inventory monitoring procedure of the goods on delivery that have been delivered to the transit warehouse of the logistics company but have not been delivered to the customers;</w:t>
      </w:r>
    </w:p>
    <w:p>
      <w:pPr>
        <w:spacing w:after="0" w:line="197" w:lineRule="exact"/>
        <w:rPr>
          <w:rFonts w:ascii="Arial" w:cs="Arial" w:eastAsia="Arial" w:hAnsi="Arial"/>
          <w:sz w:val="18"/>
          <w:szCs w:val="18"/>
          <w:color w:val="auto"/>
        </w:rPr>
      </w:pPr>
    </w:p>
    <w:p>
      <w:pPr>
        <w:ind w:firstLine="332"/>
        <w:spacing w:after="0" w:line="277" w:lineRule="auto"/>
        <w:tabs>
          <w:tab w:leader="none" w:pos="531" w:val="left"/>
        </w:tabs>
        <w:numPr>
          <w:ilvl w:val="0"/>
          <w:numId w:val="65"/>
        </w:numPr>
        <w:rPr>
          <w:rFonts w:ascii="Arial" w:cs="Arial" w:eastAsia="Arial" w:hAnsi="Arial"/>
          <w:sz w:val="18"/>
          <w:szCs w:val="18"/>
          <w:color w:val="auto"/>
        </w:rPr>
      </w:pPr>
      <w:r>
        <w:rPr>
          <w:rFonts w:ascii="Arial" w:cs="Arial" w:eastAsia="Arial" w:hAnsi="Arial"/>
          <w:sz w:val="18"/>
          <w:szCs w:val="18"/>
          <w:color w:val="auto"/>
        </w:rPr>
        <w:t>Having access to the sales orders corresponding to the goods on delivery, checking the EX-warehouse records, logistics records and customer confirmation records of the goods on delivery, and seeking confirmations from customers on such goods;</w:t>
      </w:r>
    </w:p>
    <w:p>
      <w:pPr>
        <w:spacing w:after="0" w:line="197" w:lineRule="exact"/>
        <w:rPr>
          <w:rFonts w:ascii="Arial" w:cs="Arial" w:eastAsia="Arial" w:hAnsi="Arial"/>
          <w:sz w:val="18"/>
          <w:szCs w:val="18"/>
          <w:color w:val="auto"/>
        </w:rPr>
      </w:pPr>
    </w:p>
    <w:p>
      <w:pPr>
        <w:jc w:val="both"/>
        <w:ind w:firstLine="332"/>
        <w:spacing w:after="0" w:line="263" w:lineRule="auto"/>
        <w:tabs>
          <w:tab w:leader="none" w:pos="517" w:val="left"/>
        </w:tabs>
        <w:numPr>
          <w:ilvl w:val="0"/>
          <w:numId w:val="65"/>
        </w:numPr>
        <w:rPr>
          <w:rFonts w:ascii="Arial" w:cs="Arial" w:eastAsia="Arial" w:hAnsi="Arial"/>
          <w:sz w:val="18"/>
          <w:szCs w:val="18"/>
          <w:color w:val="auto"/>
        </w:rPr>
      </w:pPr>
      <w:r>
        <w:rPr>
          <w:rFonts w:ascii="Arial" w:cs="Arial" w:eastAsia="Arial" w:hAnsi="Arial"/>
          <w:sz w:val="18"/>
          <w:szCs w:val="18"/>
          <w:color w:val="auto"/>
        </w:rPr>
        <w:t>Having access to the details of raw materials used for production, details of direct labor and manufacturing costs allocation for finished products, spot-checking whether the raw materials provided are accurately priced, and checking whether the direct labor and manufacturing costs are accurately allocated; and</w:t>
      </w:r>
    </w:p>
    <w:p>
      <w:pPr>
        <w:spacing w:after="0" w:line="210" w:lineRule="exact"/>
        <w:rPr>
          <w:rFonts w:ascii="Arial" w:cs="Arial" w:eastAsia="Arial" w:hAnsi="Arial"/>
          <w:sz w:val="18"/>
          <w:szCs w:val="18"/>
          <w:color w:val="auto"/>
        </w:rPr>
      </w:pPr>
    </w:p>
    <w:p>
      <w:pPr>
        <w:ind w:left="520" w:hanging="188"/>
        <w:spacing w:after="0"/>
        <w:tabs>
          <w:tab w:leader="none" w:pos="520" w:val="left"/>
        </w:tabs>
        <w:numPr>
          <w:ilvl w:val="0"/>
          <w:numId w:val="65"/>
        </w:numPr>
        <w:rPr>
          <w:rFonts w:ascii="Arial" w:cs="Arial" w:eastAsia="Arial" w:hAnsi="Arial"/>
          <w:sz w:val="18"/>
          <w:szCs w:val="18"/>
          <w:color w:val="auto"/>
        </w:rPr>
      </w:pPr>
      <w:r>
        <w:rPr>
          <w:rFonts w:ascii="Arial" w:cs="Arial" w:eastAsia="Arial" w:hAnsi="Arial"/>
          <w:sz w:val="18"/>
          <w:szCs w:val="18"/>
          <w:color w:val="auto"/>
        </w:rPr>
        <w:t>Having access to the details of deposits received and seeking confirmation.</w:t>
      </w:r>
    </w:p>
    <w:p>
      <w:pPr>
        <w:spacing w:after="0" w:line="252" w:lineRule="exact"/>
        <w:rPr>
          <w:sz w:val="20"/>
          <w:szCs w:val="20"/>
          <w:color w:val="auto"/>
        </w:rPr>
      </w:pPr>
    </w:p>
    <w:p>
      <w:pPr>
        <w:ind w:right="20" w:firstLine="324"/>
        <w:spacing w:after="0" w:line="277" w:lineRule="auto"/>
        <w:rPr>
          <w:sz w:val="20"/>
          <w:szCs w:val="20"/>
          <w:color w:val="auto"/>
        </w:rPr>
      </w:pPr>
      <w:r>
        <w:rPr>
          <w:rFonts w:ascii="Arial" w:cs="Arial" w:eastAsia="Arial" w:hAnsi="Arial"/>
          <w:sz w:val="18"/>
          <w:szCs w:val="18"/>
          <w:color w:val="auto"/>
        </w:rPr>
        <w:t>After the release of the Short-sell Report, the Sponsor has further performed the following procedures with respect to the Company’s goods on delivery and deposits received during the Reporting Period:</w:t>
      </w:r>
    </w:p>
    <w:p>
      <w:pPr>
        <w:spacing w:after="0" w:line="197" w:lineRule="exact"/>
        <w:rPr>
          <w:sz w:val="20"/>
          <w:szCs w:val="20"/>
          <w:color w:val="auto"/>
        </w:rPr>
      </w:pPr>
    </w:p>
    <w:p>
      <w:pPr>
        <w:ind w:left="520" w:hanging="188"/>
        <w:spacing w:after="0"/>
        <w:tabs>
          <w:tab w:leader="none" w:pos="520" w:val="left"/>
        </w:tabs>
        <w:numPr>
          <w:ilvl w:val="0"/>
          <w:numId w:val="66"/>
        </w:numPr>
        <w:rPr>
          <w:rFonts w:ascii="Arial" w:cs="Arial" w:eastAsia="Arial" w:hAnsi="Arial"/>
          <w:sz w:val="18"/>
          <w:szCs w:val="18"/>
          <w:color w:val="auto"/>
        </w:rPr>
      </w:pPr>
      <w:r>
        <w:rPr>
          <w:rFonts w:ascii="Arial" w:cs="Arial" w:eastAsia="Arial" w:hAnsi="Arial"/>
          <w:sz w:val="18"/>
          <w:szCs w:val="18"/>
          <w:color w:val="auto"/>
        </w:rPr>
        <w:t>Rechecking the data of goods on delivery according to the sales orders; and</w:t>
      </w:r>
    </w:p>
    <w:p>
      <w:pPr>
        <w:spacing w:after="0" w:line="252" w:lineRule="exact"/>
        <w:rPr>
          <w:rFonts w:ascii="Arial" w:cs="Arial" w:eastAsia="Arial" w:hAnsi="Arial"/>
          <w:sz w:val="18"/>
          <w:szCs w:val="18"/>
          <w:color w:val="auto"/>
        </w:rPr>
      </w:pPr>
    </w:p>
    <w:p>
      <w:pPr>
        <w:ind w:left="520" w:hanging="188"/>
        <w:spacing w:after="0"/>
        <w:tabs>
          <w:tab w:leader="none" w:pos="520" w:val="left"/>
        </w:tabs>
        <w:numPr>
          <w:ilvl w:val="0"/>
          <w:numId w:val="66"/>
        </w:numPr>
        <w:rPr>
          <w:rFonts w:ascii="Arial" w:cs="Arial" w:eastAsia="Arial" w:hAnsi="Arial"/>
          <w:sz w:val="18"/>
          <w:szCs w:val="18"/>
          <w:color w:val="auto"/>
        </w:rPr>
      </w:pPr>
      <w:r>
        <w:rPr>
          <w:rFonts w:ascii="Arial" w:cs="Arial" w:eastAsia="Arial" w:hAnsi="Arial"/>
          <w:sz w:val="18"/>
          <w:szCs w:val="18"/>
          <w:color w:val="auto"/>
        </w:rPr>
        <w:t>Rechecking the data of deposits received according to the sales orders.</w:t>
      </w:r>
    </w:p>
    <w:p>
      <w:pPr>
        <w:spacing w:after="0" w:line="248"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(ii) Verification Opinions</w:t>
      </w:r>
    </w:p>
    <w:p>
      <w:pPr>
        <w:spacing w:after="0" w:line="256" w:lineRule="exact"/>
        <w:rPr>
          <w:sz w:val="20"/>
          <w:szCs w:val="20"/>
          <w:color w:val="auto"/>
        </w:rPr>
      </w:pPr>
    </w:p>
    <w:p>
      <w:pPr>
        <w:ind w:left="340"/>
        <w:spacing w:after="0"/>
        <w:rPr>
          <w:sz w:val="20"/>
          <w:szCs w:val="20"/>
          <w:color w:val="auto"/>
        </w:rPr>
      </w:pPr>
      <w:r>
        <w:rPr>
          <w:rFonts w:ascii="Arial" w:cs="Arial" w:eastAsia="Arial" w:hAnsi="Arial"/>
          <w:sz w:val="18"/>
          <w:szCs w:val="18"/>
          <w:color w:val="auto"/>
        </w:rPr>
        <w:t>Upon verification, the Sponsor opines that:</w:t>
      </w:r>
    </w:p>
    <w:p>
      <w:pPr>
        <w:spacing w:after="0" w:line="252"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At the end of 2019, the goods on delivery of the Issuer were accurately reported.</w:t>
      </w:r>
    </w:p>
    <w:p>
      <w:pPr>
        <w:spacing w:after="0" w:line="239" w:lineRule="exact"/>
        <w:rPr>
          <w:sz w:val="20"/>
          <w:szCs w:val="20"/>
          <w:color w:val="auto"/>
        </w:rPr>
      </w:pPr>
    </w:p>
    <w:p>
      <w:pPr>
        <w:ind w:left="340"/>
        <w:spacing w:after="0"/>
        <w:rPr>
          <w:sz w:val="20"/>
          <w:szCs w:val="20"/>
          <w:color w:val="auto"/>
        </w:rPr>
      </w:pPr>
      <w:r>
        <w:rPr>
          <w:rFonts w:ascii="Arial" w:cs="Arial" w:eastAsia="Arial" w:hAnsi="Arial"/>
          <w:sz w:val="19"/>
          <w:szCs w:val="19"/>
          <w:b w:val="1"/>
          <w:bCs w:val="1"/>
          <w:color w:val="auto"/>
        </w:rPr>
        <w:t>4. Other Challenge 4: About Deposits Received (Index of Verification in Response to the Short-sell Report, No.10)</w:t>
      </w:r>
    </w:p>
    <w:p>
      <w:pPr>
        <w:spacing w:after="0" w:line="200" w:lineRule="exact"/>
        <w:rPr>
          <w:sz w:val="20"/>
          <w:szCs w:val="20"/>
          <w:color w:val="auto"/>
        </w:rPr>
      </w:pPr>
    </w:p>
    <w:p>
      <w:pPr>
        <w:spacing w:after="0" w:line="252"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8-4-1-61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65" w:name="page66"/>
    <w:bookmarkEnd w:id="65"/>
    <w:p>
      <w:pPr>
        <w:ind w:left="340"/>
        <w:spacing w:after="0"/>
        <w:rPr>
          <w:sz w:val="20"/>
          <w:szCs w:val="20"/>
          <w:color w:val="auto"/>
        </w:rPr>
      </w:pPr>
      <w:r>
        <w:rPr>
          <w:rFonts w:ascii="Arial" w:cs="Arial" w:eastAsia="Arial" w:hAnsi="Arial"/>
          <w:sz w:val="22"/>
          <w:szCs w:val="22"/>
          <w:b w:val="1"/>
          <w:bCs w:val="1"/>
          <w:color w:val="auto"/>
        </w:rPr>
        <w:t>Challenge in the Short-sell Report (Short-sell Report, pp.13-15):</w:t>
      </w:r>
    </w:p>
    <w:p>
      <w:pPr>
        <w:spacing w:after="0" w:line="240" w:lineRule="exact"/>
        <w:rPr>
          <w:sz w:val="20"/>
          <w:szCs w:val="20"/>
          <w:color w:val="auto"/>
        </w:rPr>
      </w:pPr>
    </w:p>
    <w:p>
      <w:pPr>
        <w:jc w:val="both"/>
        <w:ind w:firstLine="332"/>
        <w:spacing w:after="0" w:line="275" w:lineRule="auto"/>
        <w:tabs>
          <w:tab w:leader="none" w:pos="634" w:val="left"/>
        </w:tabs>
        <w:numPr>
          <w:ilvl w:val="0"/>
          <w:numId w:val="67"/>
        </w:numPr>
        <w:rPr>
          <w:rFonts w:ascii="Arial" w:cs="Arial" w:eastAsia="Arial" w:hAnsi="Arial"/>
          <w:sz w:val="19"/>
          <w:szCs w:val="19"/>
          <w:color w:val="auto"/>
        </w:rPr>
      </w:pPr>
      <w:r>
        <w:rPr>
          <w:rFonts w:ascii="Arial" w:cs="Arial" w:eastAsia="Arial" w:hAnsi="Arial"/>
          <w:sz w:val="19"/>
          <w:szCs w:val="19"/>
          <w:color w:val="auto"/>
        </w:rPr>
        <w:t>“Unreported customer deposits. We have found disparities between the company’s disclosures and our interview evidence of customer deposits. Only one customer, SK Hynix, reported the same terms as the company reported. All small customers reported paying 30-40% on ordering. According to the company, some of these machines are “demo” models, also customized which reduces the potential for resale. But every customer we spoke with except one reported the same payment terms: 30% downpayment on placing the order, 60% when the order is shipped, and 10% when the client tests and accepts the equipment. Advances from customers were $8.42 mln at end 2018 when full year revenue was $74.64 mln. By end Q2 2020, advances from customers were $8.78 mln, yet annualized Q2 2020 revenue was $156.2 mln (4 x $39.05 mln). Revenue has basically doubled, while advances from customers have stayed flat. Customer deposits should at least match the momentum in business activity.</w:t>
      </w:r>
    </w:p>
    <w:p>
      <w:pPr>
        <w:spacing w:after="0" w:line="184" w:lineRule="exact"/>
        <w:rPr>
          <w:rFonts w:ascii="Arial" w:cs="Arial" w:eastAsia="Arial" w:hAnsi="Arial"/>
          <w:sz w:val="19"/>
          <w:szCs w:val="19"/>
          <w:color w:val="auto"/>
        </w:rPr>
      </w:pPr>
    </w:p>
    <w:p>
      <w:pPr>
        <w:ind w:right="20" w:firstLine="332"/>
        <w:spacing w:after="0" w:line="250" w:lineRule="auto"/>
        <w:tabs>
          <w:tab w:leader="none" w:pos="642" w:val="left"/>
        </w:tabs>
        <w:numPr>
          <w:ilvl w:val="0"/>
          <w:numId w:val="67"/>
        </w:numPr>
        <w:rPr>
          <w:rFonts w:ascii="Arial" w:cs="Arial" w:eastAsia="Arial" w:hAnsi="Arial"/>
          <w:sz w:val="22"/>
          <w:szCs w:val="22"/>
          <w:color w:val="auto"/>
        </w:rPr>
      </w:pPr>
      <w:r>
        <w:rPr>
          <w:rFonts w:ascii="Arial" w:cs="Arial" w:eastAsia="Arial" w:hAnsi="Arial"/>
          <w:sz w:val="22"/>
          <w:szCs w:val="22"/>
          <w:color w:val="auto"/>
        </w:rPr>
        <w:t>We have gotten detailed pricing and invoicing information from six of ACMR’s top clients. Five of them had paid more for equipment than ACMR disclosed.”</w:t>
      </w:r>
    </w:p>
    <w:p>
      <w:pPr>
        <w:spacing w:after="0" w:line="196" w:lineRule="exact"/>
        <w:rPr>
          <w:sz w:val="20"/>
          <w:szCs w:val="20"/>
          <w:color w:val="auto"/>
        </w:rPr>
      </w:pPr>
    </w:p>
    <w:p>
      <w:pPr>
        <w:ind w:left="340"/>
        <w:spacing w:after="0"/>
        <w:rPr>
          <w:sz w:val="20"/>
          <w:szCs w:val="20"/>
          <w:color w:val="auto"/>
        </w:rPr>
      </w:pPr>
      <w:r>
        <w:rPr>
          <w:rFonts w:ascii="Arial" w:cs="Arial" w:eastAsia="Arial" w:hAnsi="Arial"/>
          <w:sz w:val="22"/>
          <w:szCs w:val="22"/>
          <w:b w:val="1"/>
          <w:bCs w:val="1"/>
          <w:color w:val="auto"/>
        </w:rPr>
        <w:t>Response:</w:t>
      </w:r>
    </w:p>
    <w:p>
      <w:pPr>
        <w:spacing w:after="0" w:line="233" w:lineRule="exact"/>
        <w:rPr>
          <w:sz w:val="20"/>
          <w:szCs w:val="20"/>
          <w:color w:val="auto"/>
        </w:rPr>
      </w:pPr>
    </w:p>
    <w:p>
      <w:pPr>
        <w:ind w:left="340"/>
        <w:spacing w:after="0"/>
        <w:rPr>
          <w:sz w:val="20"/>
          <w:szCs w:val="20"/>
          <w:color w:val="auto"/>
        </w:rPr>
      </w:pPr>
      <w:r>
        <w:rPr>
          <w:rFonts w:ascii="Arial" w:cs="Arial" w:eastAsia="Arial" w:hAnsi="Arial"/>
          <w:sz w:val="22"/>
          <w:szCs w:val="22"/>
          <w:b w:val="1"/>
          <w:bCs w:val="1"/>
          <w:color w:val="auto"/>
        </w:rPr>
        <w:t>I. Clarification by the Issuer</w:t>
      </w:r>
    </w:p>
    <w:p>
      <w:pPr>
        <w:spacing w:after="0" w:line="239" w:lineRule="exact"/>
        <w:rPr>
          <w:sz w:val="20"/>
          <w:szCs w:val="20"/>
          <w:color w:val="auto"/>
        </w:rPr>
      </w:pPr>
    </w:p>
    <w:p>
      <w:pPr>
        <w:jc w:val="both"/>
        <w:ind w:firstLine="324"/>
        <w:spacing w:after="0"/>
        <w:rPr>
          <w:sz w:val="20"/>
          <w:szCs w:val="20"/>
          <w:color w:val="auto"/>
        </w:rPr>
      </w:pPr>
      <w:r>
        <w:rPr>
          <w:rFonts w:ascii="Arial" w:cs="Arial" w:eastAsia="Arial" w:hAnsi="Arial"/>
          <w:sz w:val="22"/>
          <w:szCs w:val="22"/>
          <w:color w:val="auto"/>
        </w:rPr>
        <w:t>The closing balance of the Company’s deposits received/contract liabilities is true and accurate. The Company has made disclosure and clarification in “Section VIII.XII.(I) Asset Structure and Change Analysis” of the Prospectus, and in “Q20” and “Q24” of the Reply to the Letter of First Round Review-related Inquiries.</w:t>
      </w:r>
    </w:p>
    <w:p>
      <w:pPr>
        <w:spacing w:after="0" w:line="207" w:lineRule="exact"/>
        <w:rPr>
          <w:sz w:val="20"/>
          <w:szCs w:val="20"/>
          <w:color w:val="auto"/>
        </w:rPr>
      </w:pPr>
    </w:p>
    <w:p>
      <w:pPr>
        <w:ind w:left="340"/>
        <w:spacing w:after="0"/>
        <w:rPr>
          <w:sz w:val="20"/>
          <w:szCs w:val="20"/>
          <w:color w:val="auto"/>
        </w:rPr>
      </w:pPr>
      <w:r>
        <w:rPr>
          <w:rFonts w:ascii="Arial" w:cs="Arial" w:eastAsia="Arial" w:hAnsi="Arial"/>
          <w:sz w:val="22"/>
          <w:szCs w:val="22"/>
          <w:b w:val="1"/>
          <w:bCs w:val="1"/>
          <w:color w:val="auto"/>
        </w:rPr>
        <w:t>(i) Main Settlement Policy of the Company</w:t>
      </w:r>
    </w:p>
    <w:p>
      <w:pPr>
        <w:spacing w:after="0" w:line="239" w:lineRule="exact"/>
        <w:rPr>
          <w:sz w:val="20"/>
          <w:szCs w:val="20"/>
          <w:color w:val="auto"/>
        </w:rPr>
      </w:pPr>
    </w:p>
    <w:p>
      <w:pPr>
        <w:ind w:left="340"/>
        <w:spacing w:after="0"/>
        <w:rPr>
          <w:sz w:val="20"/>
          <w:szCs w:val="20"/>
          <w:color w:val="auto"/>
        </w:rPr>
      </w:pPr>
      <w:r>
        <w:rPr>
          <w:rFonts w:ascii="Arial" w:cs="Arial" w:eastAsia="Arial" w:hAnsi="Arial"/>
          <w:sz w:val="22"/>
          <w:szCs w:val="22"/>
          <w:color w:val="auto"/>
        </w:rPr>
        <w:t>The main settlement policy of the Company is as follows:</w:t>
      </w:r>
    </w:p>
    <w:p>
      <w:pPr>
        <w:spacing w:after="0" w:line="234" w:lineRule="exact"/>
        <w:rPr>
          <w:sz w:val="20"/>
          <w:szCs w:val="20"/>
          <w:color w:val="auto"/>
        </w:rPr>
      </w:pPr>
    </w:p>
    <w:tbl>
      <w:tblPr>
        <w:tblLayout w:type="fixed"/>
        <w:tblInd w:w="10" w:type="dxa"/>
        <w:tblCellMar>
          <w:top w:w="0" w:type="dxa"/>
          <w:left w:w="0" w:type="dxa"/>
          <w:bottom w:w="0" w:type="dxa"/>
          <w:right w:w="0" w:type="dxa"/>
        </w:tblCellMar>
      </w:tblPr>
      <w:tr>
        <w:trPr>
          <w:trHeight w:val="225"/>
        </w:trPr>
        <w:tc>
          <w:tcPr>
            <w:tcW w:w="2300" w:type="dxa"/>
            <w:vAlign w:val="bottom"/>
            <w:tcBorders>
              <w:top w:val="single" w:sz="8" w:color="auto"/>
              <w:left w:val="single" w:sz="8" w:color="auto"/>
              <w:right w:val="single" w:sz="8" w:color="auto"/>
            </w:tcBorders>
          </w:tcPr>
          <w:p>
            <w:pPr>
              <w:ind w:left="780"/>
              <w:spacing w:after="0"/>
              <w:rPr>
                <w:sz w:val="20"/>
                <w:szCs w:val="20"/>
                <w:color w:val="auto"/>
              </w:rPr>
            </w:pPr>
            <w:r>
              <w:rPr>
                <w:rFonts w:ascii="Arial" w:cs="Arial" w:eastAsia="Arial" w:hAnsi="Arial"/>
                <w:sz w:val="18"/>
                <w:szCs w:val="18"/>
                <w:b w:val="1"/>
                <w:bCs w:val="1"/>
                <w:color w:val="auto"/>
              </w:rPr>
              <w:t>Customer</w:t>
            </w:r>
          </w:p>
        </w:tc>
        <w:tc>
          <w:tcPr>
            <w:tcW w:w="8940" w:type="dxa"/>
            <w:vAlign w:val="bottom"/>
            <w:tcBorders>
              <w:top w:val="single" w:sz="8" w:color="auto"/>
              <w:right w:val="single" w:sz="8" w:color="auto"/>
            </w:tcBorders>
            <w:vMerge w:val="restart"/>
          </w:tcPr>
          <w:p>
            <w:pPr>
              <w:ind w:left="3520"/>
              <w:spacing w:after="0"/>
              <w:rPr>
                <w:sz w:val="20"/>
                <w:szCs w:val="20"/>
                <w:color w:val="auto"/>
              </w:rPr>
            </w:pPr>
            <w:r>
              <w:rPr>
                <w:rFonts w:ascii="Arial" w:cs="Arial" w:eastAsia="Arial" w:hAnsi="Arial"/>
                <w:sz w:val="18"/>
                <w:szCs w:val="18"/>
                <w:b w:val="1"/>
                <w:bCs w:val="1"/>
                <w:color w:val="auto"/>
              </w:rPr>
              <w:t>Mai</w:t>
            </w:r>
            <w:r>
              <w:rPr>
                <w:rFonts w:ascii="Arial" w:cs="Arial" w:eastAsia="Arial" w:hAnsi="Arial"/>
                <w:sz w:val="18"/>
                <w:szCs w:val="18"/>
                <w:color w:val="auto"/>
              </w:rPr>
              <w:t>n</w:t>
            </w:r>
            <w:r>
              <w:rPr>
                <w:rFonts w:ascii="Arial" w:cs="Arial" w:eastAsia="Arial" w:hAnsi="Arial"/>
                <w:sz w:val="18"/>
                <w:szCs w:val="18"/>
                <w:b w:val="1"/>
                <w:bCs w:val="1"/>
                <w:color w:val="auto"/>
              </w:rPr>
              <w:t xml:space="preserve"> Settlement Policies</w:t>
            </w:r>
          </w:p>
        </w:tc>
        <w:tc>
          <w:tcPr>
            <w:tcW w:w="0" w:type="dxa"/>
            <w:vAlign w:val="bottom"/>
          </w:tcPr>
          <w:p>
            <w:pPr>
              <w:spacing w:after="0"/>
              <w:rPr>
                <w:sz w:val="1"/>
                <w:szCs w:val="1"/>
                <w:color w:val="auto"/>
              </w:rPr>
            </w:pPr>
          </w:p>
        </w:tc>
      </w:tr>
      <w:tr>
        <w:trPr>
          <w:trHeight w:val="126"/>
        </w:trPr>
        <w:tc>
          <w:tcPr>
            <w:tcW w:w="2300" w:type="dxa"/>
            <w:vAlign w:val="bottom"/>
            <w:tcBorders>
              <w:left w:val="single" w:sz="8" w:color="auto"/>
              <w:right w:val="single" w:sz="8" w:color="auto"/>
            </w:tcBorders>
            <w:vMerge w:val="restart"/>
          </w:tcPr>
          <w:p>
            <w:pPr>
              <w:ind w:left="900"/>
              <w:spacing w:after="0"/>
              <w:rPr>
                <w:sz w:val="20"/>
                <w:szCs w:val="20"/>
                <w:color w:val="auto"/>
              </w:rPr>
            </w:pPr>
            <w:r>
              <w:rPr>
                <w:rFonts w:ascii="Arial" w:cs="Arial" w:eastAsia="Arial" w:hAnsi="Arial"/>
                <w:sz w:val="18"/>
                <w:szCs w:val="18"/>
                <w:b w:val="1"/>
                <w:bCs w:val="1"/>
                <w:color w:val="auto"/>
              </w:rPr>
              <w:t>Group</w:t>
            </w:r>
          </w:p>
        </w:tc>
        <w:tc>
          <w:tcPr>
            <w:tcW w:w="8940" w:type="dxa"/>
            <w:vAlign w:val="bottom"/>
            <w:tcBorders>
              <w:right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15"/>
        </w:trPr>
        <w:tc>
          <w:tcPr>
            <w:tcW w:w="2300" w:type="dxa"/>
            <w:vAlign w:val="bottom"/>
            <w:tcBorders>
              <w:left w:val="single" w:sz="8" w:color="auto"/>
              <w:bottom w:val="single" w:sz="8" w:color="auto"/>
              <w:right w:val="single" w:sz="8" w:color="auto"/>
            </w:tcBorders>
            <w:vMerge w:val="continue"/>
          </w:tcPr>
          <w:p>
            <w:pPr>
              <w:spacing w:after="0"/>
              <w:rPr>
                <w:sz w:val="10"/>
                <w:szCs w:val="10"/>
                <w:color w:val="auto"/>
              </w:rPr>
            </w:pPr>
          </w:p>
        </w:tc>
        <w:tc>
          <w:tcPr>
            <w:tcW w:w="8940" w:type="dxa"/>
            <w:vAlign w:val="bottom"/>
            <w:tcBorders>
              <w:bottom w:val="single" w:sz="8" w:color="auto"/>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223"/>
        </w:trPr>
        <w:tc>
          <w:tcPr>
            <w:tcW w:w="2300" w:type="dxa"/>
            <w:vAlign w:val="bottom"/>
            <w:tcBorders>
              <w:left w:val="single" w:sz="8" w:color="auto"/>
              <w:right w:val="single" w:sz="8" w:color="auto"/>
            </w:tcBorders>
            <w:vMerge w:val="restart"/>
          </w:tcPr>
          <w:p>
            <w:pPr>
              <w:ind w:left="40"/>
              <w:spacing w:after="0"/>
              <w:rPr>
                <w:sz w:val="20"/>
                <w:szCs w:val="20"/>
                <w:color w:val="auto"/>
              </w:rPr>
            </w:pPr>
            <w:r>
              <w:rPr>
                <w:rFonts w:ascii="Arial" w:cs="Arial" w:eastAsia="Arial" w:hAnsi="Arial"/>
                <w:sz w:val="18"/>
                <w:szCs w:val="18"/>
                <w:color w:val="auto"/>
              </w:rPr>
              <w:t>Yangtze Memory</w:t>
            </w:r>
          </w:p>
        </w:tc>
        <w:tc>
          <w:tcPr>
            <w:tcW w:w="894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100% shall be paid within 30 days after installation and acceptance</w:t>
            </w:r>
          </w:p>
        </w:tc>
        <w:tc>
          <w:tcPr>
            <w:tcW w:w="0" w:type="dxa"/>
            <w:vAlign w:val="bottom"/>
          </w:tcPr>
          <w:p>
            <w:pPr>
              <w:spacing w:after="0"/>
              <w:rPr>
                <w:sz w:val="1"/>
                <w:szCs w:val="1"/>
                <w:color w:val="auto"/>
              </w:rPr>
            </w:pPr>
          </w:p>
        </w:tc>
      </w:tr>
      <w:tr>
        <w:trPr>
          <w:trHeight w:val="95"/>
        </w:trPr>
        <w:tc>
          <w:tcPr>
            <w:tcW w:w="2300" w:type="dxa"/>
            <w:vAlign w:val="bottom"/>
            <w:tcBorders>
              <w:left w:val="single" w:sz="8" w:color="auto"/>
              <w:right w:val="single" w:sz="8" w:color="auto"/>
            </w:tcBorders>
            <w:vMerge w:val="continue"/>
          </w:tcPr>
          <w:p>
            <w:pPr>
              <w:spacing w:after="0"/>
              <w:rPr>
                <w:sz w:val="8"/>
                <w:szCs w:val="8"/>
                <w:color w:val="auto"/>
              </w:rPr>
            </w:pPr>
          </w:p>
        </w:tc>
        <w:tc>
          <w:tcPr>
            <w:tcW w:w="8940" w:type="dxa"/>
            <w:vAlign w:val="bottom"/>
            <w:tcBorders>
              <w:right w:val="single" w:sz="8" w:color="auto"/>
            </w:tcBorders>
            <w:vMerge w:val="restart"/>
          </w:tcPr>
          <w:p>
            <w:pPr>
              <w:spacing w:after="0"/>
              <w:rPr>
                <w:sz w:val="20"/>
                <w:szCs w:val="20"/>
                <w:color w:val="auto"/>
              </w:rPr>
            </w:pPr>
            <w:r>
              <w:rPr>
                <w:rFonts w:ascii="Arial" w:cs="Arial" w:eastAsia="Arial" w:hAnsi="Arial"/>
                <w:sz w:val="18"/>
                <w:szCs w:val="18"/>
                <w:color w:val="auto"/>
                <w:w w:val="98"/>
              </w:rPr>
              <w:t>90% shall be paid within 30 days after receipt of invoice, and the remaining 10% after installation and acceptance</w:t>
            </w:r>
          </w:p>
        </w:tc>
        <w:tc>
          <w:tcPr>
            <w:tcW w:w="0" w:type="dxa"/>
            <w:vAlign w:val="bottom"/>
          </w:tcPr>
          <w:p>
            <w:pPr>
              <w:spacing w:after="0"/>
              <w:rPr>
                <w:sz w:val="1"/>
                <w:szCs w:val="1"/>
                <w:color w:val="auto"/>
              </w:rPr>
            </w:pPr>
          </w:p>
        </w:tc>
      </w:tr>
      <w:tr>
        <w:trPr>
          <w:trHeight w:val="128"/>
        </w:trPr>
        <w:tc>
          <w:tcPr>
            <w:tcW w:w="2300" w:type="dxa"/>
            <w:vAlign w:val="bottom"/>
            <w:tcBorders>
              <w:left w:val="single" w:sz="8" w:color="auto"/>
              <w:bottom w:val="single" w:sz="8" w:color="auto"/>
              <w:right w:val="single" w:sz="8" w:color="auto"/>
            </w:tcBorders>
          </w:tcPr>
          <w:p>
            <w:pPr>
              <w:spacing w:after="0"/>
              <w:rPr>
                <w:sz w:val="11"/>
                <w:szCs w:val="11"/>
                <w:color w:val="auto"/>
              </w:rPr>
            </w:pPr>
          </w:p>
        </w:tc>
        <w:tc>
          <w:tcPr>
            <w:tcW w:w="8940" w:type="dxa"/>
            <w:vAlign w:val="bottom"/>
            <w:tcBorders>
              <w:bottom w:val="single" w:sz="8" w:color="auto"/>
              <w:right w:val="single" w:sz="8" w:color="auto"/>
            </w:tcBorders>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223"/>
        </w:trPr>
        <w:tc>
          <w:tcPr>
            <w:tcW w:w="2300" w:type="dxa"/>
            <w:vAlign w:val="bottom"/>
            <w:tcBorders>
              <w:left w:val="single" w:sz="8" w:color="auto"/>
              <w:right w:val="single" w:sz="8" w:color="auto"/>
            </w:tcBorders>
            <w:vMerge w:val="restart"/>
          </w:tcPr>
          <w:p>
            <w:pPr>
              <w:ind w:left="40"/>
              <w:spacing w:after="0"/>
              <w:rPr>
                <w:sz w:val="20"/>
                <w:szCs w:val="20"/>
                <w:color w:val="auto"/>
              </w:rPr>
            </w:pPr>
            <w:r>
              <w:rPr>
                <w:rFonts w:ascii="Arial" w:cs="Arial" w:eastAsia="Arial" w:hAnsi="Arial"/>
                <w:sz w:val="18"/>
                <w:szCs w:val="18"/>
                <w:color w:val="auto"/>
              </w:rPr>
              <w:t>Huahong Group</w:t>
            </w:r>
          </w:p>
        </w:tc>
        <w:tc>
          <w:tcPr>
            <w:tcW w:w="894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90% shall be paid after delivery, and the remaining 10% after installation and acceptance</w:t>
            </w:r>
          </w:p>
        </w:tc>
        <w:tc>
          <w:tcPr>
            <w:tcW w:w="0" w:type="dxa"/>
            <w:vAlign w:val="bottom"/>
          </w:tcPr>
          <w:p>
            <w:pPr>
              <w:spacing w:after="0"/>
              <w:rPr>
                <w:sz w:val="1"/>
                <w:szCs w:val="1"/>
                <w:color w:val="auto"/>
              </w:rPr>
            </w:pPr>
          </w:p>
        </w:tc>
      </w:tr>
      <w:tr>
        <w:trPr>
          <w:trHeight w:val="95"/>
        </w:trPr>
        <w:tc>
          <w:tcPr>
            <w:tcW w:w="2300" w:type="dxa"/>
            <w:vAlign w:val="bottom"/>
            <w:tcBorders>
              <w:left w:val="single" w:sz="8" w:color="auto"/>
              <w:right w:val="single" w:sz="8" w:color="auto"/>
            </w:tcBorders>
            <w:vMerge w:val="continue"/>
          </w:tcPr>
          <w:p>
            <w:pPr>
              <w:spacing w:after="0"/>
              <w:rPr>
                <w:sz w:val="8"/>
                <w:szCs w:val="8"/>
                <w:color w:val="auto"/>
              </w:rPr>
            </w:pPr>
          </w:p>
        </w:tc>
        <w:tc>
          <w:tcPr>
            <w:tcW w:w="8940" w:type="dxa"/>
            <w:vAlign w:val="bottom"/>
            <w:tcBorders>
              <w:right w:val="single" w:sz="8" w:color="auto"/>
            </w:tcBorders>
            <w:vMerge w:val="restart"/>
          </w:tcPr>
          <w:p>
            <w:pPr>
              <w:spacing w:after="0"/>
              <w:rPr>
                <w:sz w:val="20"/>
                <w:szCs w:val="20"/>
                <w:color w:val="auto"/>
              </w:rPr>
            </w:pPr>
            <w:r>
              <w:rPr>
                <w:rFonts w:ascii="Arial" w:cs="Arial" w:eastAsia="Arial" w:hAnsi="Arial"/>
                <w:sz w:val="18"/>
                <w:szCs w:val="18"/>
                <w:color w:val="auto"/>
                <w:w w:val="94"/>
              </w:rPr>
              <w:t>70% shall be paid within 30 days after delivery, and the remaining 30% within 30 days after installation and acceptance</w:t>
            </w:r>
          </w:p>
        </w:tc>
        <w:tc>
          <w:tcPr>
            <w:tcW w:w="0" w:type="dxa"/>
            <w:vAlign w:val="bottom"/>
          </w:tcPr>
          <w:p>
            <w:pPr>
              <w:spacing w:after="0"/>
              <w:rPr>
                <w:sz w:val="1"/>
                <w:szCs w:val="1"/>
                <w:color w:val="auto"/>
              </w:rPr>
            </w:pPr>
          </w:p>
        </w:tc>
      </w:tr>
      <w:tr>
        <w:trPr>
          <w:trHeight w:val="128"/>
        </w:trPr>
        <w:tc>
          <w:tcPr>
            <w:tcW w:w="2300" w:type="dxa"/>
            <w:vAlign w:val="bottom"/>
            <w:tcBorders>
              <w:left w:val="single" w:sz="8" w:color="auto"/>
              <w:bottom w:val="single" w:sz="8" w:color="auto"/>
              <w:right w:val="single" w:sz="8" w:color="auto"/>
            </w:tcBorders>
          </w:tcPr>
          <w:p>
            <w:pPr>
              <w:spacing w:after="0"/>
              <w:rPr>
                <w:sz w:val="11"/>
                <w:szCs w:val="11"/>
                <w:color w:val="auto"/>
              </w:rPr>
            </w:pPr>
          </w:p>
        </w:tc>
        <w:tc>
          <w:tcPr>
            <w:tcW w:w="8940" w:type="dxa"/>
            <w:vAlign w:val="bottom"/>
            <w:tcBorders>
              <w:bottom w:val="single" w:sz="8" w:color="auto"/>
              <w:right w:val="single" w:sz="8" w:color="auto"/>
            </w:tcBorders>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223"/>
        </w:trPr>
        <w:tc>
          <w:tcPr>
            <w:tcW w:w="230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Hynix</w:t>
            </w:r>
          </w:p>
        </w:tc>
        <w:tc>
          <w:tcPr>
            <w:tcW w:w="894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100% shall be paid within 30 or 28 days after the date of export declaration</w:t>
            </w:r>
          </w:p>
        </w:tc>
        <w:tc>
          <w:tcPr>
            <w:tcW w:w="0" w:type="dxa"/>
            <w:vAlign w:val="bottom"/>
          </w:tcPr>
          <w:p>
            <w:pPr>
              <w:spacing w:after="0"/>
              <w:rPr>
                <w:sz w:val="1"/>
                <w:szCs w:val="1"/>
                <w:color w:val="auto"/>
              </w:rPr>
            </w:pPr>
          </w:p>
        </w:tc>
      </w:tr>
      <w:tr>
        <w:trPr>
          <w:trHeight w:val="223"/>
        </w:trPr>
        <w:tc>
          <w:tcPr>
            <w:tcW w:w="230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JCET</w:t>
            </w:r>
          </w:p>
        </w:tc>
        <w:tc>
          <w:tcPr>
            <w:tcW w:w="894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80% shall be paid after delivery, and 20% after installation and acceptance</w:t>
            </w:r>
          </w:p>
        </w:tc>
        <w:tc>
          <w:tcPr>
            <w:tcW w:w="0" w:type="dxa"/>
            <w:vAlign w:val="bottom"/>
          </w:tcPr>
          <w:p>
            <w:pPr>
              <w:spacing w:after="0"/>
              <w:rPr>
                <w:sz w:val="1"/>
                <w:szCs w:val="1"/>
                <w:color w:val="auto"/>
              </w:rPr>
            </w:pPr>
          </w:p>
        </w:tc>
      </w:tr>
      <w:tr>
        <w:trPr>
          <w:trHeight w:val="223"/>
        </w:trPr>
        <w:tc>
          <w:tcPr>
            <w:tcW w:w="2300" w:type="dxa"/>
            <w:vAlign w:val="bottom"/>
            <w:tcBorders>
              <w:left w:val="single" w:sz="8" w:color="auto"/>
              <w:right w:val="single" w:sz="8" w:color="auto"/>
            </w:tcBorders>
            <w:vMerge w:val="restart"/>
          </w:tcPr>
          <w:p>
            <w:pPr>
              <w:ind w:left="40"/>
              <w:spacing w:after="0"/>
              <w:rPr>
                <w:sz w:val="20"/>
                <w:szCs w:val="20"/>
                <w:color w:val="auto"/>
              </w:rPr>
            </w:pPr>
            <w:r>
              <w:rPr>
                <w:rFonts w:ascii="Arial" w:cs="Arial" w:eastAsia="Arial" w:hAnsi="Arial"/>
                <w:sz w:val="18"/>
                <w:szCs w:val="18"/>
                <w:color w:val="auto"/>
              </w:rPr>
              <w:t>SMIC</w:t>
            </w:r>
          </w:p>
        </w:tc>
        <w:tc>
          <w:tcPr>
            <w:tcW w:w="894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30% shall be paid after signing the order, 60% after delivery and 10% after installation and acceptance</w:t>
            </w:r>
          </w:p>
        </w:tc>
        <w:tc>
          <w:tcPr>
            <w:tcW w:w="0" w:type="dxa"/>
            <w:vAlign w:val="bottom"/>
          </w:tcPr>
          <w:p>
            <w:pPr>
              <w:spacing w:after="0"/>
              <w:rPr>
                <w:sz w:val="1"/>
                <w:szCs w:val="1"/>
                <w:color w:val="auto"/>
              </w:rPr>
            </w:pPr>
          </w:p>
        </w:tc>
      </w:tr>
      <w:tr>
        <w:trPr>
          <w:trHeight w:val="95"/>
        </w:trPr>
        <w:tc>
          <w:tcPr>
            <w:tcW w:w="2300" w:type="dxa"/>
            <w:vAlign w:val="bottom"/>
            <w:tcBorders>
              <w:left w:val="single" w:sz="8" w:color="auto"/>
              <w:right w:val="single" w:sz="8" w:color="auto"/>
            </w:tcBorders>
            <w:vMerge w:val="continue"/>
          </w:tcPr>
          <w:p>
            <w:pPr>
              <w:spacing w:after="0"/>
              <w:rPr>
                <w:sz w:val="8"/>
                <w:szCs w:val="8"/>
                <w:color w:val="auto"/>
              </w:rPr>
            </w:pPr>
          </w:p>
        </w:tc>
        <w:tc>
          <w:tcPr>
            <w:tcW w:w="8940" w:type="dxa"/>
            <w:vAlign w:val="bottom"/>
            <w:tcBorders>
              <w:right w:val="single" w:sz="8" w:color="auto"/>
            </w:tcBorders>
            <w:vMerge w:val="restart"/>
          </w:tcPr>
          <w:p>
            <w:pPr>
              <w:spacing w:after="0"/>
              <w:rPr>
                <w:sz w:val="20"/>
                <w:szCs w:val="20"/>
                <w:color w:val="auto"/>
              </w:rPr>
            </w:pPr>
            <w:r>
              <w:rPr>
                <w:rFonts w:ascii="Arial" w:cs="Arial" w:eastAsia="Arial" w:hAnsi="Arial"/>
                <w:sz w:val="18"/>
                <w:szCs w:val="18"/>
                <w:color w:val="auto"/>
              </w:rPr>
              <w:t>100% after 6 months of installation, acceptance and trial operation</w:t>
            </w:r>
          </w:p>
        </w:tc>
        <w:tc>
          <w:tcPr>
            <w:tcW w:w="0" w:type="dxa"/>
            <w:vAlign w:val="bottom"/>
          </w:tcPr>
          <w:p>
            <w:pPr>
              <w:spacing w:after="0"/>
              <w:rPr>
                <w:sz w:val="1"/>
                <w:szCs w:val="1"/>
                <w:color w:val="auto"/>
              </w:rPr>
            </w:pPr>
          </w:p>
        </w:tc>
      </w:tr>
      <w:tr>
        <w:trPr>
          <w:trHeight w:val="128"/>
        </w:trPr>
        <w:tc>
          <w:tcPr>
            <w:tcW w:w="2300" w:type="dxa"/>
            <w:vAlign w:val="bottom"/>
            <w:tcBorders>
              <w:left w:val="single" w:sz="8" w:color="auto"/>
              <w:bottom w:val="single" w:sz="8" w:color="auto"/>
              <w:right w:val="single" w:sz="8" w:color="auto"/>
            </w:tcBorders>
          </w:tcPr>
          <w:p>
            <w:pPr>
              <w:spacing w:after="0"/>
              <w:rPr>
                <w:sz w:val="11"/>
                <w:szCs w:val="11"/>
                <w:color w:val="auto"/>
              </w:rPr>
            </w:pPr>
          </w:p>
        </w:tc>
        <w:tc>
          <w:tcPr>
            <w:tcW w:w="8940" w:type="dxa"/>
            <w:vAlign w:val="bottom"/>
            <w:tcBorders>
              <w:bottom w:val="single" w:sz="8" w:color="auto"/>
              <w:right w:val="single" w:sz="8" w:color="auto"/>
            </w:tcBorders>
            <w:vMerge w:val="continue"/>
          </w:tcPr>
          <w:p>
            <w:pPr>
              <w:spacing w:after="0"/>
              <w:rPr>
                <w:sz w:val="11"/>
                <w:szCs w:val="11"/>
                <w:color w:val="auto"/>
              </w:rPr>
            </w:pPr>
          </w:p>
        </w:tc>
        <w:tc>
          <w:tcPr>
            <w:tcW w:w="0" w:type="dxa"/>
            <w:vAlign w:val="bottom"/>
          </w:tcPr>
          <w:p>
            <w:pPr>
              <w:spacing w:after="0"/>
              <w:rPr>
                <w:sz w:val="1"/>
                <w:szCs w:val="1"/>
                <w:color w:val="auto"/>
              </w:rPr>
            </w:pPr>
          </w:p>
        </w:tc>
      </w:tr>
    </w:tbl>
    <w:p>
      <w:pPr>
        <w:spacing w:after="0" w:line="222" w:lineRule="exact"/>
        <w:rPr>
          <w:sz w:val="20"/>
          <w:szCs w:val="20"/>
          <w:color w:val="auto"/>
        </w:rPr>
      </w:pPr>
    </w:p>
    <w:p>
      <w:pPr>
        <w:jc w:val="both"/>
        <w:ind w:firstLine="324"/>
        <w:spacing w:after="0" w:line="250" w:lineRule="auto"/>
        <w:rPr>
          <w:sz w:val="20"/>
          <w:szCs w:val="20"/>
          <w:color w:val="auto"/>
        </w:rPr>
      </w:pPr>
      <w:r>
        <w:rPr>
          <w:rFonts w:ascii="Arial" w:cs="Arial" w:eastAsia="Arial" w:hAnsi="Arial"/>
          <w:sz w:val="22"/>
          <w:szCs w:val="22"/>
          <w:color w:val="auto"/>
        </w:rPr>
        <w:t>Note: The main settlement policies of the Company with different subsidiaries of its key customers may vary, and there is no material change in the main settlement policies of the Company during the Reporting Period.</w:t>
      </w:r>
    </w:p>
    <w:p>
      <w:pPr>
        <w:spacing w:after="0" w:line="202" w:lineRule="exact"/>
        <w:rPr>
          <w:sz w:val="20"/>
          <w:szCs w:val="20"/>
          <w:color w:val="auto"/>
        </w:rPr>
      </w:pPr>
    </w:p>
    <w:p>
      <w:pPr>
        <w:ind w:left="340"/>
        <w:spacing w:after="0"/>
        <w:rPr>
          <w:sz w:val="20"/>
          <w:szCs w:val="20"/>
          <w:color w:val="auto"/>
        </w:rPr>
      </w:pPr>
      <w:r>
        <w:rPr>
          <w:rFonts w:ascii="Arial" w:cs="Arial" w:eastAsia="Arial" w:hAnsi="Arial"/>
          <w:sz w:val="21"/>
          <w:szCs w:val="21"/>
          <w:color w:val="auto"/>
        </w:rPr>
        <w:t>The above information has been disclosed in “Q20” of the Reply to the Letter of First Round Review-related Inquiries.</w:t>
      </w: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8-4-1-62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2" w:right="339" w:bottom="1440" w:gutter="0" w:footer="0" w:header="0"/>
        </w:sectPr>
      </w:pPr>
    </w:p>
    <w:bookmarkStart w:id="66" w:name="page67"/>
    <w:bookmarkEnd w:id="66"/>
    <w:p>
      <w:pPr>
        <w:ind w:left="340"/>
        <w:spacing w:after="0"/>
        <w:rPr>
          <w:sz w:val="20"/>
          <w:szCs w:val="20"/>
          <w:color w:val="auto"/>
        </w:rPr>
      </w:pPr>
      <w:r>
        <w:rPr>
          <w:rFonts w:ascii="Arial" w:cs="Arial" w:eastAsia="Arial" w:hAnsi="Arial"/>
          <w:sz w:val="22"/>
          <w:szCs w:val="22"/>
          <w:b w:val="1"/>
          <w:bCs w:val="1"/>
          <w:color w:val="auto"/>
        </w:rPr>
        <w:t>(ii) Deposits Received</w:t>
      </w:r>
    </w:p>
    <w:p>
      <w:pPr>
        <w:spacing w:after="0" w:line="220"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For some orders, although the Company has received deposits from customers, conditions for revenue recognition have not been satisfied, at the time of which, the Company recorded the deposits received from customers as “deposits received or contract liabilities.” For details, please refer to “Other Challenge 7: About Sales Differences” herein.</w:t>
      </w:r>
    </w:p>
    <w:p>
      <w:pPr>
        <w:spacing w:after="0" w:line="211" w:lineRule="exact"/>
        <w:rPr>
          <w:sz w:val="20"/>
          <w:szCs w:val="20"/>
          <w:color w:val="auto"/>
        </w:rPr>
      </w:pPr>
    </w:p>
    <w:p>
      <w:pPr>
        <w:ind w:left="340"/>
        <w:spacing w:after="0"/>
        <w:rPr>
          <w:sz w:val="20"/>
          <w:szCs w:val="20"/>
          <w:color w:val="auto"/>
        </w:rPr>
      </w:pPr>
      <w:r>
        <w:rPr>
          <w:rFonts w:ascii="Arial" w:cs="Arial" w:eastAsia="Arial" w:hAnsi="Arial"/>
          <w:sz w:val="16"/>
          <w:szCs w:val="16"/>
          <w:color w:val="auto"/>
        </w:rPr>
        <w:t>The Company’s deposits received during the Reporting Period has been disclosed in “Q24” of the Reply to the Letter of First Round Review-related</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Inquiries, as follows:</w:t>
      </w:r>
    </w:p>
    <w:p>
      <w:pPr>
        <w:spacing w:after="0" w:line="238"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“(i) The key customers corresponding to the deposits received at the end of each reporting period, the corresponding relationship with the orders in hand and the goods on delivery</w:t>
      </w:r>
    </w:p>
    <w:p>
      <w:pPr>
        <w:spacing w:after="0" w:line="197"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At the end of each reporting period, the balance of the Company’s deposits received (contractual liabilities - deposits received) were RMB8.6032 million, RMB68.2586 million, RMB68.0221 million and RMB59.9572 million. The corresponding relationships between the Company’s deposits received and its key customers, orders in hand and goods on delivery are as follows:</w:t>
      </w:r>
    </w:p>
    <w:p>
      <w:pPr>
        <w:spacing w:after="0" w:line="21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1. June 30, 2020</w:t>
      </w:r>
    </w:p>
    <w:p>
      <w:pPr>
        <w:spacing w:after="0" w:line="252" w:lineRule="exact"/>
        <w:rPr>
          <w:sz w:val="20"/>
          <w:szCs w:val="20"/>
          <w:color w:val="auto"/>
        </w:rPr>
      </w:pPr>
    </w:p>
    <w:tbl>
      <w:tblPr>
        <w:tblLayout w:type="fixed"/>
        <w:tblInd w:w="10" w:type="dxa"/>
        <w:tblCellMar>
          <w:top w:w="0" w:type="dxa"/>
          <w:left w:w="0" w:type="dxa"/>
          <w:bottom w:w="0" w:type="dxa"/>
          <w:right w:w="0" w:type="dxa"/>
        </w:tblCellMar>
      </w:tblPr>
      <w:tr>
        <w:trPr>
          <w:trHeight w:val="230"/>
        </w:trPr>
        <w:tc>
          <w:tcPr>
            <w:tcW w:w="1160" w:type="dxa"/>
            <w:vAlign w:val="bottom"/>
          </w:tcPr>
          <w:p>
            <w:pPr>
              <w:spacing w:after="0"/>
              <w:rPr>
                <w:sz w:val="20"/>
                <w:szCs w:val="20"/>
                <w:color w:val="auto"/>
              </w:rPr>
            </w:pPr>
          </w:p>
        </w:tc>
        <w:tc>
          <w:tcPr>
            <w:tcW w:w="2540" w:type="dxa"/>
            <w:vAlign w:val="bottom"/>
          </w:tcPr>
          <w:p>
            <w:pPr>
              <w:spacing w:after="0"/>
              <w:rPr>
                <w:sz w:val="20"/>
                <w:szCs w:val="20"/>
                <w:color w:val="auto"/>
              </w:rPr>
            </w:pPr>
          </w:p>
        </w:tc>
        <w:tc>
          <w:tcPr>
            <w:tcW w:w="2480" w:type="dxa"/>
            <w:vAlign w:val="bottom"/>
          </w:tcPr>
          <w:p>
            <w:pPr>
              <w:spacing w:after="0"/>
              <w:rPr>
                <w:sz w:val="20"/>
                <w:szCs w:val="20"/>
                <w:color w:val="auto"/>
              </w:rPr>
            </w:pPr>
          </w:p>
        </w:tc>
        <w:tc>
          <w:tcPr>
            <w:tcW w:w="2500" w:type="dxa"/>
            <w:vAlign w:val="bottom"/>
          </w:tcPr>
          <w:p>
            <w:pPr>
              <w:spacing w:after="0"/>
              <w:rPr>
                <w:sz w:val="20"/>
                <w:szCs w:val="20"/>
                <w:color w:val="auto"/>
              </w:rPr>
            </w:pPr>
          </w:p>
        </w:tc>
        <w:tc>
          <w:tcPr>
            <w:tcW w:w="2560" w:type="dxa"/>
            <w:vAlign w:val="bottom"/>
          </w:tcPr>
          <w:p>
            <w:pPr>
              <w:ind w:left="1260"/>
              <w:spacing w:after="0"/>
              <w:rPr>
                <w:sz w:val="20"/>
                <w:szCs w:val="20"/>
                <w:color w:val="auto"/>
              </w:rPr>
            </w:pPr>
            <w:r>
              <w:rPr>
                <w:rFonts w:ascii="Arial" w:cs="Arial" w:eastAsia="Arial" w:hAnsi="Arial"/>
                <w:sz w:val="18"/>
                <w:szCs w:val="18"/>
                <w:color w:val="auto"/>
                <w:w w:val="91"/>
              </w:rPr>
              <w:t>Unit: RMB10,000</w:t>
            </w:r>
          </w:p>
        </w:tc>
        <w:tc>
          <w:tcPr>
            <w:tcW w:w="0" w:type="dxa"/>
            <w:vAlign w:val="bottom"/>
          </w:tcPr>
          <w:p>
            <w:pPr>
              <w:spacing w:after="0"/>
              <w:rPr>
                <w:sz w:val="1"/>
                <w:szCs w:val="1"/>
                <w:color w:val="auto"/>
              </w:rPr>
            </w:pPr>
          </w:p>
        </w:tc>
      </w:tr>
      <w:tr>
        <w:trPr>
          <w:trHeight w:val="250"/>
        </w:trPr>
        <w:tc>
          <w:tcPr>
            <w:tcW w:w="1160" w:type="dxa"/>
            <w:vAlign w:val="bottom"/>
            <w:tcBorders>
              <w:bottom w:val="single" w:sz="8" w:color="auto"/>
            </w:tcBorders>
          </w:tcPr>
          <w:p>
            <w:pPr>
              <w:spacing w:after="0"/>
              <w:rPr>
                <w:sz w:val="21"/>
                <w:szCs w:val="21"/>
                <w:color w:val="auto"/>
              </w:rPr>
            </w:pPr>
          </w:p>
        </w:tc>
        <w:tc>
          <w:tcPr>
            <w:tcW w:w="2540" w:type="dxa"/>
            <w:vAlign w:val="bottom"/>
            <w:tcBorders>
              <w:bottom w:val="single" w:sz="8" w:color="auto"/>
            </w:tcBorders>
          </w:tcPr>
          <w:p>
            <w:pPr>
              <w:spacing w:after="0"/>
              <w:rPr>
                <w:sz w:val="21"/>
                <w:szCs w:val="21"/>
                <w:color w:val="auto"/>
              </w:rPr>
            </w:pPr>
          </w:p>
        </w:tc>
        <w:tc>
          <w:tcPr>
            <w:tcW w:w="2480" w:type="dxa"/>
            <w:vAlign w:val="bottom"/>
            <w:tcBorders>
              <w:bottom w:val="single" w:sz="8" w:color="auto"/>
            </w:tcBorders>
          </w:tcPr>
          <w:p>
            <w:pPr>
              <w:spacing w:after="0"/>
              <w:rPr>
                <w:sz w:val="21"/>
                <w:szCs w:val="21"/>
                <w:color w:val="auto"/>
              </w:rPr>
            </w:pPr>
          </w:p>
        </w:tc>
        <w:tc>
          <w:tcPr>
            <w:tcW w:w="2500" w:type="dxa"/>
            <w:vAlign w:val="bottom"/>
            <w:tcBorders>
              <w:bottom w:val="single" w:sz="8" w:color="auto"/>
            </w:tcBorders>
          </w:tcPr>
          <w:p>
            <w:pPr>
              <w:spacing w:after="0"/>
              <w:rPr>
                <w:sz w:val="21"/>
                <w:szCs w:val="21"/>
                <w:color w:val="auto"/>
              </w:rPr>
            </w:pPr>
          </w:p>
        </w:tc>
        <w:tc>
          <w:tcPr>
            <w:tcW w:w="256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198"/>
        </w:trPr>
        <w:tc>
          <w:tcPr>
            <w:tcW w:w="1160" w:type="dxa"/>
            <w:vAlign w:val="bottom"/>
            <w:tcBorders>
              <w:left w:val="single" w:sz="8" w:color="auto"/>
              <w:right w:val="single" w:sz="8" w:color="auto"/>
            </w:tcBorders>
          </w:tcPr>
          <w:p>
            <w:pPr>
              <w:spacing w:after="0"/>
              <w:rPr>
                <w:sz w:val="17"/>
                <w:szCs w:val="17"/>
                <w:color w:val="auto"/>
              </w:rPr>
            </w:pPr>
          </w:p>
        </w:tc>
        <w:tc>
          <w:tcPr>
            <w:tcW w:w="2540" w:type="dxa"/>
            <w:vAlign w:val="bottom"/>
            <w:tcBorders>
              <w:right w:val="single" w:sz="8" w:color="auto"/>
            </w:tcBorders>
          </w:tcPr>
          <w:p>
            <w:pPr>
              <w:spacing w:after="0"/>
              <w:rPr>
                <w:sz w:val="17"/>
                <w:szCs w:val="17"/>
                <w:color w:val="auto"/>
              </w:rPr>
            </w:pPr>
          </w:p>
        </w:tc>
        <w:tc>
          <w:tcPr>
            <w:tcW w:w="2480" w:type="dxa"/>
            <w:vAlign w:val="bottom"/>
            <w:tcBorders>
              <w:right w:val="single" w:sz="8" w:color="auto"/>
            </w:tcBorders>
          </w:tcPr>
          <w:p>
            <w:pPr>
              <w:spacing w:after="0"/>
              <w:rPr>
                <w:sz w:val="17"/>
                <w:szCs w:val="17"/>
                <w:color w:val="auto"/>
              </w:rPr>
            </w:pPr>
          </w:p>
        </w:tc>
        <w:tc>
          <w:tcPr>
            <w:tcW w:w="2500" w:type="dxa"/>
            <w:vAlign w:val="bottom"/>
            <w:tcBorders>
              <w:right w:val="single" w:sz="8" w:color="auto"/>
            </w:tcBorders>
          </w:tcPr>
          <w:p>
            <w:pPr>
              <w:spacing w:after="0"/>
              <w:rPr>
                <w:sz w:val="17"/>
                <w:szCs w:val="17"/>
                <w:color w:val="auto"/>
              </w:rPr>
            </w:pPr>
          </w:p>
        </w:tc>
        <w:tc>
          <w:tcPr>
            <w:tcW w:w="2560" w:type="dxa"/>
            <w:vAlign w:val="bottom"/>
            <w:tcBorders>
              <w:right w:val="single" w:sz="8" w:color="auto"/>
            </w:tcBorders>
          </w:tcPr>
          <w:p>
            <w:pPr>
              <w:jc w:val="center"/>
              <w:spacing w:after="0" w:line="198" w:lineRule="exact"/>
              <w:rPr>
                <w:sz w:val="20"/>
                <w:szCs w:val="20"/>
                <w:color w:val="auto"/>
              </w:rPr>
            </w:pPr>
            <w:r>
              <w:rPr>
                <w:rFonts w:ascii="Arial" w:cs="Arial" w:eastAsia="Arial" w:hAnsi="Arial"/>
                <w:sz w:val="18"/>
                <w:szCs w:val="18"/>
                <w:b w:val="1"/>
                <w:bCs w:val="1"/>
                <w:color w:val="auto"/>
                <w:w w:val="85"/>
              </w:rPr>
              <w:t>Goods on</w:t>
            </w:r>
          </w:p>
        </w:tc>
        <w:tc>
          <w:tcPr>
            <w:tcW w:w="0" w:type="dxa"/>
            <w:vAlign w:val="bottom"/>
          </w:tcPr>
          <w:p>
            <w:pPr>
              <w:spacing w:after="0"/>
              <w:rPr>
                <w:sz w:val="1"/>
                <w:szCs w:val="1"/>
                <w:color w:val="auto"/>
              </w:rPr>
            </w:pPr>
          </w:p>
        </w:tc>
      </w:tr>
      <w:tr>
        <w:trPr>
          <w:trHeight w:val="216"/>
        </w:trPr>
        <w:tc>
          <w:tcPr>
            <w:tcW w:w="1160" w:type="dxa"/>
            <w:vAlign w:val="bottom"/>
            <w:tcBorders>
              <w:left w:val="single" w:sz="8" w:color="auto"/>
              <w:right w:val="single" w:sz="8" w:color="auto"/>
            </w:tcBorders>
          </w:tcPr>
          <w:p>
            <w:pPr>
              <w:ind w:left="440"/>
              <w:spacing w:after="0"/>
              <w:rPr>
                <w:sz w:val="20"/>
                <w:szCs w:val="20"/>
                <w:color w:val="auto"/>
              </w:rPr>
            </w:pPr>
            <w:r>
              <w:rPr>
                <w:rFonts w:ascii="Arial" w:cs="Arial" w:eastAsia="Arial" w:hAnsi="Arial"/>
                <w:sz w:val="18"/>
                <w:szCs w:val="18"/>
                <w:b w:val="1"/>
                <w:bCs w:val="1"/>
                <w:color w:val="auto"/>
              </w:rPr>
              <w:t>S/N</w:t>
            </w:r>
          </w:p>
        </w:tc>
        <w:tc>
          <w:tcPr>
            <w:tcW w:w="254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w w:val="91"/>
              </w:rPr>
              <w:t>Customer Name</w:t>
            </w:r>
          </w:p>
        </w:tc>
        <w:tc>
          <w:tcPr>
            <w:tcW w:w="2480" w:type="dxa"/>
            <w:vAlign w:val="bottom"/>
            <w:tcBorders>
              <w:right w:val="single" w:sz="8" w:color="auto"/>
            </w:tcBorders>
          </w:tcPr>
          <w:p>
            <w:pPr>
              <w:jc w:val="right"/>
              <w:ind w:right="91"/>
              <w:spacing w:after="0"/>
              <w:rPr>
                <w:sz w:val="20"/>
                <w:szCs w:val="20"/>
                <w:color w:val="auto"/>
              </w:rPr>
            </w:pPr>
            <w:r>
              <w:rPr>
                <w:rFonts w:ascii="Arial" w:cs="Arial" w:eastAsia="Arial" w:hAnsi="Arial"/>
                <w:sz w:val="18"/>
                <w:szCs w:val="18"/>
                <w:b w:val="1"/>
                <w:bCs w:val="1"/>
                <w:color w:val="auto"/>
                <w:w w:val="91"/>
              </w:rPr>
              <w:t>Balance of deposits received</w:t>
            </w:r>
          </w:p>
        </w:tc>
        <w:tc>
          <w:tcPr>
            <w:tcW w:w="2500" w:type="dxa"/>
            <w:vAlign w:val="bottom"/>
            <w:tcBorders>
              <w:right w:val="single" w:sz="8" w:color="auto"/>
            </w:tcBorders>
          </w:tcPr>
          <w:p>
            <w:pPr>
              <w:ind w:left="240"/>
              <w:spacing w:after="0"/>
              <w:rPr>
                <w:sz w:val="20"/>
                <w:szCs w:val="20"/>
                <w:color w:val="auto"/>
              </w:rPr>
            </w:pPr>
            <w:r>
              <w:rPr>
                <w:rFonts w:ascii="Arial" w:cs="Arial" w:eastAsia="Arial" w:hAnsi="Arial"/>
                <w:sz w:val="18"/>
                <w:szCs w:val="18"/>
                <w:b w:val="1"/>
                <w:bCs w:val="1"/>
                <w:color w:val="auto"/>
              </w:rPr>
              <w:t>Amount of orders in hand</w:t>
            </w:r>
          </w:p>
        </w:tc>
        <w:tc>
          <w:tcPr>
            <w:tcW w:w="256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w w:val="90"/>
              </w:rPr>
              <w:t>delivery/unfinished</w:t>
            </w:r>
          </w:p>
        </w:tc>
        <w:tc>
          <w:tcPr>
            <w:tcW w:w="0" w:type="dxa"/>
            <w:vAlign w:val="bottom"/>
          </w:tcPr>
          <w:p>
            <w:pPr>
              <w:spacing w:after="0"/>
              <w:rPr>
                <w:sz w:val="1"/>
                <w:szCs w:val="1"/>
                <w:color w:val="auto"/>
              </w:rPr>
            </w:pPr>
          </w:p>
        </w:tc>
      </w:tr>
      <w:tr>
        <w:trPr>
          <w:trHeight w:val="241"/>
        </w:trPr>
        <w:tc>
          <w:tcPr>
            <w:tcW w:w="1160" w:type="dxa"/>
            <w:vAlign w:val="bottom"/>
            <w:tcBorders>
              <w:left w:val="single" w:sz="8" w:color="auto"/>
              <w:bottom w:val="single" w:sz="8" w:color="auto"/>
              <w:right w:val="single" w:sz="8" w:color="auto"/>
            </w:tcBorders>
          </w:tcPr>
          <w:p>
            <w:pPr>
              <w:spacing w:after="0"/>
              <w:rPr>
                <w:sz w:val="20"/>
                <w:szCs w:val="20"/>
                <w:color w:val="auto"/>
              </w:rPr>
            </w:pPr>
          </w:p>
        </w:tc>
        <w:tc>
          <w:tcPr>
            <w:tcW w:w="2540" w:type="dxa"/>
            <w:vAlign w:val="bottom"/>
            <w:tcBorders>
              <w:bottom w:val="single" w:sz="8" w:color="auto"/>
              <w:right w:val="single" w:sz="8" w:color="auto"/>
            </w:tcBorders>
          </w:tcPr>
          <w:p>
            <w:pPr>
              <w:spacing w:after="0"/>
              <w:rPr>
                <w:sz w:val="20"/>
                <w:szCs w:val="20"/>
                <w:color w:val="auto"/>
              </w:rPr>
            </w:pPr>
          </w:p>
        </w:tc>
        <w:tc>
          <w:tcPr>
            <w:tcW w:w="2480" w:type="dxa"/>
            <w:vAlign w:val="bottom"/>
            <w:tcBorders>
              <w:bottom w:val="single" w:sz="8" w:color="auto"/>
              <w:right w:val="single" w:sz="8" w:color="auto"/>
            </w:tcBorders>
          </w:tcPr>
          <w:p>
            <w:pPr>
              <w:spacing w:after="0"/>
              <w:rPr>
                <w:sz w:val="20"/>
                <w:szCs w:val="20"/>
                <w:color w:val="auto"/>
              </w:rPr>
            </w:pPr>
          </w:p>
        </w:tc>
        <w:tc>
          <w:tcPr>
            <w:tcW w:w="2500" w:type="dxa"/>
            <w:vAlign w:val="bottom"/>
            <w:tcBorders>
              <w:bottom w:val="single" w:sz="8" w:color="auto"/>
              <w:right w:val="single" w:sz="8" w:color="auto"/>
            </w:tcBorders>
          </w:tcPr>
          <w:p>
            <w:pPr>
              <w:spacing w:after="0"/>
              <w:rPr>
                <w:sz w:val="20"/>
                <w:szCs w:val="20"/>
                <w:color w:val="auto"/>
              </w:rPr>
            </w:pPr>
          </w:p>
        </w:tc>
        <w:tc>
          <w:tcPr>
            <w:tcW w:w="25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81"/>
              </w:rPr>
              <w:t>goods</w:t>
            </w:r>
          </w:p>
        </w:tc>
        <w:tc>
          <w:tcPr>
            <w:tcW w:w="0" w:type="dxa"/>
            <w:vAlign w:val="bottom"/>
          </w:tcPr>
          <w:p>
            <w:pPr>
              <w:spacing w:after="0"/>
              <w:rPr>
                <w:sz w:val="1"/>
                <w:szCs w:val="1"/>
                <w:color w:val="auto"/>
              </w:rPr>
            </w:pPr>
          </w:p>
        </w:tc>
      </w:tr>
      <w:tr>
        <w:trPr>
          <w:trHeight w:val="223"/>
        </w:trPr>
        <w:tc>
          <w:tcPr>
            <w:tcW w:w="116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79"/>
              </w:rPr>
              <w:t>1</w:t>
            </w:r>
          </w:p>
        </w:tc>
        <w:tc>
          <w:tcPr>
            <w:tcW w:w="25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8"/>
              </w:rPr>
              <w:t>Nepes</w:t>
            </w:r>
          </w:p>
        </w:tc>
        <w:tc>
          <w:tcPr>
            <w:tcW w:w="24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7"/>
              </w:rPr>
              <w:t>584.06</w:t>
            </w:r>
          </w:p>
        </w:tc>
        <w:tc>
          <w:tcPr>
            <w:tcW w:w="25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8"/>
              </w:rPr>
              <w:t>1,168.12</w:t>
            </w:r>
          </w:p>
        </w:tc>
        <w:tc>
          <w:tcPr>
            <w:tcW w:w="25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0"/>
              </w:rPr>
              <w:t>Goods on delivery</w:t>
            </w:r>
          </w:p>
        </w:tc>
        <w:tc>
          <w:tcPr>
            <w:tcW w:w="0" w:type="dxa"/>
            <w:vAlign w:val="bottom"/>
          </w:tcPr>
          <w:p>
            <w:pPr>
              <w:spacing w:after="0"/>
              <w:rPr>
                <w:sz w:val="1"/>
                <w:szCs w:val="1"/>
                <w:color w:val="auto"/>
              </w:rPr>
            </w:pPr>
          </w:p>
        </w:tc>
      </w:tr>
      <w:tr>
        <w:trPr>
          <w:trHeight w:val="223"/>
        </w:trPr>
        <w:tc>
          <w:tcPr>
            <w:tcW w:w="116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79"/>
              </w:rPr>
              <w:t>2</w:t>
            </w:r>
          </w:p>
        </w:tc>
        <w:tc>
          <w:tcPr>
            <w:tcW w:w="25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8"/>
              </w:rPr>
              <w:t>Nepes</w:t>
            </w:r>
          </w:p>
        </w:tc>
        <w:tc>
          <w:tcPr>
            <w:tcW w:w="24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7"/>
              </w:rPr>
              <w:t>407.07</w:t>
            </w:r>
          </w:p>
        </w:tc>
        <w:tc>
          <w:tcPr>
            <w:tcW w:w="25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0"/>
              </w:rPr>
              <w:t>814.14</w:t>
            </w:r>
          </w:p>
        </w:tc>
        <w:tc>
          <w:tcPr>
            <w:tcW w:w="25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0"/>
              </w:rPr>
              <w:t>Goods on delivery</w:t>
            </w:r>
          </w:p>
        </w:tc>
        <w:tc>
          <w:tcPr>
            <w:tcW w:w="0" w:type="dxa"/>
            <w:vAlign w:val="bottom"/>
          </w:tcPr>
          <w:p>
            <w:pPr>
              <w:spacing w:after="0"/>
              <w:rPr>
                <w:sz w:val="1"/>
                <w:szCs w:val="1"/>
                <w:color w:val="auto"/>
              </w:rPr>
            </w:pPr>
          </w:p>
        </w:tc>
      </w:tr>
      <w:tr>
        <w:trPr>
          <w:trHeight w:val="223"/>
        </w:trPr>
        <w:tc>
          <w:tcPr>
            <w:tcW w:w="116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79"/>
              </w:rPr>
              <w:t>3</w:t>
            </w:r>
          </w:p>
        </w:tc>
        <w:tc>
          <w:tcPr>
            <w:tcW w:w="25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4"/>
              </w:rPr>
              <w:t>Beijing U-precision</w:t>
            </w:r>
          </w:p>
        </w:tc>
        <w:tc>
          <w:tcPr>
            <w:tcW w:w="24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8"/>
              </w:rPr>
              <w:t>60.00</w:t>
            </w:r>
          </w:p>
        </w:tc>
        <w:tc>
          <w:tcPr>
            <w:tcW w:w="25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0"/>
              </w:rPr>
              <w:t>400.00</w:t>
            </w:r>
          </w:p>
        </w:tc>
        <w:tc>
          <w:tcPr>
            <w:tcW w:w="25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2"/>
              </w:rPr>
              <w:t>Unfinished goods</w:t>
            </w:r>
          </w:p>
        </w:tc>
        <w:tc>
          <w:tcPr>
            <w:tcW w:w="0" w:type="dxa"/>
            <w:vAlign w:val="bottom"/>
          </w:tcPr>
          <w:p>
            <w:pPr>
              <w:spacing w:after="0"/>
              <w:rPr>
                <w:sz w:val="1"/>
                <w:szCs w:val="1"/>
                <w:color w:val="auto"/>
              </w:rPr>
            </w:pPr>
          </w:p>
        </w:tc>
      </w:tr>
      <w:tr>
        <w:trPr>
          <w:trHeight w:val="223"/>
        </w:trPr>
        <w:tc>
          <w:tcPr>
            <w:tcW w:w="116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79"/>
              </w:rPr>
              <w:t>4</w:t>
            </w:r>
          </w:p>
        </w:tc>
        <w:tc>
          <w:tcPr>
            <w:tcW w:w="25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3"/>
              </w:rPr>
              <w:t>JCET</w:t>
            </w:r>
          </w:p>
        </w:tc>
        <w:tc>
          <w:tcPr>
            <w:tcW w:w="24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1"/>
              </w:rPr>
              <w:t>1,557.49</w:t>
            </w:r>
          </w:p>
        </w:tc>
        <w:tc>
          <w:tcPr>
            <w:tcW w:w="25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8"/>
              </w:rPr>
              <w:t>1,946.86</w:t>
            </w:r>
          </w:p>
        </w:tc>
        <w:tc>
          <w:tcPr>
            <w:tcW w:w="25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0"/>
              </w:rPr>
              <w:t>Goods on delivery</w:t>
            </w:r>
          </w:p>
        </w:tc>
        <w:tc>
          <w:tcPr>
            <w:tcW w:w="0" w:type="dxa"/>
            <w:vAlign w:val="bottom"/>
          </w:tcPr>
          <w:p>
            <w:pPr>
              <w:spacing w:after="0"/>
              <w:rPr>
                <w:sz w:val="1"/>
                <w:szCs w:val="1"/>
                <w:color w:val="auto"/>
              </w:rPr>
            </w:pPr>
          </w:p>
        </w:tc>
      </w:tr>
      <w:tr>
        <w:trPr>
          <w:trHeight w:val="223"/>
        </w:trPr>
        <w:tc>
          <w:tcPr>
            <w:tcW w:w="116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79"/>
              </w:rPr>
              <w:t>5</w:t>
            </w:r>
          </w:p>
        </w:tc>
        <w:tc>
          <w:tcPr>
            <w:tcW w:w="25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7"/>
              </w:rPr>
              <w:t>SMIC</w:t>
            </w:r>
          </w:p>
        </w:tc>
        <w:tc>
          <w:tcPr>
            <w:tcW w:w="24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7"/>
              </w:rPr>
              <w:t>679.63</w:t>
            </w:r>
          </w:p>
        </w:tc>
        <w:tc>
          <w:tcPr>
            <w:tcW w:w="25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8"/>
              </w:rPr>
              <w:t>2,265.44</w:t>
            </w:r>
          </w:p>
        </w:tc>
        <w:tc>
          <w:tcPr>
            <w:tcW w:w="25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0"/>
              </w:rPr>
              <w:t>Goods on delivery</w:t>
            </w:r>
          </w:p>
        </w:tc>
        <w:tc>
          <w:tcPr>
            <w:tcW w:w="0" w:type="dxa"/>
            <w:vAlign w:val="bottom"/>
          </w:tcPr>
          <w:p>
            <w:pPr>
              <w:spacing w:after="0"/>
              <w:rPr>
                <w:sz w:val="1"/>
                <w:szCs w:val="1"/>
                <w:color w:val="auto"/>
              </w:rPr>
            </w:pPr>
          </w:p>
        </w:tc>
      </w:tr>
      <w:tr>
        <w:trPr>
          <w:trHeight w:val="223"/>
        </w:trPr>
        <w:tc>
          <w:tcPr>
            <w:tcW w:w="116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79"/>
              </w:rPr>
              <w:t>6</w:t>
            </w:r>
          </w:p>
        </w:tc>
        <w:tc>
          <w:tcPr>
            <w:tcW w:w="25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7"/>
              </w:rPr>
              <w:t>SMIC</w:t>
            </w:r>
          </w:p>
        </w:tc>
        <w:tc>
          <w:tcPr>
            <w:tcW w:w="24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7"/>
              </w:rPr>
              <w:t>654.15</w:t>
            </w:r>
          </w:p>
        </w:tc>
        <w:tc>
          <w:tcPr>
            <w:tcW w:w="25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8"/>
              </w:rPr>
              <w:t>2,180.49</w:t>
            </w:r>
          </w:p>
        </w:tc>
        <w:tc>
          <w:tcPr>
            <w:tcW w:w="25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2"/>
              </w:rPr>
              <w:t>Unfinished goods</w:t>
            </w:r>
          </w:p>
        </w:tc>
        <w:tc>
          <w:tcPr>
            <w:tcW w:w="0" w:type="dxa"/>
            <w:vAlign w:val="bottom"/>
          </w:tcPr>
          <w:p>
            <w:pPr>
              <w:spacing w:after="0"/>
              <w:rPr>
                <w:sz w:val="1"/>
                <w:szCs w:val="1"/>
                <w:color w:val="auto"/>
              </w:rPr>
            </w:pPr>
          </w:p>
        </w:tc>
      </w:tr>
      <w:tr>
        <w:trPr>
          <w:trHeight w:val="223"/>
        </w:trPr>
        <w:tc>
          <w:tcPr>
            <w:tcW w:w="116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79"/>
              </w:rPr>
              <w:t>7</w:t>
            </w:r>
          </w:p>
        </w:tc>
        <w:tc>
          <w:tcPr>
            <w:tcW w:w="25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3"/>
              </w:rPr>
              <w:t>Xiamen Tongfu</w:t>
            </w:r>
          </w:p>
        </w:tc>
        <w:tc>
          <w:tcPr>
            <w:tcW w:w="24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8"/>
              </w:rPr>
              <w:t>73.63</w:t>
            </w:r>
          </w:p>
        </w:tc>
        <w:tc>
          <w:tcPr>
            <w:tcW w:w="25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0"/>
              </w:rPr>
              <w:t>368.13</w:t>
            </w:r>
          </w:p>
        </w:tc>
        <w:tc>
          <w:tcPr>
            <w:tcW w:w="25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0"/>
              </w:rPr>
              <w:t>Goods on delivery</w:t>
            </w:r>
          </w:p>
        </w:tc>
        <w:tc>
          <w:tcPr>
            <w:tcW w:w="0" w:type="dxa"/>
            <w:vAlign w:val="bottom"/>
          </w:tcPr>
          <w:p>
            <w:pPr>
              <w:spacing w:after="0"/>
              <w:rPr>
                <w:sz w:val="1"/>
                <w:szCs w:val="1"/>
                <w:color w:val="auto"/>
              </w:rPr>
            </w:pPr>
          </w:p>
        </w:tc>
      </w:tr>
      <w:tr>
        <w:trPr>
          <w:trHeight w:val="223"/>
        </w:trPr>
        <w:tc>
          <w:tcPr>
            <w:tcW w:w="116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79"/>
              </w:rPr>
              <w:t>8</w:t>
            </w:r>
          </w:p>
        </w:tc>
        <w:tc>
          <w:tcPr>
            <w:tcW w:w="25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0"/>
              </w:rPr>
              <w:t>Wafer Works</w:t>
            </w:r>
          </w:p>
        </w:tc>
        <w:tc>
          <w:tcPr>
            <w:tcW w:w="24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1"/>
              </w:rPr>
              <w:t>1,001.04</w:t>
            </w:r>
          </w:p>
        </w:tc>
        <w:tc>
          <w:tcPr>
            <w:tcW w:w="25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8"/>
              </w:rPr>
              <w:t>1,430.06</w:t>
            </w:r>
          </w:p>
        </w:tc>
        <w:tc>
          <w:tcPr>
            <w:tcW w:w="25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0"/>
              </w:rPr>
              <w:t>Goods on delivery</w:t>
            </w:r>
          </w:p>
        </w:tc>
        <w:tc>
          <w:tcPr>
            <w:tcW w:w="0" w:type="dxa"/>
            <w:vAlign w:val="bottom"/>
          </w:tcPr>
          <w:p>
            <w:pPr>
              <w:spacing w:after="0"/>
              <w:rPr>
                <w:sz w:val="1"/>
                <w:szCs w:val="1"/>
                <w:color w:val="auto"/>
              </w:rPr>
            </w:pPr>
          </w:p>
        </w:tc>
      </w:tr>
      <w:tr>
        <w:trPr>
          <w:trHeight w:val="202"/>
        </w:trPr>
        <w:tc>
          <w:tcPr>
            <w:tcW w:w="1160" w:type="dxa"/>
            <w:vAlign w:val="bottom"/>
            <w:tcBorders>
              <w:left w:val="single" w:sz="8" w:color="auto"/>
              <w:right w:val="single" w:sz="8" w:color="auto"/>
            </w:tcBorders>
          </w:tcPr>
          <w:p>
            <w:pPr>
              <w:spacing w:after="0"/>
              <w:rPr>
                <w:sz w:val="17"/>
                <w:szCs w:val="17"/>
                <w:color w:val="auto"/>
              </w:rPr>
            </w:pPr>
          </w:p>
        </w:tc>
        <w:tc>
          <w:tcPr>
            <w:tcW w:w="2540" w:type="dxa"/>
            <w:vAlign w:val="bottom"/>
            <w:tcBorders>
              <w:right w:val="single" w:sz="8" w:color="auto"/>
            </w:tcBorders>
          </w:tcPr>
          <w:p>
            <w:pPr>
              <w:jc w:val="center"/>
              <w:spacing w:after="0" w:line="201" w:lineRule="exact"/>
              <w:rPr>
                <w:sz w:val="20"/>
                <w:szCs w:val="20"/>
                <w:color w:val="auto"/>
              </w:rPr>
            </w:pPr>
            <w:r>
              <w:rPr>
                <w:rFonts w:ascii="Arial" w:cs="Arial" w:eastAsia="Arial" w:hAnsi="Arial"/>
                <w:sz w:val="18"/>
                <w:szCs w:val="18"/>
                <w:color w:val="auto"/>
                <w:w w:val="86"/>
              </w:rPr>
              <w:t>Shenzhen</w:t>
            </w:r>
          </w:p>
        </w:tc>
        <w:tc>
          <w:tcPr>
            <w:tcW w:w="2480" w:type="dxa"/>
            <w:vAlign w:val="bottom"/>
            <w:tcBorders>
              <w:right w:val="single" w:sz="8" w:color="auto"/>
            </w:tcBorders>
          </w:tcPr>
          <w:p>
            <w:pPr>
              <w:spacing w:after="0"/>
              <w:rPr>
                <w:sz w:val="17"/>
                <w:szCs w:val="17"/>
                <w:color w:val="auto"/>
              </w:rPr>
            </w:pPr>
          </w:p>
        </w:tc>
        <w:tc>
          <w:tcPr>
            <w:tcW w:w="2500" w:type="dxa"/>
            <w:vAlign w:val="bottom"/>
            <w:tcBorders>
              <w:right w:val="single" w:sz="8" w:color="auto"/>
            </w:tcBorders>
          </w:tcPr>
          <w:p>
            <w:pPr>
              <w:spacing w:after="0"/>
              <w:rPr>
                <w:sz w:val="17"/>
                <w:szCs w:val="17"/>
                <w:color w:val="auto"/>
              </w:rPr>
            </w:pPr>
          </w:p>
        </w:tc>
        <w:tc>
          <w:tcPr>
            <w:tcW w:w="256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160" w:type="dxa"/>
            <w:vAlign w:val="bottom"/>
            <w:tcBorders>
              <w:left w:val="single" w:sz="8" w:color="auto"/>
              <w:right w:val="single" w:sz="8" w:color="auto"/>
            </w:tcBorders>
          </w:tcPr>
          <w:p>
            <w:pPr>
              <w:spacing w:after="0"/>
              <w:rPr>
                <w:sz w:val="18"/>
                <w:szCs w:val="18"/>
                <w:color w:val="auto"/>
              </w:rPr>
            </w:pPr>
          </w:p>
        </w:tc>
        <w:tc>
          <w:tcPr>
            <w:tcW w:w="25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3"/>
              </w:rPr>
              <w:t>Institutes of</w:t>
            </w:r>
          </w:p>
        </w:tc>
        <w:tc>
          <w:tcPr>
            <w:tcW w:w="2480" w:type="dxa"/>
            <w:vAlign w:val="bottom"/>
            <w:tcBorders>
              <w:right w:val="single" w:sz="8" w:color="auto"/>
            </w:tcBorders>
          </w:tcPr>
          <w:p>
            <w:pPr>
              <w:spacing w:after="0"/>
              <w:rPr>
                <w:sz w:val="18"/>
                <w:szCs w:val="18"/>
                <w:color w:val="auto"/>
              </w:rPr>
            </w:pPr>
          </w:p>
        </w:tc>
        <w:tc>
          <w:tcPr>
            <w:tcW w:w="2500" w:type="dxa"/>
            <w:vAlign w:val="bottom"/>
            <w:tcBorders>
              <w:right w:val="single" w:sz="8" w:color="auto"/>
            </w:tcBorders>
          </w:tcPr>
          <w:p>
            <w:pPr>
              <w:spacing w:after="0"/>
              <w:rPr>
                <w:sz w:val="18"/>
                <w:szCs w:val="18"/>
                <w:color w:val="auto"/>
              </w:rPr>
            </w:pPr>
          </w:p>
        </w:tc>
        <w:tc>
          <w:tcPr>
            <w:tcW w:w="25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18"/>
                <w:szCs w:val="18"/>
                <w:color w:val="auto"/>
                <w:w w:val="79"/>
              </w:rPr>
              <w:t>9</w:t>
            </w:r>
          </w:p>
        </w:tc>
        <w:tc>
          <w:tcPr>
            <w:tcW w:w="25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1"/>
              </w:rPr>
              <w:t>Advance</w:t>
            </w:r>
          </w:p>
        </w:tc>
        <w:tc>
          <w:tcPr>
            <w:tcW w:w="24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87"/>
              </w:rPr>
              <w:t>199.55</w:t>
            </w:r>
          </w:p>
        </w:tc>
        <w:tc>
          <w:tcPr>
            <w:tcW w:w="25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0"/>
              </w:rPr>
              <w:t>285.08</w:t>
            </w:r>
          </w:p>
        </w:tc>
        <w:tc>
          <w:tcPr>
            <w:tcW w:w="256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0"/>
              </w:rPr>
              <w:t>Goods on delivery</w:t>
            </w:r>
          </w:p>
        </w:tc>
        <w:tc>
          <w:tcPr>
            <w:tcW w:w="0" w:type="dxa"/>
            <w:vAlign w:val="bottom"/>
          </w:tcPr>
          <w:p>
            <w:pPr>
              <w:spacing w:after="0"/>
              <w:rPr>
                <w:sz w:val="1"/>
                <w:szCs w:val="1"/>
                <w:color w:val="auto"/>
              </w:rPr>
            </w:pPr>
          </w:p>
        </w:tc>
      </w:tr>
      <w:tr>
        <w:trPr>
          <w:trHeight w:val="122"/>
        </w:trPr>
        <w:tc>
          <w:tcPr>
            <w:tcW w:w="1160" w:type="dxa"/>
            <w:vAlign w:val="bottom"/>
            <w:tcBorders>
              <w:left w:val="single" w:sz="8" w:color="auto"/>
              <w:right w:val="single" w:sz="8" w:color="auto"/>
            </w:tcBorders>
            <w:vMerge w:val="continue"/>
          </w:tcPr>
          <w:p>
            <w:pPr>
              <w:spacing w:after="0"/>
              <w:rPr>
                <w:sz w:val="10"/>
                <w:szCs w:val="10"/>
                <w:color w:val="auto"/>
              </w:rPr>
            </w:pPr>
          </w:p>
        </w:tc>
        <w:tc>
          <w:tcPr>
            <w:tcW w:w="254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2"/>
              </w:rPr>
              <w:t>Technology</w:t>
            </w:r>
          </w:p>
        </w:tc>
        <w:tc>
          <w:tcPr>
            <w:tcW w:w="2480" w:type="dxa"/>
            <w:vAlign w:val="bottom"/>
            <w:tcBorders>
              <w:right w:val="single" w:sz="8" w:color="auto"/>
            </w:tcBorders>
            <w:vMerge w:val="continue"/>
          </w:tcPr>
          <w:p>
            <w:pPr>
              <w:spacing w:after="0"/>
              <w:rPr>
                <w:sz w:val="10"/>
                <w:szCs w:val="10"/>
                <w:color w:val="auto"/>
              </w:rPr>
            </w:pPr>
          </w:p>
        </w:tc>
        <w:tc>
          <w:tcPr>
            <w:tcW w:w="2500" w:type="dxa"/>
            <w:vAlign w:val="bottom"/>
            <w:tcBorders>
              <w:right w:val="single" w:sz="8" w:color="auto"/>
            </w:tcBorders>
            <w:vMerge w:val="continue"/>
          </w:tcPr>
          <w:p>
            <w:pPr>
              <w:spacing w:after="0"/>
              <w:rPr>
                <w:sz w:val="10"/>
                <w:szCs w:val="10"/>
                <w:color w:val="auto"/>
              </w:rPr>
            </w:pPr>
          </w:p>
        </w:tc>
        <w:tc>
          <w:tcPr>
            <w:tcW w:w="2560" w:type="dxa"/>
            <w:vAlign w:val="bottom"/>
            <w:tcBorders>
              <w:right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4"/>
        </w:trPr>
        <w:tc>
          <w:tcPr>
            <w:tcW w:w="1160" w:type="dxa"/>
            <w:vAlign w:val="bottom"/>
            <w:tcBorders>
              <w:left w:val="single" w:sz="8" w:color="auto"/>
              <w:right w:val="single" w:sz="8" w:color="auto"/>
            </w:tcBorders>
          </w:tcPr>
          <w:p>
            <w:pPr>
              <w:spacing w:after="0"/>
              <w:rPr>
                <w:sz w:val="8"/>
                <w:szCs w:val="8"/>
                <w:color w:val="auto"/>
              </w:rPr>
            </w:pPr>
          </w:p>
        </w:tc>
        <w:tc>
          <w:tcPr>
            <w:tcW w:w="2540" w:type="dxa"/>
            <w:vAlign w:val="bottom"/>
            <w:tcBorders>
              <w:right w:val="single" w:sz="8" w:color="auto"/>
            </w:tcBorders>
            <w:vMerge w:val="continue"/>
          </w:tcPr>
          <w:p>
            <w:pPr>
              <w:spacing w:after="0"/>
              <w:rPr>
                <w:sz w:val="8"/>
                <w:szCs w:val="8"/>
                <w:color w:val="auto"/>
              </w:rPr>
            </w:pPr>
          </w:p>
        </w:tc>
        <w:tc>
          <w:tcPr>
            <w:tcW w:w="2480" w:type="dxa"/>
            <w:vAlign w:val="bottom"/>
            <w:tcBorders>
              <w:right w:val="single" w:sz="8" w:color="auto"/>
            </w:tcBorders>
          </w:tcPr>
          <w:p>
            <w:pPr>
              <w:spacing w:after="0"/>
              <w:rPr>
                <w:sz w:val="8"/>
                <w:szCs w:val="8"/>
                <w:color w:val="auto"/>
              </w:rPr>
            </w:pPr>
          </w:p>
        </w:tc>
        <w:tc>
          <w:tcPr>
            <w:tcW w:w="2500" w:type="dxa"/>
            <w:vAlign w:val="bottom"/>
            <w:tcBorders>
              <w:right w:val="single" w:sz="8" w:color="auto"/>
            </w:tcBorders>
          </w:tcPr>
          <w:p>
            <w:pPr>
              <w:spacing w:after="0"/>
              <w:rPr>
                <w:sz w:val="8"/>
                <w:szCs w:val="8"/>
                <w:color w:val="auto"/>
              </w:rPr>
            </w:pPr>
          </w:p>
        </w:tc>
        <w:tc>
          <w:tcPr>
            <w:tcW w:w="2560" w:type="dxa"/>
            <w:vAlign w:val="bottom"/>
            <w:tcBorders>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1160" w:type="dxa"/>
            <w:vAlign w:val="bottom"/>
            <w:tcBorders>
              <w:left w:val="single" w:sz="8" w:color="auto"/>
              <w:right w:val="single" w:sz="8" w:color="auto"/>
            </w:tcBorders>
          </w:tcPr>
          <w:p>
            <w:pPr>
              <w:spacing w:after="0"/>
              <w:rPr>
                <w:sz w:val="18"/>
                <w:szCs w:val="18"/>
                <w:color w:val="auto"/>
              </w:rPr>
            </w:pPr>
          </w:p>
        </w:tc>
        <w:tc>
          <w:tcPr>
            <w:tcW w:w="25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8"/>
              </w:rPr>
              <w:t>Chinese Academy</w:t>
            </w:r>
          </w:p>
        </w:tc>
        <w:tc>
          <w:tcPr>
            <w:tcW w:w="2480" w:type="dxa"/>
            <w:vAlign w:val="bottom"/>
            <w:tcBorders>
              <w:right w:val="single" w:sz="8" w:color="auto"/>
            </w:tcBorders>
          </w:tcPr>
          <w:p>
            <w:pPr>
              <w:spacing w:after="0"/>
              <w:rPr>
                <w:sz w:val="18"/>
                <w:szCs w:val="18"/>
                <w:color w:val="auto"/>
              </w:rPr>
            </w:pPr>
          </w:p>
        </w:tc>
        <w:tc>
          <w:tcPr>
            <w:tcW w:w="2500" w:type="dxa"/>
            <w:vAlign w:val="bottom"/>
            <w:tcBorders>
              <w:right w:val="single" w:sz="8" w:color="auto"/>
            </w:tcBorders>
          </w:tcPr>
          <w:p>
            <w:pPr>
              <w:spacing w:after="0"/>
              <w:rPr>
                <w:sz w:val="18"/>
                <w:szCs w:val="18"/>
                <w:color w:val="auto"/>
              </w:rPr>
            </w:pPr>
          </w:p>
        </w:tc>
        <w:tc>
          <w:tcPr>
            <w:tcW w:w="25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1160" w:type="dxa"/>
            <w:vAlign w:val="bottom"/>
            <w:tcBorders>
              <w:left w:val="single" w:sz="8" w:color="auto"/>
              <w:bottom w:val="single" w:sz="8" w:color="auto"/>
              <w:right w:val="single" w:sz="8" w:color="auto"/>
            </w:tcBorders>
          </w:tcPr>
          <w:p>
            <w:pPr>
              <w:spacing w:after="0"/>
              <w:rPr>
                <w:sz w:val="20"/>
                <w:szCs w:val="20"/>
                <w:color w:val="auto"/>
              </w:rPr>
            </w:pPr>
          </w:p>
        </w:tc>
        <w:tc>
          <w:tcPr>
            <w:tcW w:w="25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7"/>
              </w:rPr>
              <w:t>of Science</w:t>
            </w:r>
          </w:p>
        </w:tc>
        <w:tc>
          <w:tcPr>
            <w:tcW w:w="2480" w:type="dxa"/>
            <w:vAlign w:val="bottom"/>
            <w:tcBorders>
              <w:bottom w:val="single" w:sz="8" w:color="auto"/>
              <w:right w:val="single" w:sz="8" w:color="auto"/>
            </w:tcBorders>
          </w:tcPr>
          <w:p>
            <w:pPr>
              <w:spacing w:after="0"/>
              <w:rPr>
                <w:sz w:val="20"/>
                <w:szCs w:val="20"/>
                <w:color w:val="auto"/>
              </w:rPr>
            </w:pPr>
          </w:p>
        </w:tc>
        <w:tc>
          <w:tcPr>
            <w:tcW w:w="2500" w:type="dxa"/>
            <w:vAlign w:val="bottom"/>
            <w:tcBorders>
              <w:bottom w:val="single" w:sz="8" w:color="auto"/>
              <w:right w:val="single" w:sz="8" w:color="auto"/>
            </w:tcBorders>
          </w:tcPr>
          <w:p>
            <w:pPr>
              <w:spacing w:after="0"/>
              <w:rPr>
                <w:sz w:val="20"/>
                <w:szCs w:val="20"/>
                <w:color w:val="auto"/>
              </w:rPr>
            </w:pPr>
          </w:p>
        </w:tc>
        <w:tc>
          <w:tcPr>
            <w:tcW w:w="256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116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9"/>
              </w:rPr>
              <w:t>10</w:t>
            </w:r>
          </w:p>
        </w:tc>
        <w:tc>
          <w:tcPr>
            <w:tcW w:w="25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1"/>
              </w:rPr>
              <w:t>Raytron</w:t>
            </w:r>
          </w:p>
        </w:tc>
        <w:tc>
          <w:tcPr>
            <w:tcW w:w="24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7"/>
              </w:rPr>
              <w:t>413.80</w:t>
            </w:r>
          </w:p>
        </w:tc>
        <w:tc>
          <w:tcPr>
            <w:tcW w:w="25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0"/>
              </w:rPr>
              <w:t>591.14</w:t>
            </w:r>
          </w:p>
        </w:tc>
        <w:tc>
          <w:tcPr>
            <w:tcW w:w="25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0"/>
              </w:rPr>
              <w:t>Goods on delivery</w:t>
            </w:r>
          </w:p>
        </w:tc>
        <w:tc>
          <w:tcPr>
            <w:tcW w:w="0" w:type="dxa"/>
            <w:vAlign w:val="bottom"/>
          </w:tcPr>
          <w:p>
            <w:pPr>
              <w:spacing w:after="0"/>
              <w:rPr>
                <w:sz w:val="1"/>
                <w:szCs w:val="1"/>
                <w:color w:val="auto"/>
              </w:rPr>
            </w:pPr>
          </w:p>
        </w:tc>
      </w:tr>
      <w:tr>
        <w:trPr>
          <w:trHeight w:val="223"/>
        </w:trPr>
        <w:tc>
          <w:tcPr>
            <w:tcW w:w="116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79"/>
              </w:rPr>
              <w:t>11</w:t>
            </w:r>
          </w:p>
        </w:tc>
        <w:tc>
          <w:tcPr>
            <w:tcW w:w="25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8"/>
              </w:rPr>
              <w:t>Nepes</w:t>
            </w:r>
          </w:p>
        </w:tc>
        <w:tc>
          <w:tcPr>
            <w:tcW w:w="24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7"/>
              </w:rPr>
              <w:t>365.30</w:t>
            </w:r>
          </w:p>
        </w:tc>
        <w:tc>
          <w:tcPr>
            <w:tcW w:w="25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0"/>
              </w:rPr>
              <w:t>456.63</w:t>
            </w:r>
          </w:p>
        </w:tc>
        <w:tc>
          <w:tcPr>
            <w:tcW w:w="25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0"/>
              </w:rPr>
              <w:t>Goods on delivery</w:t>
            </w:r>
          </w:p>
        </w:tc>
        <w:tc>
          <w:tcPr>
            <w:tcW w:w="0" w:type="dxa"/>
            <w:vAlign w:val="bottom"/>
          </w:tcPr>
          <w:p>
            <w:pPr>
              <w:spacing w:after="0"/>
              <w:rPr>
                <w:sz w:val="1"/>
                <w:szCs w:val="1"/>
                <w:color w:val="auto"/>
              </w:rPr>
            </w:pPr>
          </w:p>
        </w:tc>
      </w:tr>
      <w:tr>
        <w:trPr>
          <w:trHeight w:val="223"/>
        </w:trPr>
        <w:tc>
          <w:tcPr>
            <w:tcW w:w="116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9"/>
              </w:rPr>
              <w:t>12</w:t>
            </w:r>
          </w:p>
        </w:tc>
        <w:tc>
          <w:tcPr>
            <w:tcW w:w="25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4"/>
              </w:rPr>
              <w:t>Total</w:t>
            </w:r>
          </w:p>
        </w:tc>
        <w:tc>
          <w:tcPr>
            <w:tcW w:w="24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1"/>
              </w:rPr>
              <w:t>5,995.72</w:t>
            </w:r>
          </w:p>
        </w:tc>
        <w:tc>
          <w:tcPr>
            <w:tcW w:w="25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7"/>
              </w:rPr>
              <w:t>11,906.08</w:t>
            </w:r>
          </w:p>
        </w:tc>
        <w:tc>
          <w:tcPr>
            <w:tcW w:w="2560" w:type="dxa"/>
            <w:vAlign w:val="bottom"/>
            <w:tcBorders>
              <w:bottom w:val="single" w:sz="8" w:color="auto"/>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582"/>
        </w:trPr>
        <w:tc>
          <w:tcPr>
            <w:tcW w:w="1160" w:type="dxa"/>
            <w:vAlign w:val="bottom"/>
          </w:tcPr>
          <w:p>
            <w:pPr>
              <w:spacing w:after="0"/>
              <w:rPr>
                <w:sz w:val="24"/>
                <w:szCs w:val="24"/>
                <w:color w:val="auto"/>
              </w:rPr>
            </w:pPr>
          </w:p>
        </w:tc>
        <w:tc>
          <w:tcPr>
            <w:tcW w:w="2540" w:type="dxa"/>
            <w:vAlign w:val="bottom"/>
          </w:tcPr>
          <w:p>
            <w:pPr>
              <w:spacing w:after="0"/>
              <w:rPr>
                <w:sz w:val="24"/>
                <w:szCs w:val="24"/>
                <w:color w:val="auto"/>
              </w:rPr>
            </w:pPr>
          </w:p>
        </w:tc>
        <w:tc>
          <w:tcPr>
            <w:tcW w:w="2480" w:type="dxa"/>
            <w:vAlign w:val="bottom"/>
          </w:tcPr>
          <w:p>
            <w:pPr>
              <w:jc w:val="right"/>
              <w:ind w:right="211"/>
              <w:spacing w:after="0"/>
              <w:rPr>
                <w:sz w:val="20"/>
                <w:szCs w:val="20"/>
                <w:color w:val="auto"/>
              </w:rPr>
            </w:pPr>
            <w:r>
              <w:rPr>
                <w:rFonts w:ascii="Arial" w:cs="Arial" w:eastAsia="Arial" w:hAnsi="Arial"/>
                <w:sz w:val="14"/>
                <w:szCs w:val="14"/>
                <w:color w:val="auto"/>
              </w:rPr>
              <w:t>8-4-1-63</w:t>
            </w:r>
          </w:p>
        </w:tc>
        <w:tc>
          <w:tcPr>
            <w:tcW w:w="2500" w:type="dxa"/>
            <w:vAlign w:val="bottom"/>
          </w:tcPr>
          <w:p>
            <w:pPr>
              <w:spacing w:after="0"/>
              <w:rPr>
                <w:sz w:val="24"/>
                <w:szCs w:val="24"/>
                <w:color w:val="auto"/>
              </w:rPr>
            </w:pPr>
          </w:p>
        </w:tc>
        <w:tc>
          <w:tcPr>
            <w:tcW w:w="2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6"/>
        </w:trPr>
        <w:tc>
          <w:tcPr>
            <w:tcW w:w="1160" w:type="dxa"/>
            <w:vAlign w:val="bottom"/>
            <w:tcBorders>
              <w:bottom w:val="single" w:sz="8" w:color="auto"/>
            </w:tcBorders>
          </w:tcPr>
          <w:p>
            <w:pPr>
              <w:spacing w:after="0"/>
              <w:rPr>
                <w:sz w:val="4"/>
                <w:szCs w:val="4"/>
                <w:color w:val="auto"/>
              </w:rPr>
            </w:pPr>
          </w:p>
        </w:tc>
        <w:tc>
          <w:tcPr>
            <w:tcW w:w="2540" w:type="dxa"/>
            <w:vAlign w:val="bottom"/>
            <w:tcBorders>
              <w:bottom w:val="single" w:sz="8" w:color="auto"/>
            </w:tcBorders>
          </w:tcPr>
          <w:p>
            <w:pPr>
              <w:spacing w:after="0"/>
              <w:rPr>
                <w:sz w:val="4"/>
                <w:szCs w:val="4"/>
                <w:color w:val="auto"/>
              </w:rPr>
            </w:pPr>
          </w:p>
        </w:tc>
        <w:tc>
          <w:tcPr>
            <w:tcW w:w="2480" w:type="dxa"/>
            <w:vAlign w:val="bottom"/>
            <w:tcBorders>
              <w:bottom w:val="single" w:sz="8" w:color="auto"/>
            </w:tcBorders>
          </w:tcPr>
          <w:p>
            <w:pPr>
              <w:spacing w:after="0"/>
              <w:rPr>
                <w:sz w:val="4"/>
                <w:szCs w:val="4"/>
                <w:color w:val="auto"/>
              </w:rPr>
            </w:pPr>
          </w:p>
        </w:tc>
        <w:tc>
          <w:tcPr>
            <w:tcW w:w="2500" w:type="dxa"/>
            <w:vAlign w:val="bottom"/>
            <w:tcBorders>
              <w:bottom w:val="single" w:sz="8" w:color="auto"/>
            </w:tcBorders>
          </w:tcPr>
          <w:p>
            <w:pPr>
              <w:spacing w:after="0"/>
              <w:rPr>
                <w:sz w:val="4"/>
                <w:szCs w:val="4"/>
                <w:color w:val="auto"/>
              </w:rPr>
            </w:pPr>
          </w:p>
        </w:tc>
        <w:tc>
          <w:tcPr>
            <w:tcW w:w="256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112" w:right="339" w:bottom="1440" w:gutter="0" w:footer="0" w:header="0"/>
        </w:sectPr>
      </w:pPr>
    </w:p>
    <w:bookmarkStart w:id="67" w:name="page68"/>
    <w:bookmarkEnd w:id="67"/>
    <w:p>
      <w:pPr>
        <w:ind w:left="340"/>
        <w:spacing w:after="0"/>
        <w:rPr>
          <w:sz w:val="20"/>
          <w:szCs w:val="20"/>
          <w:color w:val="auto"/>
        </w:rPr>
      </w:pPr>
      <w:r>
        <w:rPr>
          <w:rFonts w:ascii="Arial" w:cs="Arial" w:eastAsia="Arial" w:hAnsi="Arial"/>
          <w:sz w:val="18"/>
          <w:szCs w:val="18"/>
          <w:color w:val="auto"/>
        </w:rPr>
        <w:t>Note: Raytron Technology Co., Ltd. is referred to as “Raytron.”</w:t>
      </w:r>
    </w:p>
    <w:p>
      <w:pPr>
        <w:spacing w:after="0" w:line="252" w:lineRule="exact"/>
        <w:rPr>
          <w:sz w:val="20"/>
          <w:szCs w:val="20"/>
          <w:color w:val="auto"/>
        </w:rPr>
      </w:pPr>
    </w:p>
    <w:p>
      <w:pPr>
        <w:ind w:left="340"/>
        <w:spacing w:after="0"/>
        <w:rPr>
          <w:sz w:val="20"/>
          <w:szCs w:val="20"/>
          <w:color w:val="auto"/>
        </w:rPr>
      </w:pPr>
      <w:r>
        <w:rPr>
          <w:rFonts w:ascii="Arial" w:cs="Arial" w:eastAsia="Arial" w:hAnsi="Arial"/>
          <w:sz w:val="18"/>
          <w:szCs w:val="18"/>
          <w:color w:val="auto"/>
        </w:rPr>
        <w:t>2. December 31, 2019</w:t>
      </w:r>
    </w:p>
    <w:p>
      <w:pPr>
        <w:spacing w:after="0" w:line="252" w:lineRule="exact"/>
        <w:rPr>
          <w:sz w:val="20"/>
          <w:szCs w:val="20"/>
          <w:color w:val="auto"/>
        </w:rPr>
      </w:pPr>
    </w:p>
    <w:tbl>
      <w:tblPr>
        <w:tblLayout w:type="fixed"/>
        <w:tblInd w:w="10" w:type="dxa"/>
        <w:tblCellMar>
          <w:top w:w="0" w:type="dxa"/>
          <w:left w:w="0" w:type="dxa"/>
          <w:bottom w:w="0" w:type="dxa"/>
          <w:right w:w="0" w:type="dxa"/>
        </w:tblCellMar>
      </w:tblPr>
      <w:tr>
        <w:trPr>
          <w:trHeight w:val="230"/>
        </w:trPr>
        <w:tc>
          <w:tcPr>
            <w:tcW w:w="1160" w:type="dxa"/>
            <w:vAlign w:val="bottom"/>
          </w:tcPr>
          <w:p>
            <w:pPr>
              <w:spacing w:after="0"/>
              <w:rPr>
                <w:sz w:val="20"/>
                <w:szCs w:val="20"/>
                <w:color w:val="auto"/>
              </w:rPr>
            </w:pPr>
          </w:p>
        </w:tc>
        <w:tc>
          <w:tcPr>
            <w:tcW w:w="2540" w:type="dxa"/>
            <w:vAlign w:val="bottom"/>
          </w:tcPr>
          <w:p>
            <w:pPr>
              <w:spacing w:after="0"/>
              <w:rPr>
                <w:sz w:val="20"/>
                <w:szCs w:val="20"/>
                <w:color w:val="auto"/>
              </w:rPr>
            </w:pPr>
          </w:p>
        </w:tc>
        <w:tc>
          <w:tcPr>
            <w:tcW w:w="2480" w:type="dxa"/>
            <w:vAlign w:val="bottom"/>
          </w:tcPr>
          <w:p>
            <w:pPr>
              <w:spacing w:after="0"/>
              <w:rPr>
                <w:sz w:val="20"/>
                <w:szCs w:val="20"/>
                <w:color w:val="auto"/>
              </w:rPr>
            </w:pPr>
          </w:p>
        </w:tc>
        <w:tc>
          <w:tcPr>
            <w:tcW w:w="2500" w:type="dxa"/>
            <w:vAlign w:val="bottom"/>
          </w:tcPr>
          <w:p>
            <w:pPr>
              <w:spacing w:after="0"/>
              <w:rPr>
                <w:sz w:val="20"/>
                <w:szCs w:val="20"/>
                <w:color w:val="auto"/>
              </w:rPr>
            </w:pPr>
          </w:p>
        </w:tc>
        <w:tc>
          <w:tcPr>
            <w:tcW w:w="2560" w:type="dxa"/>
            <w:vAlign w:val="bottom"/>
          </w:tcPr>
          <w:p>
            <w:pPr>
              <w:jc w:val="right"/>
              <w:spacing w:after="0"/>
              <w:rPr>
                <w:sz w:val="20"/>
                <w:szCs w:val="20"/>
                <w:color w:val="auto"/>
              </w:rPr>
            </w:pPr>
            <w:r>
              <w:rPr>
                <w:rFonts w:ascii="Arial" w:cs="Arial" w:eastAsia="Arial" w:hAnsi="Arial"/>
                <w:sz w:val="18"/>
                <w:szCs w:val="18"/>
                <w:color w:val="auto"/>
              </w:rPr>
              <w:t>Unit: RMB10,000</w:t>
            </w:r>
          </w:p>
        </w:tc>
        <w:tc>
          <w:tcPr>
            <w:tcW w:w="0" w:type="dxa"/>
            <w:vAlign w:val="bottom"/>
          </w:tcPr>
          <w:p>
            <w:pPr>
              <w:spacing w:after="0"/>
              <w:rPr>
                <w:sz w:val="1"/>
                <w:szCs w:val="1"/>
                <w:color w:val="auto"/>
              </w:rPr>
            </w:pPr>
          </w:p>
        </w:tc>
      </w:tr>
      <w:tr>
        <w:trPr>
          <w:trHeight w:val="250"/>
        </w:trPr>
        <w:tc>
          <w:tcPr>
            <w:tcW w:w="1160" w:type="dxa"/>
            <w:vAlign w:val="bottom"/>
            <w:tcBorders>
              <w:bottom w:val="single" w:sz="8" w:color="auto"/>
            </w:tcBorders>
          </w:tcPr>
          <w:p>
            <w:pPr>
              <w:spacing w:after="0"/>
              <w:rPr>
                <w:sz w:val="21"/>
                <w:szCs w:val="21"/>
                <w:color w:val="auto"/>
              </w:rPr>
            </w:pPr>
          </w:p>
        </w:tc>
        <w:tc>
          <w:tcPr>
            <w:tcW w:w="2540" w:type="dxa"/>
            <w:vAlign w:val="bottom"/>
            <w:tcBorders>
              <w:bottom w:val="single" w:sz="8" w:color="auto"/>
            </w:tcBorders>
          </w:tcPr>
          <w:p>
            <w:pPr>
              <w:spacing w:after="0"/>
              <w:rPr>
                <w:sz w:val="21"/>
                <w:szCs w:val="21"/>
                <w:color w:val="auto"/>
              </w:rPr>
            </w:pPr>
          </w:p>
        </w:tc>
        <w:tc>
          <w:tcPr>
            <w:tcW w:w="2480" w:type="dxa"/>
            <w:vAlign w:val="bottom"/>
            <w:tcBorders>
              <w:bottom w:val="single" w:sz="8" w:color="auto"/>
            </w:tcBorders>
          </w:tcPr>
          <w:p>
            <w:pPr>
              <w:spacing w:after="0"/>
              <w:rPr>
                <w:sz w:val="21"/>
                <w:szCs w:val="21"/>
                <w:color w:val="auto"/>
              </w:rPr>
            </w:pPr>
          </w:p>
        </w:tc>
        <w:tc>
          <w:tcPr>
            <w:tcW w:w="2500" w:type="dxa"/>
            <w:vAlign w:val="bottom"/>
            <w:tcBorders>
              <w:bottom w:val="single" w:sz="8" w:color="auto"/>
            </w:tcBorders>
          </w:tcPr>
          <w:p>
            <w:pPr>
              <w:spacing w:after="0"/>
              <w:rPr>
                <w:sz w:val="21"/>
                <w:szCs w:val="21"/>
                <w:color w:val="auto"/>
              </w:rPr>
            </w:pPr>
          </w:p>
        </w:tc>
        <w:tc>
          <w:tcPr>
            <w:tcW w:w="256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198"/>
        </w:trPr>
        <w:tc>
          <w:tcPr>
            <w:tcW w:w="1160" w:type="dxa"/>
            <w:vAlign w:val="bottom"/>
            <w:tcBorders>
              <w:left w:val="single" w:sz="8" w:color="auto"/>
              <w:right w:val="single" w:sz="8" w:color="auto"/>
            </w:tcBorders>
          </w:tcPr>
          <w:p>
            <w:pPr>
              <w:spacing w:after="0"/>
              <w:rPr>
                <w:sz w:val="17"/>
                <w:szCs w:val="17"/>
                <w:color w:val="auto"/>
              </w:rPr>
            </w:pPr>
          </w:p>
        </w:tc>
        <w:tc>
          <w:tcPr>
            <w:tcW w:w="2540" w:type="dxa"/>
            <w:vAlign w:val="bottom"/>
            <w:tcBorders>
              <w:right w:val="single" w:sz="8" w:color="auto"/>
            </w:tcBorders>
          </w:tcPr>
          <w:p>
            <w:pPr>
              <w:spacing w:after="0"/>
              <w:rPr>
                <w:sz w:val="17"/>
                <w:szCs w:val="17"/>
                <w:color w:val="auto"/>
              </w:rPr>
            </w:pPr>
          </w:p>
        </w:tc>
        <w:tc>
          <w:tcPr>
            <w:tcW w:w="24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b w:val="1"/>
                <w:bCs w:val="1"/>
                <w:color w:val="auto"/>
                <w:w w:val="87"/>
              </w:rPr>
              <w:t>Balance of deposits</w:t>
            </w:r>
          </w:p>
        </w:tc>
        <w:tc>
          <w:tcPr>
            <w:tcW w:w="25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b w:val="1"/>
                <w:bCs w:val="1"/>
                <w:color w:val="auto"/>
                <w:w w:val="90"/>
              </w:rPr>
              <w:t>Amount of orders in</w:t>
            </w:r>
          </w:p>
        </w:tc>
        <w:tc>
          <w:tcPr>
            <w:tcW w:w="2560" w:type="dxa"/>
            <w:vAlign w:val="bottom"/>
            <w:tcBorders>
              <w:right w:val="single" w:sz="8" w:color="auto"/>
            </w:tcBorders>
          </w:tcPr>
          <w:p>
            <w:pPr>
              <w:jc w:val="center"/>
              <w:spacing w:after="0" w:line="198" w:lineRule="exact"/>
              <w:rPr>
                <w:sz w:val="20"/>
                <w:szCs w:val="20"/>
                <w:color w:val="auto"/>
              </w:rPr>
            </w:pPr>
            <w:r>
              <w:rPr>
                <w:rFonts w:ascii="Arial" w:cs="Arial" w:eastAsia="Arial" w:hAnsi="Arial"/>
                <w:sz w:val="18"/>
                <w:szCs w:val="18"/>
                <w:b w:val="1"/>
                <w:bCs w:val="1"/>
                <w:color w:val="auto"/>
                <w:w w:val="85"/>
              </w:rPr>
              <w:t>Goods on</w:t>
            </w:r>
          </w:p>
        </w:tc>
        <w:tc>
          <w:tcPr>
            <w:tcW w:w="0" w:type="dxa"/>
            <w:vAlign w:val="bottom"/>
          </w:tcPr>
          <w:p>
            <w:pPr>
              <w:spacing w:after="0"/>
              <w:rPr>
                <w:sz w:val="1"/>
                <w:szCs w:val="1"/>
                <w:color w:val="auto"/>
              </w:rPr>
            </w:pPr>
          </w:p>
        </w:tc>
      </w:tr>
      <w:tr>
        <w:trPr>
          <w:trHeight w:val="108"/>
        </w:trPr>
        <w:tc>
          <w:tcPr>
            <w:tcW w:w="1160" w:type="dxa"/>
            <w:vAlign w:val="bottom"/>
            <w:tcBorders>
              <w:left w:val="single" w:sz="8" w:color="auto"/>
              <w:right w:val="single" w:sz="8" w:color="auto"/>
            </w:tcBorders>
            <w:vMerge w:val="restart"/>
          </w:tcPr>
          <w:p>
            <w:pPr>
              <w:ind w:left="440"/>
              <w:spacing w:after="0"/>
              <w:rPr>
                <w:sz w:val="20"/>
                <w:szCs w:val="20"/>
                <w:color w:val="auto"/>
              </w:rPr>
            </w:pPr>
            <w:r>
              <w:rPr>
                <w:rFonts w:ascii="Arial" w:cs="Arial" w:eastAsia="Arial" w:hAnsi="Arial"/>
                <w:sz w:val="18"/>
                <w:szCs w:val="18"/>
                <w:b w:val="1"/>
                <w:bCs w:val="1"/>
                <w:color w:val="auto"/>
              </w:rPr>
              <w:t>S/N</w:t>
            </w:r>
          </w:p>
        </w:tc>
        <w:tc>
          <w:tcPr>
            <w:tcW w:w="254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b w:val="1"/>
                <w:bCs w:val="1"/>
                <w:color w:val="auto"/>
                <w:w w:val="91"/>
              </w:rPr>
              <w:t>Customer Name</w:t>
            </w:r>
          </w:p>
        </w:tc>
        <w:tc>
          <w:tcPr>
            <w:tcW w:w="2480" w:type="dxa"/>
            <w:vAlign w:val="bottom"/>
            <w:tcBorders>
              <w:right w:val="single" w:sz="8" w:color="auto"/>
            </w:tcBorders>
            <w:vMerge w:val="continue"/>
          </w:tcPr>
          <w:p>
            <w:pPr>
              <w:spacing w:after="0"/>
              <w:rPr>
                <w:sz w:val="9"/>
                <w:szCs w:val="9"/>
                <w:color w:val="auto"/>
              </w:rPr>
            </w:pPr>
          </w:p>
        </w:tc>
        <w:tc>
          <w:tcPr>
            <w:tcW w:w="2500" w:type="dxa"/>
            <w:vAlign w:val="bottom"/>
            <w:tcBorders>
              <w:right w:val="single" w:sz="8" w:color="auto"/>
            </w:tcBorders>
            <w:vMerge w:val="continue"/>
          </w:tcPr>
          <w:p>
            <w:pPr>
              <w:spacing w:after="0"/>
              <w:rPr>
                <w:sz w:val="9"/>
                <w:szCs w:val="9"/>
                <w:color w:val="auto"/>
              </w:rPr>
            </w:pPr>
          </w:p>
        </w:tc>
        <w:tc>
          <w:tcPr>
            <w:tcW w:w="256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b w:val="1"/>
                <w:bCs w:val="1"/>
                <w:color w:val="auto"/>
                <w:w w:val="90"/>
              </w:rPr>
              <w:t>delivery/unfinished</w:t>
            </w:r>
          </w:p>
        </w:tc>
        <w:tc>
          <w:tcPr>
            <w:tcW w:w="0" w:type="dxa"/>
            <w:vAlign w:val="bottom"/>
          </w:tcPr>
          <w:p>
            <w:pPr>
              <w:spacing w:after="0"/>
              <w:rPr>
                <w:sz w:val="1"/>
                <w:szCs w:val="1"/>
                <w:color w:val="auto"/>
              </w:rPr>
            </w:pPr>
          </w:p>
        </w:tc>
      </w:tr>
      <w:tr>
        <w:trPr>
          <w:trHeight w:val="108"/>
        </w:trPr>
        <w:tc>
          <w:tcPr>
            <w:tcW w:w="1160" w:type="dxa"/>
            <w:vAlign w:val="bottom"/>
            <w:tcBorders>
              <w:left w:val="single" w:sz="8" w:color="auto"/>
              <w:right w:val="single" w:sz="8" w:color="auto"/>
            </w:tcBorders>
            <w:vMerge w:val="continue"/>
          </w:tcPr>
          <w:p>
            <w:pPr>
              <w:spacing w:after="0"/>
              <w:rPr>
                <w:sz w:val="9"/>
                <w:szCs w:val="9"/>
                <w:color w:val="auto"/>
              </w:rPr>
            </w:pPr>
          </w:p>
        </w:tc>
        <w:tc>
          <w:tcPr>
            <w:tcW w:w="2540" w:type="dxa"/>
            <w:vAlign w:val="bottom"/>
            <w:tcBorders>
              <w:right w:val="single" w:sz="8" w:color="auto"/>
            </w:tcBorders>
            <w:vMerge w:val="continue"/>
          </w:tcPr>
          <w:p>
            <w:pPr>
              <w:spacing w:after="0"/>
              <w:rPr>
                <w:sz w:val="9"/>
                <w:szCs w:val="9"/>
                <w:color w:val="auto"/>
              </w:rPr>
            </w:pPr>
          </w:p>
        </w:tc>
        <w:tc>
          <w:tcPr>
            <w:tcW w:w="24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b w:val="1"/>
                <w:bCs w:val="1"/>
                <w:color w:val="auto"/>
                <w:w w:val="87"/>
              </w:rPr>
              <w:t>received</w:t>
            </w:r>
          </w:p>
        </w:tc>
        <w:tc>
          <w:tcPr>
            <w:tcW w:w="25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b w:val="1"/>
                <w:bCs w:val="1"/>
                <w:color w:val="auto"/>
                <w:w w:val="88"/>
              </w:rPr>
              <w:t>hand</w:t>
            </w:r>
          </w:p>
        </w:tc>
        <w:tc>
          <w:tcPr>
            <w:tcW w:w="2560" w:type="dxa"/>
            <w:vAlign w:val="bottom"/>
            <w:tcBorders>
              <w:right w:val="single" w:sz="8" w:color="auto"/>
            </w:tcBorders>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26"/>
        </w:trPr>
        <w:tc>
          <w:tcPr>
            <w:tcW w:w="1160" w:type="dxa"/>
            <w:vAlign w:val="bottom"/>
            <w:tcBorders>
              <w:left w:val="single" w:sz="8" w:color="auto"/>
              <w:right w:val="single" w:sz="8" w:color="auto"/>
            </w:tcBorders>
          </w:tcPr>
          <w:p>
            <w:pPr>
              <w:spacing w:after="0"/>
              <w:rPr>
                <w:sz w:val="10"/>
                <w:szCs w:val="10"/>
                <w:color w:val="auto"/>
              </w:rPr>
            </w:pPr>
          </w:p>
        </w:tc>
        <w:tc>
          <w:tcPr>
            <w:tcW w:w="2540" w:type="dxa"/>
            <w:vAlign w:val="bottom"/>
            <w:tcBorders>
              <w:right w:val="single" w:sz="8" w:color="auto"/>
            </w:tcBorders>
          </w:tcPr>
          <w:p>
            <w:pPr>
              <w:spacing w:after="0"/>
              <w:rPr>
                <w:sz w:val="10"/>
                <w:szCs w:val="10"/>
                <w:color w:val="auto"/>
              </w:rPr>
            </w:pPr>
          </w:p>
        </w:tc>
        <w:tc>
          <w:tcPr>
            <w:tcW w:w="2480" w:type="dxa"/>
            <w:vAlign w:val="bottom"/>
            <w:tcBorders>
              <w:right w:val="single" w:sz="8" w:color="auto"/>
            </w:tcBorders>
            <w:vMerge w:val="continue"/>
          </w:tcPr>
          <w:p>
            <w:pPr>
              <w:spacing w:after="0"/>
              <w:rPr>
                <w:sz w:val="10"/>
                <w:szCs w:val="10"/>
                <w:color w:val="auto"/>
              </w:rPr>
            </w:pPr>
          </w:p>
        </w:tc>
        <w:tc>
          <w:tcPr>
            <w:tcW w:w="2500" w:type="dxa"/>
            <w:vAlign w:val="bottom"/>
            <w:tcBorders>
              <w:right w:val="single" w:sz="8" w:color="auto"/>
            </w:tcBorders>
            <w:vMerge w:val="continue"/>
          </w:tcPr>
          <w:p>
            <w:pPr>
              <w:spacing w:after="0"/>
              <w:rPr>
                <w:sz w:val="10"/>
                <w:szCs w:val="10"/>
                <w:color w:val="auto"/>
              </w:rPr>
            </w:pPr>
          </w:p>
        </w:tc>
        <w:tc>
          <w:tcPr>
            <w:tcW w:w="256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b w:val="1"/>
                <w:bCs w:val="1"/>
                <w:color w:val="auto"/>
                <w:w w:val="81"/>
              </w:rPr>
              <w:t>goods</w:t>
            </w:r>
          </w:p>
        </w:tc>
        <w:tc>
          <w:tcPr>
            <w:tcW w:w="0" w:type="dxa"/>
            <w:vAlign w:val="bottom"/>
          </w:tcPr>
          <w:p>
            <w:pPr>
              <w:spacing w:after="0"/>
              <w:rPr>
                <w:sz w:val="1"/>
                <w:szCs w:val="1"/>
                <w:color w:val="auto"/>
              </w:rPr>
            </w:pPr>
          </w:p>
        </w:tc>
      </w:tr>
      <w:tr>
        <w:trPr>
          <w:trHeight w:val="115"/>
        </w:trPr>
        <w:tc>
          <w:tcPr>
            <w:tcW w:w="1160" w:type="dxa"/>
            <w:vAlign w:val="bottom"/>
            <w:tcBorders>
              <w:left w:val="single" w:sz="8" w:color="auto"/>
              <w:bottom w:val="single" w:sz="8" w:color="auto"/>
              <w:right w:val="single" w:sz="8" w:color="auto"/>
            </w:tcBorders>
          </w:tcPr>
          <w:p>
            <w:pPr>
              <w:spacing w:after="0"/>
              <w:rPr>
                <w:sz w:val="10"/>
                <w:szCs w:val="10"/>
                <w:color w:val="auto"/>
              </w:rPr>
            </w:pPr>
          </w:p>
        </w:tc>
        <w:tc>
          <w:tcPr>
            <w:tcW w:w="2540" w:type="dxa"/>
            <w:vAlign w:val="bottom"/>
            <w:tcBorders>
              <w:bottom w:val="single" w:sz="8" w:color="auto"/>
              <w:right w:val="single" w:sz="8" w:color="auto"/>
            </w:tcBorders>
          </w:tcPr>
          <w:p>
            <w:pPr>
              <w:spacing w:after="0"/>
              <w:rPr>
                <w:sz w:val="10"/>
                <w:szCs w:val="10"/>
                <w:color w:val="auto"/>
              </w:rPr>
            </w:pPr>
          </w:p>
        </w:tc>
        <w:tc>
          <w:tcPr>
            <w:tcW w:w="2480" w:type="dxa"/>
            <w:vAlign w:val="bottom"/>
            <w:tcBorders>
              <w:bottom w:val="single" w:sz="8" w:color="auto"/>
              <w:right w:val="single" w:sz="8" w:color="auto"/>
            </w:tcBorders>
          </w:tcPr>
          <w:p>
            <w:pPr>
              <w:spacing w:after="0"/>
              <w:rPr>
                <w:sz w:val="10"/>
                <w:szCs w:val="10"/>
                <w:color w:val="auto"/>
              </w:rPr>
            </w:pPr>
          </w:p>
        </w:tc>
        <w:tc>
          <w:tcPr>
            <w:tcW w:w="2500" w:type="dxa"/>
            <w:vAlign w:val="bottom"/>
            <w:tcBorders>
              <w:bottom w:val="single" w:sz="8" w:color="auto"/>
              <w:right w:val="single" w:sz="8" w:color="auto"/>
            </w:tcBorders>
          </w:tcPr>
          <w:p>
            <w:pPr>
              <w:spacing w:after="0"/>
              <w:rPr>
                <w:sz w:val="10"/>
                <w:szCs w:val="10"/>
                <w:color w:val="auto"/>
              </w:rPr>
            </w:pPr>
          </w:p>
        </w:tc>
        <w:tc>
          <w:tcPr>
            <w:tcW w:w="2560" w:type="dxa"/>
            <w:vAlign w:val="bottom"/>
            <w:tcBorders>
              <w:bottom w:val="single" w:sz="8" w:color="auto"/>
              <w:right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23"/>
        </w:trPr>
        <w:tc>
          <w:tcPr>
            <w:tcW w:w="116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79"/>
              </w:rPr>
              <w:t>1</w:t>
            </w:r>
          </w:p>
        </w:tc>
        <w:tc>
          <w:tcPr>
            <w:tcW w:w="25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8"/>
              </w:rPr>
              <w:t>Nepes</w:t>
            </w:r>
          </w:p>
        </w:tc>
        <w:tc>
          <w:tcPr>
            <w:tcW w:w="24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7"/>
              </w:rPr>
              <w:t>230.21</w:t>
            </w:r>
          </w:p>
        </w:tc>
        <w:tc>
          <w:tcPr>
            <w:tcW w:w="25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8"/>
              </w:rPr>
              <w:t>1,151.07</w:t>
            </w:r>
          </w:p>
        </w:tc>
        <w:tc>
          <w:tcPr>
            <w:tcW w:w="25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0"/>
              </w:rPr>
              <w:t>Goods on delivery</w:t>
            </w:r>
          </w:p>
        </w:tc>
        <w:tc>
          <w:tcPr>
            <w:tcW w:w="0" w:type="dxa"/>
            <w:vAlign w:val="bottom"/>
          </w:tcPr>
          <w:p>
            <w:pPr>
              <w:spacing w:after="0"/>
              <w:rPr>
                <w:sz w:val="1"/>
                <w:szCs w:val="1"/>
                <w:color w:val="auto"/>
              </w:rPr>
            </w:pPr>
          </w:p>
        </w:tc>
      </w:tr>
      <w:tr>
        <w:trPr>
          <w:trHeight w:val="223"/>
        </w:trPr>
        <w:tc>
          <w:tcPr>
            <w:tcW w:w="116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79"/>
              </w:rPr>
              <w:t>2</w:t>
            </w:r>
          </w:p>
        </w:tc>
        <w:tc>
          <w:tcPr>
            <w:tcW w:w="25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8"/>
              </w:rPr>
              <w:t>Nepes</w:t>
            </w:r>
          </w:p>
        </w:tc>
        <w:tc>
          <w:tcPr>
            <w:tcW w:w="24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7"/>
              </w:rPr>
              <w:t>160.45</w:t>
            </w:r>
          </w:p>
        </w:tc>
        <w:tc>
          <w:tcPr>
            <w:tcW w:w="25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0"/>
              </w:rPr>
              <w:t>802.26</w:t>
            </w:r>
          </w:p>
        </w:tc>
        <w:tc>
          <w:tcPr>
            <w:tcW w:w="25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0"/>
              </w:rPr>
              <w:t>Goods on delivery</w:t>
            </w:r>
          </w:p>
        </w:tc>
        <w:tc>
          <w:tcPr>
            <w:tcW w:w="0" w:type="dxa"/>
            <w:vAlign w:val="bottom"/>
          </w:tcPr>
          <w:p>
            <w:pPr>
              <w:spacing w:after="0"/>
              <w:rPr>
                <w:sz w:val="1"/>
                <w:szCs w:val="1"/>
                <w:color w:val="auto"/>
              </w:rPr>
            </w:pPr>
          </w:p>
        </w:tc>
      </w:tr>
      <w:tr>
        <w:trPr>
          <w:trHeight w:val="223"/>
        </w:trPr>
        <w:tc>
          <w:tcPr>
            <w:tcW w:w="116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79"/>
              </w:rPr>
              <w:t>3</w:t>
            </w:r>
          </w:p>
        </w:tc>
        <w:tc>
          <w:tcPr>
            <w:tcW w:w="25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0"/>
              </w:rPr>
              <w:t>Wafer Works</w:t>
            </w:r>
          </w:p>
        </w:tc>
        <w:tc>
          <w:tcPr>
            <w:tcW w:w="24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7"/>
              </w:rPr>
              <w:t>941.79</w:t>
            </w:r>
          </w:p>
        </w:tc>
        <w:tc>
          <w:tcPr>
            <w:tcW w:w="25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8"/>
              </w:rPr>
              <w:t>1,046.43</w:t>
            </w:r>
          </w:p>
        </w:tc>
        <w:tc>
          <w:tcPr>
            <w:tcW w:w="25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0"/>
              </w:rPr>
              <w:t>Goods on delivery</w:t>
            </w:r>
          </w:p>
        </w:tc>
        <w:tc>
          <w:tcPr>
            <w:tcW w:w="0" w:type="dxa"/>
            <w:vAlign w:val="bottom"/>
          </w:tcPr>
          <w:p>
            <w:pPr>
              <w:spacing w:after="0"/>
              <w:rPr>
                <w:sz w:val="1"/>
                <w:szCs w:val="1"/>
                <w:color w:val="auto"/>
              </w:rPr>
            </w:pPr>
          </w:p>
        </w:tc>
      </w:tr>
      <w:tr>
        <w:trPr>
          <w:trHeight w:val="223"/>
        </w:trPr>
        <w:tc>
          <w:tcPr>
            <w:tcW w:w="116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79"/>
              </w:rPr>
              <w:t>4</w:t>
            </w:r>
          </w:p>
        </w:tc>
        <w:tc>
          <w:tcPr>
            <w:tcW w:w="25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4"/>
              </w:rPr>
              <w:t>Beijing U-precision</w:t>
            </w:r>
          </w:p>
        </w:tc>
        <w:tc>
          <w:tcPr>
            <w:tcW w:w="24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7"/>
              </w:rPr>
              <w:t>167.21</w:t>
            </w:r>
          </w:p>
        </w:tc>
        <w:tc>
          <w:tcPr>
            <w:tcW w:w="25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0"/>
              </w:rPr>
              <w:t>210.41</w:t>
            </w:r>
          </w:p>
        </w:tc>
        <w:tc>
          <w:tcPr>
            <w:tcW w:w="25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0"/>
              </w:rPr>
              <w:t>Goods on delivery</w:t>
            </w:r>
          </w:p>
        </w:tc>
        <w:tc>
          <w:tcPr>
            <w:tcW w:w="0" w:type="dxa"/>
            <w:vAlign w:val="bottom"/>
          </w:tcPr>
          <w:p>
            <w:pPr>
              <w:spacing w:after="0"/>
              <w:rPr>
                <w:sz w:val="1"/>
                <w:szCs w:val="1"/>
                <w:color w:val="auto"/>
              </w:rPr>
            </w:pPr>
          </w:p>
        </w:tc>
      </w:tr>
      <w:tr>
        <w:trPr>
          <w:trHeight w:val="223"/>
        </w:trPr>
        <w:tc>
          <w:tcPr>
            <w:tcW w:w="116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79"/>
              </w:rPr>
              <w:t>5</w:t>
            </w:r>
          </w:p>
        </w:tc>
        <w:tc>
          <w:tcPr>
            <w:tcW w:w="25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7"/>
              </w:rPr>
              <w:t>SMIC</w:t>
            </w:r>
          </w:p>
        </w:tc>
        <w:tc>
          <w:tcPr>
            <w:tcW w:w="24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7"/>
              </w:rPr>
              <w:t>334.02</w:t>
            </w:r>
          </w:p>
        </w:tc>
        <w:tc>
          <w:tcPr>
            <w:tcW w:w="25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0"/>
              </w:rPr>
              <w:t>371.13</w:t>
            </w:r>
          </w:p>
        </w:tc>
        <w:tc>
          <w:tcPr>
            <w:tcW w:w="25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0"/>
              </w:rPr>
              <w:t>Goods on delivery</w:t>
            </w:r>
          </w:p>
        </w:tc>
        <w:tc>
          <w:tcPr>
            <w:tcW w:w="0" w:type="dxa"/>
            <w:vAlign w:val="bottom"/>
          </w:tcPr>
          <w:p>
            <w:pPr>
              <w:spacing w:after="0"/>
              <w:rPr>
                <w:sz w:val="1"/>
                <w:szCs w:val="1"/>
                <w:color w:val="auto"/>
              </w:rPr>
            </w:pPr>
          </w:p>
        </w:tc>
      </w:tr>
      <w:tr>
        <w:trPr>
          <w:trHeight w:val="223"/>
        </w:trPr>
        <w:tc>
          <w:tcPr>
            <w:tcW w:w="116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79"/>
              </w:rPr>
              <w:t>6</w:t>
            </w:r>
          </w:p>
        </w:tc>
        <w:tc>
          <w:tcPr>
            <w:tcW w:w="25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1"/>
              </w:rPr>
              <w:t>Raytron</w:t>
            </w:r>
          </w:p>
        </w:tc>
        <w:tc>
          <w:tcPr>
            <w:tcW w:w="24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7"/>
              </w:rPr>
              <w:t>174.75</w:t>
            </w:r>
          </w:p>
        </w:tc>
        <w:tc>
          <w:tcPr>
            <w:tcW w:w="25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0"/>
              </w:rPr>
              <w:t>582.51</w:t>
            </w:r>
          </w:p>
        </w:tc>
        <w:tc>
          <w:tcPr>
            <w:tcW w:w="25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2"/>
              </w:rPr>
              <w:t>Unfinished goods</w:t>
            </w:r>
          </w:p>
        </w:tc>
        <w:tc>
          <w:tcPr>
            <w:tcW w:w="0" w:type="dxa"/>
            <w:vAlign w:val="bottom"/>
          </w:tcPr>
          <w:p>
            <w:pPr>
              <w:spacing w:after="0"/>
              <w:rPr>
                <w:sz w:val="1"/>
                <w:szCs w:val="1"/>
                <w:color w:val="auto"/>
              </w:rPr>
            </w:pPr>
          </w:p>
        </w:tc>
      </w:tr>
      <w:tr>
        <w:trPr>
          <w:trHeight w:val="223"/>
        </w:trPr>
        <w:tc>
          <w:tcPr>
            <w:tcW w:w="116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79"/>
              </w:rPr>
              <w:t>7</w:t>
            </w:r>
          </w:p>
        </w:tc>
        <w:tc>
          <w:tcPr>
            <w:tcW w:w="25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2"/>
              </w:rPr>
              <w:t>Huahong Group</w:t>
            </w:r>
          </w:p>
        </w:tc>
        <w:tc>
          <w:tcPr>
            <w:tcW w:w="24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1"/>
              </w:rPr>
              <w:t>2,201.41</w:t>
            </w:r>
          </w:p>
        </w:tc>
        <w:tc>
          <w:tcPr>
            <w:tcW w:w="25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8"/>
              </w:rPr>
              <w:t>3,144.87</w:t>
            </w:r>
          </w:p>
        </w:tc>
        <w:tc>
          <w:tcPr>
            <w:tcW w:w="25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0"/>
              </w:rPr>
              <w:t>Goods on delivery</w:t>
            </w:r>
          </w:p>
        </w:tc>
        <w:tc>
          <w:tcPr>
            <w:tcW w:w="0" w:type="dxa"/>
            <w:vAlign w:val="bottom"/>
          </w:tcPr>
          <w:p>
            <w:pPr>
              <w:spacing w:after="0"/>
              <w:rPr>
                <w:sz w:val="1"/>
                <w:szCs w:val="1"/>
                <w:color w:val="auto"/>
              </w:rPr>
            </w:pPr>
          </w:p>
        </w:tc>
      </w:tr>
      <w:tr>
        <w:trPr>
          <w:trHeight w:val="223"/>
        </w:trPr>
        <w:tc>
          <w:tcPr>
            <w:tcW w:w="116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79"/>
              </w:rPr>
              <w:t>8</w:t>
            </w:r>
          </w:p>
        </w:tc>
        <w:tc>
          <w:tcPr>
            <w:tcW w:w="25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3"/>
              </w:rPr>
              <w:t>Xiamen Tongfu</w:t>
            </w:r>
          </w:p>
        </w:tc>
        <w:tc>
          <w:tcPr>
            <w:tcW w:w="24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7"/>
              </w:rPr>
              <w:t>332.07</w:t>
            </w:r>
          </w:p>
        </w:tc>
        <w:tc>
          <w:tcPr>
            <w:tcW w:w="25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8"/>
              </w:rPr>
              <w:t>1,660.34</w:t>
            </w:r>
          </w:p>
        </w:tc>
        <w:tc>
          <w:tcPr>
            <w:tcW w:w="25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0"/>
              </w:rPr>
              <w:t>Goods on delivery</w:t>
            </w:r>
          </w:p>
        </w:tc>
        <w:tc>
          <w:tcPr>
            <w:tcW w:w="0" w:type="dxa"/>
            <w:vAlign w:val="bottom"/>
          </w:tcPr>
          <w:p>
            <w:pPr>
              <w:spacing w:after="0"/>
              <w:rPr>
                <w:sz w:val="1"/>
                <w:szCs w:val="1"/>
                <w:color w:val="auto"/>
              </w:rPr>
            </w:pPr>
          </w:p>
        </w:tc>
      </w:tr>
      <w:tr>
        <w:trPr>
          <w:trHeight w:val="223"/>
        </w:trPr>
        <w:tc>
          <w:tcPr>
            <w:tcW w:w="116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79"/>
              </w:rPr>
              <w:t>9</w:t>
            </w:r>
          </w:p>
        </w:tc>
        <w:tc>
          <w:tcPr>
            <w:tcW w:w="25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2"/>
              </w:rPr>
              <w:t>Yangtze Memory</w:t>
            </w:r>
          </w:p>
        </w:tc>
        <w:tc>
          <w:tcPr>
            <w:tcW w:w="24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1"/>
              </w:rPr>
              <w:t>2,260.29</w:t>
            </w:r>
          </w:p>
        </w:tc>
        <w:tc>
          <w:tcPr>
            <w:tcW w:w="25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8"/>
              </w:rPr>
              <w:t>2,511.43</w:t>
            </w:r>
          </w:p>
        </w:tc>
        <w:tc>
          <w:tcPr>
            <w:tcW w:w="25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0"/>
              </w:rPr>
              <w:t>Goods on delivery</w:t>
            </w:r>
          </w:p>
        </w:tc>
        <w:tc>
          <w:tcPr>
            <w:tcW w:w="0" w:type="dxa"/>
            <w:vAlign w:val="bottom"/>
          </w:tcPr>
          <w:p>
            <w:pPr>
              <w:spacing w:after="0"/>
              <w:rPr>
                <w:sz w:val="1"/>
                <w:szCs w:val="1"/>
                <w:color w:val="auto"/>
              </w:rPr>
            </w:pPr>
          </w:p>
        </w:tc>
      </w:tr>
      <w:tr>
        <w:trPr>
          <w:trHeight w:val="223"/>
        </w:trPr>
        <w:tc>
          <w:tcPr>
            <w:tcW w:w="116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10</w:t>
            </w:r>
          </w:p>
        </w:tc>
        <w:tc>
          <w:tcPr>
            <w:tcW w:w="25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88"/>
              </w:rPr>
              <w:t>Total</w:t>
            </w:r>
          </w:p>
        </w:tc>
        <w:tc>
          <w:tcPr>
            <w:tcW w:w="24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91"/>
              </w:rPr>
              <w:t>6,802.21</w:t>
            </w:r>
          </w:p>
        </w:tc>
        <w:tc>
          <w:tcPr>
            <w:tcW w:w="25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87"/>
              </w:rPr>
              <w:t>11,480.45</w:t>
            </w:r>
          </w:p>
        </w:tc>
        <w:tc>
          <w:tcPr>
            <w:tcW w:w="2560" w:type="dxa"/>
            <w:vAlign w:val="bottom"/>
            <w:tcBorders>
              <w:bottom w:val="single" w:sz="8" w:color="auto"/>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496"/>
        </w:trPr>
        <w:tc>
          <w:tcPr>
            <w:tcW w:w="3700" w:type="dxa"/>
            <w:vAlign w:val="bottom"/>
            <w:gridSpan w:val="2"/>
          </w:tcPr>
          <w:p>
            <w:pPr>
              <w:ind w:left="340"/>
              <w:spacing w:after="0"/>
              <w:rPr>
                <w:sz w:val="20"/>
                <w:szCs w:val="20"/>
                <w:color w:val="auto"/>
              </w:rPr>
            </w:pPr>
            <w:r>
              <w:rPr>
                <w:rFonts w:ascii="Arial" w:cs="Arial" w:eastAsia="Arial" w:hAnsi="Arial"/>
                <w:sz w:val="22"/>
                <w:szCs w:val="22"/>
                <w:color w:val="auto"/>
              </w:rPr>
              <w:t>3. December 31, 2018</w:t>
            </w:r>
          </w:p>
        </w:tc>
        <w:tc>
          <w:tcPr>
            <w:tcW w:w="2480" w:type="dxa"/>
            <w:vAlign w:val="bottom"/>
          </w:tcPr>
          <w:p>
            <w:pPr>
              <w:spacing w:after="0"/>
              <w:rPr>
                <w:sz w:val="24"/>
                <w:szCs w:val="24"/>
                <w:color w:val="auto"/>
              </w:rPr>
            </w:pPr>
          </w:p>
        </w:tc>
        <w:tc>
          <w:tcPr>
            <w:tcW w:w="2500" w:type="dxa"/>
            <w:vAlign w:val="bottom"/>
          </w:tcPr>
          <w:p>
            <w:pPr>
              <w:spacing w:after="0"/>
              <w:rPr>
                <w:sz w:val="24"/>
                <w:szCs w:val="24"/>
                <w:color w:val="auto"/>
              </w:rPr>
            </w:pPr>
          </w:p>
        </w:tc>
        <w:tc>
          <w:tcPr>
            <w:tcW w:w="2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86"/>
        </w:trPr>
        <w:tc>
          <w:tcPr>
            <w:tcW w:w="1160" w:type="dxa"/>
            <w:vAlign w:val="bottom"/>
          </w:tcPr>
          <w:p>
            <w:pPr>
              <w:spacing w:after="0"/>
              <w:rPr>
                <w:sz w:val="24"/>
                <w:szCs w:val="24"/>
                <w:color w:val="auto"/>
              </w:rPr>
            </w:pPr>
          </w:p>
        </w:tc>
        <w:tc>
          <w:tcPr>
            <w:tcW w:w="2540" w:type="dxa"/>
            <w:vAlign w:val="bottom"/>
          </w:tcPr>
          <w:p>
            <w:pPr>
              <w:spacing w:after="0"/>
              <w:rPr>
                <w:sz w:val="24"/>
                <w:szCs w:val="24"/>
                <w:color w:val="auto"/>
              </w:rPr>
            </w:pPr>
          </w:p>
        </w:tc>
        <w:tc>
          <w:tcPr>
            <w:tcW w:w="2480" w:type="dxa"/>
            <w:vAlign w:val="bottom"/>
          </w:tcPr>
          <w:p>
            <w:pPr>
              <w:spacing w:after="0"/>
              <w:rPr>
                <w:sz w:val="24"/>
                <w:szCs w:val="24"/>
                <w:color w:val="auto"/>
              </w:rPr>
            </w:pPr>
          </w:p>
        </w:tc>
        <w:tc>
          <w:tcPr>
            <w:tcW w:w="2500" w:type="dxa"/>
            <w:vAlign w:val="bottom"/>
          </w:tcPr>
          <w:p>
            <w:pPr>
              <w:spacing w:after="0"/>
              <w:rPr>
                <w:sz w:val="24"/>
                <w:szCs w:val="24"/>
                <w:color w:val="auto"/>
              </w:rPr>
            </w:pPr>
          </w:p>
        </w:tc>
        <w:tc>
          <w:tcPr>
            <w:tcW w:w="2560" w:type="dxa"/>
            <w:vAlign w:val="bottom"/>
          </w:tcPr>
          <w:p>
            <w:pPr>
              <w:jc w:val="right"/>
              <w:spacing w:after="0"/>
              <w:rPr>
                <w:sz w:val="20"/>
                <w:szCs w:val="20"/>
                <w:color w:val="auto"/>
              </w:rPr>
            </w:pPr>
            <w:r>
              <w:rPr>
                <w:rFonts w:ascii="Arial" w:cs="Arial" w:eastAsia="Arial" w:hAnsi="Arial"/>
                <w:sz w:val="22"/>
                <w:szCs w:val="22"/>
                <w:color w:val="auto"/>
              </w:rPr>
              <w:t>Unit: RMB10,000</w:t>
            </w:r>
          </w:p>
        </w:tc>
        <w:tc>
          <w:tcPr>
            <w:tcW w:w="0" w:type="dxa"/>
            <w:vAlign w:val="bottom"/>
          </w:tcPr>
          <w:p>
            <w:pPr>
              <w:spacing w:after="0"/>
              <w:rPr>
                <w:sz w:val="1"/>
                <w:szCs w:val="1"/>
                <w:color w:val="auto"/>
              </w:rPr>
            </w:pPr>
          </w:p>
        </w:tc>
      </w:tr>
      <w:tr>
        <w:trPr>
          <w:trHeight w:val="240"/>
        </w:trPr>
        <w:tc>
          <w:tcPr>
            <w:tcW w:w="1160" w:type="dxa"/>
            <w:vAlign w:val="bottom"/>
            <w:tcBorders>
              <w:bottom w:val="single" w:sz="8" w:color="auto"/>
            </w:tcBorders>
          </w:tcPr>
          <w:p>
            <w:pPr>
              <w:spacing w:after="0"/>
              <w:rPr>
                <w:sz w:val="20"/>
                <w:szCs w:val="20"/>
                <w:color w:val="auto"/>
              </w:rPr>
            </w:pPr>
          </w:p>
        </w:tc>
        <w:tc>
          <w:tcPr>
            <w:tcW w:w="2540" w:type="dxa"/>
            <w:vAlign w:val="bottom"/>
            <w:tcBorders>
              <w:bottom w:val="single" w:sz="8" w:color="auto"/>
            </w:tcBorders>
          </w:tcPr>
          <w:p>
            <w:pPr>
              <w:spacing w:after="0"/>
              <w:rPr>
                <w:sz w:val="20"/>
                <w:szCs w:val="20"/>
                <w:color w:val="auto"/>
              </w:rPr>
            </w:pPr>
          </w:p>
        </w:tc>
        <w:tc>
          <w:tcPr>
            <w:tcW w:w="2480" w:type="dxa"/>
            <w:vAlign w:val="bottom"/>
            <w:tcBorders>
              <w:bottom w:val="single" w:sz="8" w:color="auto"/>
            </w:tcBorders>
          </w:tcPr>
          <w:p>
            <w:pPr>
              <w:spacing w:after="0"/>
              <w:rPr>
                <w:sz w:val="20"/>
                <w:szCs w:val="20"/>
                <w:color w:val="auto"/>
              </w:rPr>
            </w:pPr>
          </w:p>
        </w:tc>
        <w:tc>
          <w:tcPr>
            <w:tcW w:w="2500" w:type="dxa"/>
            <w:vAlign w:val="bottom"/>
            <w:tcBorders>
              <w:bottom w:val="single" w:sz="8" w:color="auto"/>
            </w:tcBorders>
          </w:tcPr>
          <w:p>
            <w:pPr>
              <w:spacing w:after="0"/>
              <w:rPr>
                <w:sz w:val="20"/>
                <w:szCs w:val="20"/>
                <w:color w:val="auto"/>
              </w:rPr>
            </w:pPr>
          </w:p>
        </w:tc>
        <w:tc>
          <w:tcPr>
            <w:tcW w:w="256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1160" w:type="dxa"/>
            <w:vAlign w:val="bottom"/>
            <w:tcBorders>
              <w:left w:val="single" w:sz="8" w:color="auto"/>
              <w:right w:val="single" w:sz="8" w:color="auto"/>
            </w:tcBorders>
          </w:tcPr>
          <w:p>
            <w:pPr>
              <w:spacing w:after="0"/>
              <w:rPr>
                <w:sz w:val="17"/>
                <w:szCs w:val="17"/>
                <w:color w:val="auto"/>
              </w:rPr>
            </w:pPr>
          </w:p>
        </w:tc>
        <w:tc>
          <w:tcPr>
            <w:tcW w:w="2540" w:type="dxa"/>
            <w:vAlign w:val="bottom"/>
            <w:tcBorders>
              <w:right w:val="single" w:sz="8" w:color="auto"/>
            </w:tcBorders>
          </w:tcPr>
          <w:p>
            <w:pPr>
              <w:spacing w:after="0"/>
              <w:rPr>
                <w:sz w:val="17"/>
                <w:szCs w:val="17"/>
                <w:color w:val="auto"/>
              </w:rPr>
            </w:pPr>
          </w:p>
        </w:tc>
        <w:tc>
          <w:tcPr>
            <w:tcW w:w="24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b w:val="1"/>
                <w:bCs w:val="1"/>
                <w:color w:val="auto"/>
                <w:w w:val="87"/>
              </w:rPr>
              <w:t>Balance of deposits</w:t>
            </w:r>
          </w:p>
        </w:tc>
        <w:tc>
          <w:tcPr>
            <w:tcW w:w="25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b w:val="1"/>
                <w:bCs w:val="1"/>
                <w:color w:val="auto"/>
                <w:w w:val="90"/>
              </w:rPr>
              <w:t>Amount of orders in</w:t>
            </w:r>
          </w:p>
        </w:tc>
        <w:tc>
          <w:tcPr>
            <w:tcW w:w="2560" w:type="dxa"/>
            <w:vAlign w:val="bottom"/>
            <w:tcBorders>
              <w:right w:val="single" w:sz="8" w:color="auto"/>
            </w:tcBorders>
          </w:tcPr>
          <w:p>
            <w:pPr>
              <w:jc w:val="center"/>
              <w:spacing w:after="0" w:line="198" w:lineRule="exact"/>
              <w:rPr>
                <w:sz w:val="20"/>
                <w:szCs w:val="20"/>
                <w:color w:val="auto"/>
              </w:rPr>
            </w:pPr>
            <w:r>
              <w:rPr>
                <w:rFonts w:ascii="Arial" w:cs="Arial" w:eastAsia="Arial" w:hAnsi="Arial"/>
                <w:sz w:val="18"/>
                <w:szCs w:val="18"/>
                <w:b w:val="1"/>
                <w:bCs w:val="1"/>
                <w:color w:val="auto"/>
                <w:w w:val="85"/>
              </w:rPr>
              <w:t>Goods on</w:t>
            </w:r>
          </w:p>
        </w:tc>
        <w:tc>
          <w:tcPr>
            <w:tcW w:w="0" w:type="dxa"/>
            <w:vAlign w:val="bottom"/>
          </w:tcPr>
          <w:p>
            <w:pPr>
              <w:spacing w:after="0"/>
              <w:rPr>
                <w:sz w:val="1"/>
                <w:szCs w:val="1"/>
                <w:color w:val="auto"/>
              </w:rPr>
            </w:pPr>
          </w:p>
        </w:tc>
      </w:tr>
      <w:tr>
        <w:trPr>
          <w:trHeight w:val="108"/>
        </w:trPr>
        <w:tc>
          <w:tcPr>
            <w:tcW w:w="1160" w:type="dxa"/>
            <w:vAlign w:val="bottom"/>
            <w:tcBorders>
              <w:left w:val="single" w:sz="8" w:color="auto"/>
              <w:right w:val="single" w:sz="8" w:color="auto"/>
            </w:tcBorders>
            <w:vMerge w:val="restart"/>
          </w:tcPr>
          <w:p>
            <w:pPr>
              <w:ind w:left="440"/>
              <w:spacing w:after="0"/>
              <w:rPr>
                <w:sz w:val="20"/>
                <w:szCs w:val="20"/>
                <w:color w:val="auto"/>
              </w:rPr>
            </w:pPr>
            <w:r>
              <w:rPr>
                <w:rFonts w:ascii="Arial" w:cs="Arial" w:eastAsia="Arial" w:hAnsi="Arial"/>
                <w:sz w:val="18"/>
                <w:szCs w:val="18"/>
                <w:b w:val="1"/>
                <w:bCs w:val="1"/>
                <w:color w:val="auto"/>
              </w:rPr>
              <w:t>S/N</w:t>
            </w:r>
          </w:p>
        </w:tc>
        <w:tc>
          <w:tcPr>
            <w:tcW w:w="254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b w:val="1"/>
                <w:bCs w:val="1"/>
                <w:color w:val="auto"/>
                <w:w w:val="91"/>
              </w:rPr>
              <w:t>Customer Name</w:t>
            </w:r>
          </w:p>
        </w:tc>
        <w:tc>
          <w:tcPr>
            <w:tcW w:w="2480" w:type="dxa"/>
            <w:vAlign w:val="bottom"/>
            <w:tcBorders>
              <w:right w:val="single" w:sz="8" w:color="auto"/>
            </w:tcBorders>
            <w:vMerge w:val="continue"/>
          </w:tcPr>
          <w:p>
            <w:pPr>
              <w:spacing w:after="0"/>
              <w:rPr>
                <w:sz w:val="9"/>
                <w:szCs w:val="9"/>
                <w:color w:val="auto"/>
              </w:rPr>
            </w:pPr>
          </w:p>
        </w:tc>
        <w:tc>
          <w:tcPr>
            <w:tcW w:w="2500" w:type="dxa"/>
            <w:vAlign w:val="bottom"/>
            <w:tcBorders>
              <w:right w:val="single" w:sz="8" w:color="auto"/>
            </w:tcBorders>
            <w:vMerge w:val="continue"/>
          </w:tcPr>
          <w:p>
            <w:pPr>
              <w:spacing w:after="0"/>
              <w:rPr>
                <w:sz w:val="9"/>
                <w:szCs w:val="9"/>
                <w:color w:val="auto"/>
              </w:rPr>
            </w:pPr>
          </w:p>
        </w:tc>
        <w:tc>
          <w:tcPr>
            <w:tcW w:w="256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b w:val="1"/>
                <w:bCs w:val="1"/>
                <w:color w:val="auto"/>
                <w:w w:val="90"/>
              </w:rPr>
              <w:t>delivery/unfinished</w:t>
            </w:r>
          </w:p>
        </w:tc>
        <w:tc>
          <w:tcPr>
            <w:tcW w:w="0" w:type="dxa"/>
            <w:vAlign w:val="bottom"/>
          </w:tcPr>
          <w:p>
            <w:pPr>
              <w:spacing w:after="0"/>
              <w:rPr>
                <w:sz w:val="1"/>
                <w:szCs w:val="1"/>
                <w:color w:val="auto"/>
              </w:rPr>
            </w:pPr>
          </w:p>
        </w:tc>
      </w:tr>
      <w:tr>
        <w:trPr>
          <w:trHeight w:val="108"/>
        </w:trPr>
        <w:tc>
          <w:tcPr>
            <w:tcW w:w="1160" w:type="dxa"/>
            <w:vAlign w:val="bottom"/>
            <w:tcBorders>
              <w:left w:val="single" w:sz="8" w:color="auto"/>
              <w:right w:val="single" w:sz="8" w:color="auto"/>
            </w:tcBorders>
            <w:vMerge w:val="continue"/>
          </w:tcPr>
          <w:p>
            <w:pPr>
              <w:spacing w:after="0"/>
              <w:rPr>
                <w:sz w:val="9"/>
                <w:szCs w:val="9"/>
                <w:color w:val="auto"/>
              </w:rPr>
            </w:pPr>
          </w:p>
        </w:tc>
        <w:tc>
          <w:tcPr>
            <w:tcW w:w="2540" w:type="dxa"/>
            <w:vAlign w:val="bottom"/>
            <w:tcBorders>
              <w:right w:val="single" w:sz="8" w:color="auto"/>
            </w:tcBorders>
            <w:vMerge w:val="continue"/>
          </w:tcPr>
          <w:p>
            <w:pPr>
              <w:spacing w:after="0"/>
              <w:rPr>
                <w:sz w:val="9"/>
                <w:szCs w:val="9"/>
                <w:color w:val="auto"/>
              </w:rPr>
            </w:pPr>
          </w:p>
        </w:tc>
        <w:tc>
          <w:tcPr>
            <w:tcW w:w="24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b w:val="1"/>
                <w:bCs w:val="1"/>
                <w:color w:val="auto"/>
                <w:w w:val="87"/>
              </w:rPr>
              <w:t>received</w:t>
            </w:r>
          </w:p>
        </w:tc>
        <w:tc>
          <w:tcPr>
            <w:tcW w:w="25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b w:val="1"/>
                <w:bCs w:val="1"/>
                <w:color w:val="auto"/>
                <w:w w:val="88"/>
              </w:rPr>
              <w:t>hand</w:t>
            </w:r>
          </w:p>
        </w:tc>
        <w:tc>
          <w:tcPr>
            <w:tcW w:w="2560" w:type="dxa"/>
            <w:vAlign w:val="bottom"/>
            <w:tcBorders>
              <w:right w:val="single" w:sz="8" w:color="auto"/>
            </w:tcBorders>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26"/>
        </w:trPr>
        <w:tc>
          <w:tcPr>
            <w:tcW w:w="1160" w:type="dxa"/>
            <w:vAlign w:val="bottom"/>
            <w:tcBorders>
              <w:left w:val="single" w:sz="8" w:color="auto"/>
              <w:right w:val="single" w:sz="8" w:color="auto"/>
            </w:tcBorders>
          </w:tcPr>
          <w:p>
            <w:pPr>
              <w:spacing w:after="0"/>
              <w:rPr>
                <w:sz w:val="10"/>
                <w:szCs w:val="10"/>
                <w:color w:val="auto"/>
              </w:rPr>
            </w:pPr>
          </w:p>
        </w:tc>
        <w:tc>
          <w:tcPr>
            <w:tcW w:w="2540" w:type="dxa"/>
            <w:vAlign w:val="bottom"/>
            <w:tcBorders>
              <w:right w:val="single" w:sz="8" w:color="auto"/>
            </w:tcBorders>
          </w:tcPr>
          <w:p>
            <w:pPr>
              <w:spacing w:after="0"/>
              <w:rPr>
                <w:sz w:val="10"/>
                <w:szCs w:val="10"/>
                <w:color w:val="auto"/>
              </w:rPr>
            </w:pPr>
          </w:p>
        </w:tc>
        <w:tc>
          <w:tcPr>
            <w:tcW w:w="2480" w:type="dxa"/>
            <w:vAlign w:val="bottom"/>
            <w:tcBorders>
              <w:right w:val="single" w:sz="8" w:color="auto"/>
            </w:tcBorders>
            <w:vMerge w:val="continue"/>
          </w:tcPr>
          <w:p>
            <w:pPr>
              <w:spacing w:after="0"/>
              <w:rPr>
                <w:sz w:val="10"/>
                <w:szCs w:val="10"/>
                <w:color w:val="auto"/>
              </w:rPr>
            </w:pPr>
          </w:p>
        </w:tc>
        <w:tc>
          <w:tcPr>
            <w:tcW w:w="2500" w:type="dxa"/>
            <w:vAlign w:val="bottom"/>
            <w:tcBorders>
              <w:right w:val="single" w:sz="8" w:color="auto"/>
            </w:tcBorders>
            <w:vMerge w:val="continue"/>
          </w:tcPr>
          <w:p>
            <w:pPr>
              <w:spacing w:after="0"/>
              <w:rPr>
                <w:sz w:val="10"/>
                <w:szCs w:val="10"/>
                <w:color w:val="auto"/>
              </w:rPr>
            </w:pPr>
          </w:p>
        </w:tc>
        <w:tc>
          <w:tcPr>
            <w:tcW w:w="256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b w:val="1"/>
                <w:bCs w:val="1"/>
                <w:color w:val="auto"/>
                <w:w w:val="81"/>
              </w:rPr>
              <w:t>goods</w:t>
            </w:r>
          </w:p>
        </w:tc>
        <w:tc>
          <w:tcPr>
            <w:tcW w:w="0" w:type="dxa"/>
            <w:vAlign w:val="bottom"/>
          </w:tcPr>
          <w:p>
            <w:pPr>
              <w:spacing w:after="0"/>
              <w:rPr>
                <w:sz w:val="1"/>
                <w:szCs w:val="1"/>
                <w:color w:val="auto"/>
              </w:rPr>
            </w:pPr>
          </w:p>
        </w:tc>
      </w:tr>
      <w:tr>
        <w:trPr>
          <w:trHeight w:val="115"/>
        </w:trPr>
        <w:tc>
          <w:tcPr>
            <w:tcW w:w="1160" w:type="dxa"/>
            <w:vAlign w:val="bottom"/>
            <w:tcBorders>
              <w:left w:val="single" w:sz="8" w:color="auto"/>
              <w:bottom w:val="single" w:sz="8" w:color="auto"/>
              <w:right w:val="single" w:sz="8" w:color="auto"/>
            </w:tcBorders>
          </w:tcPr>
          <w:p>
            <w:pPr>
              <w:spacing w:after="0"/>
              <w:rPr>
                <w:sz w:val="10"/>
                <w:szCs w:val="10"/>
                <w:color w:val="auto"/>
              </w:rPr>
            </w:pPr>
          </w:p>
        </w:tc>
        <w:tc>
          <w:tcPr>
            <w:tcW w:w="2540" w:type="dxa"/>
            <w:vAlign w:val="bottom"/>
            <w:tcBorders>
              <w:bottom w:val="single" w:sz="8" w:color="auto"/>
              <w:right w:val="single" w:sz="8" w:color="auto"/>
            </w:tcBorders>
          </w:tcPr>
          <w:p>
            <w:pPr>
              <w:spacing w:after="0"/>
              <w:rPr>
                <w:sz w:val="10"/>
                <w:szCs w:val="10"/>
                <w:color w:val="auto"/>
              </w:rPr>
            </w:pPr>
          </w:p>
        </w:tc>
        <w:tc>
          <w:tcPr>
            <w:tcW w:w="2480" w:type="dxa"/>
            <w:vAlign w:val="bottom"/>
            <w:tcBorders>
              <w:bottom w:val="single" w:sz="8" w:color="auto"/>
              <w:right w:val="single" w:sz="8" w:color="auto"/>
            </w:tcBorders>
          </w:tcPr>
          <w:p>
            <w:pPr>
              <w:spacing w:after="0"/>
              <w:rPr>
                <w:sz w:val="10"/>
                <w:szCs w:val="10"/>
                <w:color w:val="auto"/>
              </w:rPr>
            </w:pPr>
          </w:p>
        </w:tc>
        <w:tc>
          <w:tcPr>
            <w:tcW w:w="2500" w:type="dxa"/>
            <w:vAlign w:val="bottom"/>
            <w:tcBorders>
              <w:bottom w:val="single" w:sz="8" w:color="auto"/>
              <w:right w:val="single" w:sz="8" w:color="auto"/>
            </w:tcBorders>
          </w:tcPr>
          <w:p>
            <w:pPr>
              <w:spacing w:after="0"/>
              <w:rPr>
                <w:sz w:val="10"/>
                <w:szCs w:val="10"/>
                <w:color w:val="auto"/>
              </w:rPr>
            </w:pPr>
          </w:p>
        </w:tc>
        <w:tc>
          <w:tcPr>
            <w:tcW w:w="2560" w:type="dxa"/>
            <w:vAlign w:val="bottom"/>
            <w:tcBorders>
              <w:bottom w:val="single" w:sz="8" w:color="auto"/>
              <w:right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23"/>
        </w:trPr>
        <w:tc>
          <w:tcPr>
            <w:tcW w:w="116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79"/>
              </w:rPr>
              <w:t>1</w:t>
            </w:r>
          </w:p>
        </w:tc>
        <w:tc>
          <w:tcPr>
            <w:tcW w:w="25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8"/>
              </w:rPr>
              <w:t>Nepes</w:t>
            </w:r>
          </w:p>
        </w:tc>
        <w:tc>
          <w:tcPr>
            <w:tcW w:w="24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7"/>
              </w:rPr>
              <w:t>226.49</w:t>
            </w:r>
          </w:p>
        </w:tc>
        <w:tc>
          <w:tcPr>
            <w:tcW w:w="25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8"/>
              </w:rPr>
              <w:t>1,132.43</w:t>
            </w:r>
          </w:p>
        </w:tc>
        <w:tc>
          <w:tcPr>
            <w:tcW w:w="25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2"/>
              </w:rPr>
              <w:t>Unfinished goods</w:t>
            </w:r>
          </w:p>
        </w:tc>
        <w:tc>
          <w:tcPr>
            <w:tcW w:w="0" w:type="dxa"/>
            <w:vAlign w:val="bottom"/>
          </w:tcPr>
          <w:p>
            <w:pPr>
              <w:spacing w:after="0"/>
              <w:rPr>
                <w:sz w:val="1"/>
                <w:szCs w:val="1"/>
                <w:color w:val="auto"/>
              </w:rPr>
            </w:pPr>
          </w:p>
        </w:tc>
      </w:tr>
      <w:tr>
        <w:trPr>
          <w:trHeight w:val="223"/>
        </w:trPr>
        <w:tc>
          <w:tcPr>
            <w:tcW w:w="116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79"/>
              </w:rPr>
              <w:t>2</w:t>
            </w:r>
          </w:p>
        </w:tc>
        <w:tc>
          <w:tcPr>
            <w:tcW w:w="25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8"/>
              </w:rPr>
              <w:t>Nepes</w:t>
            </w:r>
          </w:p>
        </w:tc>
        <w:tc>
          <w:tcPr>
            <w:tcW w:w="24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7"/>
              </w:rPr>
              <w:t>157.85</w:t>
            </w:r>
          </w:p>
        </w:tc>
        <w:tc>
          <w:tcPr>
            <w:tcW w:w="25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0"/>
              </w:rPr>
              <w:t>789.27</w:t>
            </w:r>
          </w:p>
        </w:tc>
        <w:tc>
          <w:tcPr>
            <w:tcW w:w="25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2"/>
              </w:rPr>
              <w:t>Unfinished goods</w:t>
            </w:r>
          </w:p>
        </w:tc>
        <w:tc>
          <w:tcPr>
            <w:tcW w:w="0" w:type="dxa"/>
            <w:vAlign w:val="bottom"/>
          </w:tcPr>
          <w:p>
            <w:pPr>
              <w:spacing w:after="0"/>
              <w:rPr>
                <w:sz w:val="1"/>
                <w:szCs w:val="1"/>
                <w:color w:val="auto"/>
              </w:rPr>
            </w:pPr>
          </w:p>
        </w:tc>
      </w:tr>
      <w:tr>
        <w:trPr>
          <w:trHeight w:val="223"/>
        </w:trPr>
        <w:tc>
          <w:tcPr>
            <w:tcW w:w="116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79"/>
              </w:rPr>
              <w:t>3</w:t>
            </w:r>
          </w:p>
        </w:tc>
        <w:tc>
          <w:tcPr>
            <w:tcW w:w="25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0"/>
              </w:rPr>
              <w:t>Wafer Works</w:t>
            </w:r>
          </w:p>
        </w:tc>
        <w:tc>
          <w:tcPr>
            <w:tcW w:w="24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7"/>
              </w:rPr>
              <w:t>710.34</w:t>
            </w:r>
          </w:p>
        </w:tc>
        <w:tc>
          <w:tcPr>
            <w:tcW w:w="25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0"/>
              </w:rPr>
              <w:t>789.27</w:t>
            </w:r>
          </w:p>
        </w:tc>
        <w:tc>
          <w:tcPr>
            <w:tcW w:w="25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0"/>
              </w:rPr>
              <w:t>Goods on delivery</w:t>
            </w:r>
          </w:p>
        </w:tc>
        <w:tc>
          <w:tcPr>
            <w:tcW w:w="0" w:type="dxa"/>
            <w:vAlign w:val="bottom"/>
          </w:tcPr>
          <w:p>
            <w:pPr>
              <w:spacing w:after="0"/>
              <w:rPr>
                <w:sz w:val="1"/>
                <w:szCs w:val="1"/>
                <w:color w:val="auto"/>
              </w:rPr>
            </w:pPr>
          </w:p>
        </w:tc>
      </w:tr>
      <w:tr>
        <w:trPr>
          <w:trHeight w:val="223"/>
        </w:trPr>
        <w:tc>
          <w:tcPr>
            <w:tcW w:w="116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79"/>
              </w:rPr>
              <w:t>4</w:t>
            </w:r>
          </w:p>
        </w:tc>
        <w:tc>
          <w:tcPr>
            <w:tcW w:w="25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7"/>
              </w:rPr>
              <w:t>TFME</w:t>
            </w:r>
          </w:p>
        </w:tc>
        <w:tc>
          <w:tcPr>
            <w:tcW w:w="24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8"/>
              </w:rPr>
              <w:t>79.61</w:t>
            </w:r>
          </w:p>
        </w:tc>
        <w:tc>
          <w:tcPr>
            <w:tcW w:w="25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w:t>
            </w:r>
          </w:p>
        </w:tc>
        <w:tc>
          <w:tcPr>
            <w:tcW w:w="25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78"/>
              </w:rPr>
              <w:t>/</w:t>
            </w:r>
          </w:p>
        </w:tc>
        <w:tc>
          <w:tcPr>
            <w:tcW w:w="0" w:type="dxa"/>
            <w:vAlign w:val="bottom"/>
          </w:tcPr>
          <w:p>
            <w:pPr>
              <w:spacing w:after="0"/>
              <w:rPr>
                <w:sz w:val="1"/>
                <w:szCs w:val="1"/>
                <w:color w:val="auto"/>
              </w:rPr>
            </w:pPr>
          </w:p>
        </w:tc>
      </w:tr>
      <w:tr>
        <w:trPr>
          <w:trHeight w:val="223"/>
        </w:trPr>
        <w:tc>
          <w:tcPr>
            <w:tcW w:w="116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79"/>
              </w:rPr>
              <w:t>5</w:t>
            </w:r>
          </w:p>
        </w:tc>
        <w:tc>
          <w:tcPr>
            <w:tcW w:w="25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4"/>
              </w:rPr>
              <w:t>JHICC</w:t>
            </w:r>
          </w:p>
        </w:tc>
        <w:tc>
          <w:tcPr>
            <w:tcW w:w="24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1"/>
              </w:rPr>
              <w:t>2,100.14</w:t>
            </w:r>
          </w:p>
        </w:tc>
        <w:tc>
          <w:tcPr>
            <w:tcW w:w="25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8"/>
              </w:rPr>
              <w:t>2,402.12</w:t>
            </w:r>
          </w:p>
        </w:tc>
        <w:tc>
          <w:tcPr>
            <w:tcW w:w="25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0"/>
              </w:rPr>
              <w:t>Goods on delivery</w:t>
            </w:r>
          </w:p>
        </w:tc>
        <w:tc>
          <w:tcPr>
            <w:tcW w:w="0" w:type="dxa"/>
            <w:vAlign w:val="bottom"/>
          </w:tcPr>
          <w:p>
            <w:pPr>
              <w:spacing w:after="0"/>
              <w:rPr>
                <w:sz w:val="1"/>
                <w:szCs w:val="1"/>
                <w:color w:val="auto"/>
              </w:rPr>
            </w:pPr>
          </w:p>
        </w:tc>
      </w:tr>
      <w:tr>
        <w:trPr>
          <w:trHeight w:val="223"/>
        </w:trPr>
        <w:tc>
          <w:tcPr>
            <w:tcW w:w="116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79"/>
              </w:rPr>
              <w:t>6</w:t>
            </w:r>
          </w:p>
        </w:tc>
        <w:tc>
          <w:tcPr>
            <w:tcW w:w="25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9"/>
              </w:rPr>
              <w:t>NSI</w:t>
            </w:r>
          </w:p>
        </w:tc>
        <w:tc>
          <w:tcPr>
            <w:tcW w:w="24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7"/>
              </w:rPr>
              <w:t>772.11</w:t>
            </w:r>
          </w:p>
        </w:tc>
        <w:tc>
          <w:tcPr>
            <w:tcW w:w="25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0"/>
              </w:rPr>
              <w:t>857.90</w:t>
            </w:r>
          </w:p>
        </w:tc>
        <w:tc>
          <w:tcPr>
            <w:tcW w:w="25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0"/>
              </w:rPr>
              <w:t>Goods on delivery</w:t>
            </w:r>
          </w:p>
        </w:tc>
        <w:tc>
          <w:tcPr>
            <w:tcW w:w="0" w:type="dxa"/>
            <w:vAlign w:val="bottom"/>
          </w:tcPr>
          <w:p>
            <w:pPr>
              <w:spacing w:after="0"/>
              <w:rPr>
                <w:sz w:val="1"/>
                <w:szCs w:val="1"/>
                <w:color w:val="auto"/>
              </w:rPr>
            </w:pPr>
          </w:p>
        </w:tc>
      </w:tr>
      <w:tr>
        <w:trPr>
          <w:trHeight w:val="223"/>
        </w:trPr>
        <w:tc>
          <w:tcPr>
            <w:tcW w:w="116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79"/>
              </w:rPr>
              <w:t>7</w:t>
            </w:r>
          </w:p>
        </w:tc>
        <w:tc>
          <w:tcPr>
            <w:tcW w:w="25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9"/>
              </w:rPr>
              <w:t>NSI</w:t>
            </w:r>
          </w:p>
        </w:tc>
        <w:tc>
          <w:tcPr>
            <w:tcW w:w="24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7"/>
              </w:rPr>
              <w:t>586.80</w:t>
            </w:r>
          </w:p>
        </w:tc>
        <w:tc>
          <w:tcPr>
            <w:tcW w:w="25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0"/>
              </w:rPr>
              <w:t>652.00</w:t>
            </w:r>
          </w:p>
        </w:tc>
        <w:tc>
          <w:tcPr>
            <w:tcW w:w="25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0"/>
              </w:rPr>
              <w:t>Goods on delivery</w:t>
            </w:r>
          </w:p>
        </w:tc>
        <w:tc>
          <w:tcPr>
            <w:tcW w:w="0" w:type="dxa"/>
            <w:vAlign w:val="bottom"/>
          </w:tcPr>
          <w:p>
            <w:pPr>
              <w:spacing w:after="0"/>
              <w:rPr>
                <w:sz w:val="1"/>
                <w:szCs w:val="1"/>
                <w:color w:val="auto"/>
              </w:rPr>
            </w:pPr>
          </w:p>
        </w:tc>
      </w:tr>
      <w:tr>
        <w:trPr>
          <w:trHeight w:val="223"/>
        </w:trPr>
        <w:tc>
          <w:tcPr>
            <w:tcW w:w="116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79"/>
              </w:rPr>
              <w:t>8</w:t>
            </w:r>
          </w:p>
        </w:tc>
        <w:tc>
          <w:tcPr>
            <w:tcW w:w="25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1"/>
              </w:rPr>
              <w:t>JRH</w:t>
            </w:r>
          </w:p>
        </w:tc>
        <w:tc>
          <w:tcPr>
            <w:tcW w:w="24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7"/>
              </w:rPr>
              <w:t>329.43</w:t>
            </w:r>
          </w:p>
        </w:tc>
        <w:tc>
          <w:tcPr>
            <w:tcW w:w="25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8"/>
              </w:rPr>
              <w:t>1,098.11</w:t>
            </w:r>
          </w:p>
        </w:tc>
        <w:tc>
          <w:tcPr>
            <w:tcW w:w="25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0"/>
              </w:rPr>
              <w:t>Goods on delivery</w:t>
            </w:r>
          </w:p>
        </w:tc>
        <w:tc>
          <w:tcPr>
            <w:tcW w:w="0" w:type="dxa"/>
            <w:vAlign w:val="bottom"/>
          </w:tcPr>
          <w:p>
            <w:pPr>
              <w:spacing w:after="0"/>
              <w:rPr>
                <w:sz w:val="1"/>
                <w:szCs w:val="1"/>
                <w:color w:val="auto"/>
              </w:rPr>
            </w:pPr>
          </w:p>
        </w:tc>
      </w:tr>
      <w:tr>
        <w:trPr>
          <w:trHeight w:val="223"/>
        </w:trPr>
        <w:tc>
          <w:tcPr>
            <w:tcW w:w="116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79"/>
              </w:rPr>
              <w:t>9</w:t>
            </w:r>
          </w:p>
        </w:tc>
        <w:tc>
          <w:tcPr>
            <w:tcW w:w="25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2"/>
              </w:rPr>
              <w:t>Huahong Group</w:t>
            </w:r>
          </w:p>
        </w:tc>
        <w:tc>
          <w:tcPr>
            <w:tcW w:w="24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1"/>
              </w:rPr>
              <w:t>1,753.55</w:t>
            </w:r>
          </w:p>
        </w:tc>
        <w:tc>
          <w:tcPr>
            <w:tcW w:w="25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8"/>
              </w:rPr>
              <w:t>2,505.07</w:t>
            </w:r>
          </w:p>
        </w:tc>
        <w:tc>
          <w:tcPr>
            <w:tcW w:w="25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0"/>
              </w:rPr>
              <w:t>Goods on delivery</w:t>
            </w:r>
          </w:p>
        </w:tc>
        <w:tc>
          <w:tcPr>
            <w:tcW w:w="0" w:type="dxa"/>
            <w:vAlign w:val="bottom"/>
          </w:tcPr>
          <w:p>
            <w:pPr>
              <w:spacing w:after="0"/>
              <w:rPr>
                <w:sz w:val="1"/>
                <w:szCs w:val="1"/>
                <w:color w:val="auto"/>
              </w:rPr>
            </w:pPr>
          </w:p>
        </w:tc>
      </w:tr>
      <w:tr>
        <w:trPr>
          <w:trHeight w:val="223"/>
        </w:trPr>
        <w:tc>
          <w:tcPr>
            <w:tcW w:w="116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9"/>
              </w:rPr>
              <w:t>10</w:t>
            </w:r>
          </w:p>
        </w:tc>
        <w:tc>
          <w:tcPr>
            <w:tcW w:w="25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7"/>
              </w:rPr>
              <w:t>SMIC</w:t>
            </w:r>
          </w:p>
        </w:tc>
        <w:tc>
          <w:tcPr>
            <w:tcW w:w="24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7"/>
              </w:rPr>
              <w:t>109.54</w:t>
            </w:r>
          </w:p>
        </w:tc>
        <w:tc>
          <w:tcPr>
            <w:tcW w:w="25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0"/>
              </w:rPr>
              <w:t>365.12</w:t>
            </w:r>
          </w:p>
        </w:tc>
        <w:tc>
          <w:tcPr>
            <w:tcW w:w="25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0"/>
              </w:rPr>
              <w:t>Goods on delivery</w:t>
            </w:r>
          </w:p>
        </w:tc>
        <w:tc>
          <w:tcPr>
            <w:tcW w:w="0" w:type="dxa"/>
            <w:vAlign w:val="bottom"/>
          </w:tcPr>
          <w:p>
            <w:pPr>
              <w:spacing w:after="0"/>
              <w:rPr>
                <w:sz w:val="1"/>
                <w:szCs w:val="1"/>
                <w:color w:val="auto"/>
              </w:rPr>
            </w:pPr>
          </w:p>
        </w:tc>
      </w:tr>
      <w:tr>
        <w:trPr>
          <w:trHeight w:val="223"/>
        </w:trPr>
        <w:tc>
          <w:tcPr>
            <w:tcW w:w="116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79"/>
              </w:rPr>
              <w:t>11</w:t>
            </w:r>
          </w:p>
        </w:tc>
        <w:tc>
          <w:tcPr>
            <w:tcW w:w="25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88"/>
              </w:rPr>
              <w:t>Total</w:t>
            </w:r>
          </w:p>
        </w:tc>
        <w:tc>
          <w:tcPr>
            <w:tcW w:w="24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91"/>
              </w:rPr>
              <w:t>6,825.86</w:t>
            </w:r>
          </w:p>
        </w:tc>
        <w:tc>
          <w:tcPr>
            <w:tcW w:w="25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10,989.36</w:t>
            </w:r>
          </w:p>
        </w:tc>
        <w:tc>
          <w:tcPr>
            <w:tcW w:w="2560" w:type="dxa"/>
            <w:vAlign w:val="bottom"/>
            <w:tcBorders>
              <w:bottom w:val="single" w:sz="8" w:color="auto"/>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582"/>
        </w:trPr>
        <w:tc>
          <w:tcPr>
            <w:tcW w:w="1160" w:type="dxa"/>
            <w:vAlign w:val="bottom"/>
          </w:tcPr>
          <w:p>
            <w:pPr>
              <w:spacing w:after="0"/>
              <w:rPr>
                <w:sz w:val="24"/>
                <w:szCs w:val="24"/>
                <w:color w:val="auto"/>
              </w:rPr>
            </w:pPr>
          </w:p>
        </w:tc>
        <w:tc>
          <w:tcPr>
            <w:tcW w:w="2540" w:type="dxa"/>
            <w:vAlign w:val="bottom"/>
          </w:tcPr>
          <w:p>
            <w:pPr>
              <w:spacing w:after="0"/>
              <w:rPr>
                <w:sz w:val="24"/>
                <w:szCs w:val="24"/>
                <w:color w:val="auto"/>
              </w:rPr>
            </w:pPr>
          </w:p>
        </w:tc>
        <w:tc>
          <w:tcPr>
            <w:tcW w:w="2480" w:type="dxa"/>
            <w:vAlign w:val="bottom"/>
          </w:tcPr>
          <w:p>
            <w:pPr>
              <w:jc w:val="right"/>
              <w:ind w:right="211"/>
              <w:spacing w:after="0"/>
              <w:rPr>
                <w:sz w:val="20"/>
                <w:szCs w:val="20"/>
                <w:color w:val="auto"/>
              </w:rPr>
            </w:pPr>
            <w:r>
              <w:rPr>
                <w:rFonts w:ascii="Arial" w:cs="Arial" w:eastAsia="Arial" w:hAnsi="Arial"/>
                <w:sz w:val="14"/>
                <w:szCs w:val="14"/>
                <w:color w:val="auto"/>
              </w:rPr>
              <w:t>8-4-1-64</w:t>
            </w:r>
          </w:p>
        </w:tc>
        <w:tc>
          <w:tcPr>
            <w:tcW w:w="2500" w:type="dxa"/>
            <w:vAlign w:val="bottom"/>
          </w:tcPr>
          <w:p>
            <w:pPr>
              <w:spacing w:after="0"/>
              <w:rPr>
                <w:sz w:val="24"/>
                <w:szCs w:val="24"/>
                <w:color w:val="auto"/>
              </w:rPr>
            </w:pPr>
          </w:p>
        </w:tc>
        <w:tc>
          <w:tcPr>
            <w:tcW w:w="2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6"/>
        </w:trPr>
        <w:tc>
          <w:tcPr>
            <w:tcW w:w="1160" w:type="dxa"/>
            <w:vAlign w:val="bottom"/>
            <w:tcBorders>
              <w:bottom w:val="single" w:sz="8" w:color="auto"/>
            </w:tcBorders>
          </w:tcPr>
          <w:p>
            <w:pPr>
              <w:spacing w:after="0"/>
              <w:rPr>
                <w:sz w:val="4"/>
                <w:szCs w:val="4"/>
                <w:color w:val="auto"/>
              </w:rPr>
            </w:pPr>
          </w:p>
        </w:tc>
        <w:tc>
          <w:tcPr>
            <w:tcW w:w="2540" w:type="dxa"/>
            <w:vAlign w:val="bottom"/>
            <w:tcBorders>
              <w:bottom w:val="single" w:sz="8" w:color="auto"/>
            </w:tcBorders>
          </w:tcPr>
          <w:p>
            <w:pPr>
              <w:spacing w:after="0"/>
              <w:rPr>
                <w:sz w:val="4"/>
                <w:szCs w:val="4"/>
                <w:color w:val="auto"/>
              </w:rPr>
            </w:pPr>
          </w:p>
        </w:tc>
        <w:tc>
          <w:tcPr>
            <w:tcW w:w="2480" w:type="dxa"/>
            <w:vAlign w:val="bottom"/>
            <w:tcBorders>
              <w:bottom w:val="single" w:sz="8" w:color="auto"/>
            </w:tcBorders>
          </w:tcPr>
          <w:p>
            <w:pPr>
              <w:spacing w:after="0"/>
              <w:rPr>
                <w:sz w:val="4"/>
                <w:szCs w:val="4"/>
                <w:color w:val="auto"/>
              </w:rPr>
            </w:pPr>
          </w:p>
        </w:tc>
        <w:tc>
          <w:tcPr>
            <w:tcW w:w="2500" w:type="dxa"/>
            <w:vAlign w:val="bottom"/>
            <w:tcBorders>
              <w:bottom w:val="single" w:sz="8" w:color="auto"/>
            </w:tcBorders>
          </w:tcPr>
          <w:p>
            <w:pPr>
              <w:spacing w:after="0"/>
              <w:rPr>
                <w:sz w:val="4"/>
                <w:szCs w:val="4"/>
                <w:color w:val="auto"/>
              </w:rPr>
            </w:pPr>
          </w:p>
        </w:tc>
        <w:tc>
          <w:tcPr>
            <w:tcW w:w="256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125" w:right="339" w:bottom="1440" w:gutter="0" w:footer="0" w:header="0"/>
        </w:sectPr>
      </w:pPr>
    </w:p>
    <w:bookmarkStart w:id="68" w:name="page69"/>
    <w:bookmarkEnd w:id="68"/>
    <w:p>
      <w:pPr>
        <w:jc w:val="both"/>
        <w:ind w:firstLine="324"/>
        <w:spacing w:after="0" w:line="257" w:lineRule="auto"/>
        <w:rPr>
          <w:sz w:val="20"/>
          <w:szCs w:val="20"/>
          <w:color w:val="auto"/>
        </w:rPr>
      </w:pPr>
      <w:r>
        <w:rPr>
          <w:rFonts w:ascii="Arial" w:cs="Arial" w:eastAsia="Arial" w:hAnsi="Arial"/>
          <w:sz w:val="18"/>
          <w:szCs w:val="18"/>
          <w:color w:val="auto"/>
        </w:rPr>
        <w:t>For the sum of deposits received from TFME as of December 31, 2018, the Company had no corresponding orders in hand and goods on delivery or unfinished goods. In January 2018, the Company entered into a sales contract (TFME2) with TFME, the contract of which was then canceled by TFME due to the change of its production and operation plan. In 2019, the Company refunded the deposits received under the TFME2 contract. Based on the machine (unfinished goods) under such contract, the Company produced the same type of machine which was sold to Xiamen Tongfu, and the revenue of such machine was recognized in November 2018.</w:t>
      </w:r>
    </w:p>
    <w:p>
      <w:pPr>
        <w:spacing w:after="0" w:line="208" w:lineRule="exact"/>
        <w:rPr>
          <w:sz w:val="20"/>
          <w:szCs w:val="20"/>
          <w:color w:val="auto"/>
        </w:rPr>
      </w:pPr>
    </w:p>
    <w:p>
      <w:pPr>
        <w:ind w:left="340"/>
        <w:spacing w:after="0"/>
        <w:rPr>
          <w:sz w:val="20"/>
          <w:szCs w:val="20"/>
          <w:color w:val="auto"/>
        </w:rPr>
      </w:pPr>
      <w:r>
        <w:rPr>
          <w:rFonts w:ascii="Arial" w:cs="Arial" w:eastAsia="Arial" w:hAnsi="Arial"/>
          <w:sz w:val="22"/>
          <w:szCs w:val="22"/>
          <w:color w:val="auto"/>
        </w:rPr>
        <w:t>4. December 31, 2017</w:t>
      </w:r>
    </w:p>
    <w:p>
      <w:pPr>
        <w:spacing w:after="0" w:line="233" w:lineRule="exact"/>
        <w:rPr>
          <w:sz w:val="20"/>
          <w:szCs w:val="20"/>
          <w:color w:val="auto"/>
        </w:rPr>
      </w:pPr>
    </w:p>
    <w:tbl>
      <w:tblPr>
        <w:tblLayout w:type="fixed"/>
        <w:tblInd w:w="10" w:type="dxa"/>
        <w:tblCellMar>
          <w:top w:w="0" w:type="dxa"/>
          <w:left w:w="0" w:type="dxa"/>
          <w:bottom w:w="0" w:type="dxa"/>
          <w:right w:w="0" w:type="dxa"/>
        </w:tblCellMar>
      </w:tblPr>
      <w:tr>
        <w:trPr>
          <w:trHeight w:val="274"/>
        </w:trPr>
        <w:tc>
          <w:tcPr>
            <w:tcW w:w="1160" w:type="dxa"/>
            <w:vAlign w:val="bottom"/>
          </w:tcPr>
          <w:p>
            <w:pPr>
              <w:spacing w:after="0"/>
              <w:rPr>
                <w:sz w:val="23"/>
                <w:szCs w:val="23"/>
                <w:color w:val="auto"/>
              </w:rPr>
            </w:pPr>
          </w:p>
        </w:tc>
        <w:tc>
          <w:tcPr>
            <w:tcW w:w="2540" w:type="dxa"/>
            <w:vAlign w:val="bottom"/>
          </w:tcPr>
          <w:p>
            <w:pPr>
              <w:spacing w:after="0"/>
              <w:rPr>
                <w:sz w:val="23"/>
                <w:szCs w:val="23"/>
                <w:color w:val="auto"/>
              </w:rPr>
            </w:pPr>
          </w:p>
        </w:tc>
        <w:tc>
          <w:tcPr>
            <w:tcW w:w="2480" w:type="dxa"/>
            <w:vAlign w:val="bottom"/>
          </w:tcPr>
          <w:p>
            <w:pPr>
              <w:spacing w:after="0"/>
              <w:rPr>
                <w:sz w:val="23"/>
                <w:szCs w:val="23"/>
                <w:color w:val="auto"/>
              </w:rPr>
            </w:pPr>
          </w:p>
        </w:tc>
        <w:tc>
          <w:tcPr>
            <w:tcW w:w="2500" w:type="dxa"/>
            <w:vAlign w:val="bottom"/>
          </w:tcPr>
          <w:p>
            <w:pPr>
              <w:spacing w:after="0"/>
              <w:rPr>
                <w:sz w:val="23"/>
                <w:szCs w:val="23"/>
                <w:color w:val="auto"/>
              </w:rPr>
            </w:pPr>
          </w:p>
        </w:tc>
        <w:tc>
          <w:tcPr>
            <w:tcW w:w="2560" w:type="dxa"/>
            <w:vAlign w:val="bottom"/>
          </w:tcPr>
          <w:p>
            <w:pPr>
              <w:ind w:left="980"/>
              <w:spacing w:after="0"/>
              <w:rPr>
                <w:sz w:val="20"/>
                <w:szCs w:val="20"/>
                <w:color w:val="auto"/>
              </w:rPr>
            </w:pPr>
            <w:r>
              <w:rPr>
                <w:rFonts w:ascii="Arial" w:cs="Arial" w:eastAsia="Arial" w:hAnsi="Arial"/>
                <w:sz w:val="22"/>
                <w:szCs w:val="22"/>
                <w:color w:val="auto"/>
                <w:w w:val="91"/>
              </w:rPr>
              <w:t>Unit: RMB10,000</w:t>
            </w:r>
          </w:p>
        </w:tc>
        <w:tc>
          <w:tcPr>
            <w:tcW w:w="0" w:type="dxa"/>
            <w:vAlign w:val="bottom"/>
          </w:tcPr>
          <w:p>
            <w:pPr>
              <w:spacing w:after="0"/>
              <w:rPr>
                <w:sz w:val="1"/>
                <w:szCs w:val="1"/>
                <w:color w:val="auto"/>
              </w:rPr>
            </w:pPr>
          </w:p>
        </w:tc>
      </w:tr>
      <w:tr>
        <w:trPr>
          <w:trHeight w:val="240"/>
        </w:trPr>
        <w:tc>
          <w:tcPr>
            <w:tcW w:w="1160" w:type="dxa"/>
            <w:vAlign w:val="bottom"/>
            <w:tcBorders>
              <w:bottom w:val="single" w:sz="8" w:color="auto"/>
            </w:tcBorders>
          </w:tcPr>
          <w:p>
            <w:pPr>
              <w:spacing w:after="0"/>
              <w:rPr>
                <w:sz w:val="20"/>
                <w:szCs w:val="20"/>
                <w:color w:val="auto"/>
              </w:rPr>
            </w:pPr>
          </w:p>
        </w:tc>
        <w:tc>
          <w:tcPr>
            <w:tcW w:w="2540" w:type="dxa"/>
            <w:vAlign w:val="bottom"/>
            <w:tcBorders>
              <w:bottom w:val="single" w:sz="8" w:color="auto"/>
            </w:tcBorders>
          </w:tcPr>
          <w:p>
            <w:pPr>
              <w:spacing w:after="0"/>
              <w:rPr>
                <w:sz w:val="20"/>
                <w:szCs w:val="20"/>
                <w:color w:val="auto"/>
              </w:rPr>
            </w:pPr>
          </w:p>
        </w:tc>
        <w:tc>
          <w:tcPr>
            <w:tcW w:w="2480" w:type="dxa"/>
            <w:vAlign w:val="bottom"/>
            <w:tcBorders>
              <w:bottom w:val="single" w:sz="8" w:color="auto"/>
            </w:tcBorders>
          </w:tcPr>
          <w:p>
            <w:pPr>
              <w:spacing w:after="0"/>
              <w:rPr>
                <w:sz w:val="20"/>
                <w:szCs w:val="20"/>
                <w:color w:val="auto"/>
              </w:rPr>
            </w:pPr>
          </w:p>
        </w:tc>
        <w:tc>
          <w:tcPr>
            <w:tcW w:w="2500" w:type="dxa"/>
            <w:vAlign w:val="bottom"/>
            <w:tcBorders>
              <w:bottom w:val="single" w:sz="8" w:color="auto"/>
            </w:tcBorders>
          </w:tcPr>
          <w:p>
            <w:pPr>
              <w:spacing w:after="0"/>
              <w:rPr>
                <w:sz w:val="20"/>
                <w:szCs w:val="20"/>
                <w:color w:val="auto"/>
              </w:rPr>
            </w:pPr>
          </w:p>
        </w:tc>
        <w:tc>
          <w:tcPr>
            <w:tcW w:w="256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1160" w:type="dxa"/>
            <w:vAlign w:val="bottom"/>
            <w:tcBorders>
              <w:left w:val="single" w:sz="8" w:color="auto"/>
              <w:right w:val="single" w:sz="8" w:color="auto"/>
            </w:tcBorders>
          </w:tcPr>
          <w:p>
            <w:pPr>
              <w:spacing w:after="0"/>
              <w:rPr>
                <w:sz w:val="17"/>
                <w:szCs w:val="17"/>
                <w:color w:val="auto"/>
              </w:rPr>
            </w:pPr>
          </w:p>
        </w:tc>
        <w:tc>
          <w:tcPr>
            <w:tcW w:w="2540" w:type="dxa"/>
            <w:vAlign w:val="bottom"/>
            <w:tcBorders>
              <w:right w:val="single" w:sz="8" w:color="auto"/>
            </w:tcBorders>
          </w:tcPr>
          <w:p>
            <w:pPr>
              <w:spacing w:after="0"/>
              <w:rPr>
                <w:sz w:val="17"/>
                <w:szCs w:val="17"/>
                <w:color w:val="auto"/>
              </w:rPr>
            </w:pPr>
          </w:p>
        </w:tc>
        <w:tc>
          <w:tcPr>
            <w:tcW w:w="24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b w:val="1"/>
                <w:bCs w:val="1"/>
                <w:color w:val="auto"/>
                <w:w w:val="87"/>
              </w:rPr>
              <w:t>Balance of deposits</w:t>
            </w:r>
          </w:p>
        </w:tc>
        <w:tc>
          <w:tcPr>
            <w:tcW w:w="25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b w:val="1"/>
                <w:bCs w:val="1"/>
                <w:color w:val="auto"/>
                <w:w w:val="90"/>
              </w:rPr>
              <w:t>Amount of orders in</w:t>
            </w:r>
          </w:p>
        </w:tc>
        <w:tc>
          <w:tcPr>
            <w:tcW w:w="2560" w:type="dxa"/>
            <w:vAlign w:val="bottom"/>
            <w:tcBorders>
              <w:right w:val="single" w:sz="8" w:color="auto"/>
            </w:tcBorders>
          </w:tcPr>
          <w:p>
            <w:pPr>
              <w:jc w:val="center"/>
              <w:spacing w:after="0" w:line="198" w:lineRule="exact"/>
              <w:rPr>
                <w:sz w:val="20"/>
                <w:szCs w:val="20"/>
                <w:color w:val="auto"/>
              </w:rPr>
            </w:pPr>
            <w:r>
              <w:rPr>
                <w:rFonts w:ascii="Arial" w:cs="Arial" w:eastAsia="Arial" w:hAnsi="Arial"/>
                <w:sz w:val="18"/>
                <w:szCs w:val="18"/>
                <w:b w:val="1"/>
                <w:bCs w:val="1"/>
                <w:color w:val="auto"/>
                <w:w w:val="85"/>
              </w:rPr>
              <w:t>Goods on</w:t>
            </w:r>
          </w:p>
        </w:tc>
        <w:tc>
          <w:tcPr>
            <w:tcW w:w="0" w:type="dxa"/>
            <w:vAlign w:val="bottom"/>
          </w:tcPr>
          <w:p>
            <w:pPr>
              <w:spacing w:after="0"/>
              <w:rPr>
                <w:sz w:val="1"/>
                <w:szCs w:val="1"/>
                <w:color w:val="auto"/>
              </w:rPr>
            </w:pPr>
          </w:p>
        </w:tc>
      </w:tr>
      <w:tr>
        <w:trPr>
          <w:trHeight w:val="108"/>
        </w:trPr>
        <w:tc>
          <w:tcPr>
            <w:tcW w:w="116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18"/>
                <w:szCs w:val="18"/>
                <w:b w:val="1"/>
                <w:bCs w:val="1"/>
                <w:color w:val="auto"/>
                <w:w w:val="93"/>
              </w:rPr>
              <w:t>S/N</w:t>
            </w:r>
          </w:p>
        </w:tc>
        <w:tc>
          <w:tcPr>
            <w:tcW w:w="254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b w:val="1"/>
                <w:bCs w:val="1"/>
                <w:color w:val="auto"/>
                <w:w w:val="91"/>
              </w:rPr>
              <w:t>Customer Name</w:t>
            </w:r>
          </w:p>
        </w:tc>
        <w:tc>
          <w:tcPr>
            <w:tcW w:w="2480" w:type="dxa"/>
            <w:vAlign w:val="bottom"/>
            <w:tcBorders>
              <w:right w:val="single" w:sz="8" w:color="auto"/>
            </w:tcBorders>
            <w:vMerge w:val="continue"/>
          </w:tcPr>
          <w:p>
            <w:pPr>
              <w:spacing w:after="0"/>
              <w:rPr>
                <w:sz w:val="9"/>
                <w:szCs w:val="9"/>
                <w:color w:val="auto"/>
              </w:rPr>
            </w:pPr>
          </w:p>
        </w:tc>
        <w:tc>
          <w:tcPr>
            <w:tcW w:w="2500" w:type="dxa"/>
            <w:vAlign w:val="bottom"/>
            <w:tcBorders>
              <w:right w:val="single" w:sz="8" w:color="auto"/>
            </w:tcBorders>
            <w:vMerge w:val="continue"/>
          </w:tcPr>
          <w:p>
            <w:pPr>
              <w:spacing w:after="0"/>
              <w:rPr>
                <w:sz w:val="9"/>
                <w:szCs w:val="9"/>
                <w:color w:val="auto"/>
              </w:rPr>
            </w:pPr>
          </w:p>
        </w:tc>
        <w:tc>
          <w:tcPr>
            <w:tcW w:w="256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b w:val="1"/>
                <w:bCs w:val="1"/>
                <w:color w:val="auto"/>
                <w:w w:val="90"/>
              </w:rPr>
              <w:t>delivery/unfinished</w:t>
            </w:r>
          </w:p>
        </w:tc>
        <w:tc>
          <w:tcPr>
            <w:tcW w:w="0" w:type="dxa"/>
            <w:vAlign w:val="bottom"/>
          </w:tcPr>
          <w:p>
            <w:pPr>
              <w:spacing w:after="0"/>
              <w:rPr>
                <w:sz w:val="1"/>
                <w:szCs w:val="1"/>
                <w:color w:val="auto"/>
              </w:rPr>
            </w:pPr>
          </w:p>
        </w:tc>
      </w:tr>
      <w:tr>
        <w:trPr>
          <w:trHeight w:val="108"/>
        </w:trPr>
        <w:tc>
          <w:tcPr>
            <w:tcW w:w="1160" w:type="dxa"/>
            <w:vAlign w:val="bottom"/>
            <w:tcBorders>
              <w:left w:val="single" w:sz="8" w:color="auto"/>
              <w:right w:val="single" w:sz="8" w:color="auto"/>
            </w:tcBorders>
            <w:vMerge w:val="continue"/>
          </w:tcPr>
          <w:p>
            <w:pPr>
              <w:spacing w:after="0"/>
              <w:rPr>
                <w:sz w:val="9"/>
                <w:szCs w:val="9"/>
                <w:color w:val="auto"/>
              </w:rPr>
            </w:pPr>
          </w:p>
        </w:tc>
        <w:tc>
          <w:tcPr>
            <w:tcW w:w="2540" w:type="dxa"/>
            <w:vAlign w:val="bottom"/>
            <w:tcBorders>
              <w:right w:val="single" w:sz="8" w:color="auto"/>
            </w:tcBorders>
            <w:vMerge w:val="continue"/>
          </w:tcPr>
          <w:p>
            <w:pPr>
              <w:spacing w:after="0"/>
              <w:rPr>
                <w:sz w:val="9"/>
                <w:szCs w:val="9"/>
                <w:color w:val="auto"/>
              </w:rPr>
            </w:pPr>
          </w:p>
        </w:tc>
        <w:tc>
          <w:tcPr>
            <w:tcW w:w="24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b w:val="1"/>
                <w:bCs w:val="1"/>
                <w:color w:val="auto"/>
                <w:w w:val="87"/>
              </w:rPr>
              <w:t>received</w:t>
            </w:r>
          </w:p>
        </w:tc>
        <w:tc>
          <w:tcPr>
            <w:tcW w:w="25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b w:val="1"/>
                <w:bCs w:val="1"/>
                <w:color w:val="auto"/>
                <w:w w:val="88"/>
              </w:rPr>
              <w:t>hand</w:t>
            </w:r>
          </w:p>
        </w:tc>
        <w:tc>
          <w:tcPr>
            <w:tcW w:w="2560" w:type="dxa"/>
            <w:vAlign w:val="bottom"/>
            <w:tcBorders>
              <w:right w:val="single" w:sz="8" w:color="auto"/>
            </w:tcBorders>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26"/>
        </w:trPr>
        <w:tc>
          <w:tcPr>
            <w:tcW w:w="1160" w:type="dxa"/>
            <w:vAlign w:val="bottom"/>
            <w:tcBorders>
              <w:left w:val="single" w:sz="8" w:color="auto"/>
              <w:right w:val="single" w:sz="8" w:color="auto"/>
            </w:tcBorders>
          </w:tcPr>
          <w:p>
            <w:pPr>
              <w:spacing w:after="0"/>
              <w:rPr>
                <w:sz w:val="10"/>
                <w:szCs w:val="10"/>
                <w:color w:val="auto"/>
              </w:rPr>
            </w:pPr>
          </w:p>
        </w:tc>
        <w:tc>
          <w:tcPr>
            <w:tcW w:w="2540" w:type="dxa"/>
            <w:vAlign w:val="bottom"/>
            <w:tcBorders>
              <w:right w:val="single" w:sz="8" w:color="auto"/>
            </w:tcBorders>
          </w:tcPr>
          <w:p>
            <w:pPr>
              <w:spacing w:after="0"/>
              <w:rPr>
                <w:sz w:val="10"/>
                <w:szCs w:val="10"/>
                <w:color w:val="auto"/>
              </w:rPr>
            </w:pPr>
          </w:p>
        </w:tc>
        <w:tc>
          <w:tcPr>
            <w:tcW w:w="2480" w:type="dxa"/>
            <w:vAlign w:val="bottom"/>
            <w:tcBorders>
              <w:right w:val="single" w:sz="8" w:color="auto"/>
            </w:tcBorders>
            <w:vMerge w:val="continue"/>
          </w:tcPr>
          <w:p>
            <w:pPr>
              <w:spacing w:after="0"/>
              <w:rPr>
                <w:sz w:val="10"/>
                <w:szCs w:val="10"/>
                <w:color w:val="auto"/>
              </w:rPr>
            </w:pPr>
          </w:p>
        </w:tc>
        <w:tc>
          <w:tcPr>
            <w:tcW w:w="2500" w:type="dxa"/>
            <w:vAlign w:val="bottom"/>
            <w:tcBorders>
              <w:right w:val="single" w:sz="8" w:color="auto"/>
            </w:tcBorders>
            <w:vMerge w:val="continue"/>
          </w:tcPr>
          <w:p>
            <w:pPr>
              <w:spacing w:after="0"/>
              <w:rPr>
                <w:sz w:val="10"/>
                <w:szCs w:val="10"/>
                <w:color w:val="auto"/>
              </w:rPr>
            </w:pPr>
          </w:p>
        </w:tc>
        <w:tc>
          <w:tcPr>
            <w:tcW w:w="256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b w:val="1"/>
                <w:bCs w:val="1"/>
                <w:color w:val="auto"/>
                <w:w w:val="81"/>
              </w:rPr>
              <w:t>goods</w:t>
            </w:r>
          </w:p>
        </w:tc>
        <w:tc>
          <w:tcPr>
            <w:tcW w:w="0" w:type="dxa"/>
            <w:vAlign w:val="bottom"/>
          </w:tcPr>
          <w:p>
            <w:pPr>
              <w:spacing w:after="0"/>
              <w:rPr>
                <w:sz w:val="1"/>
                <w:szCs w:val="1"/>
                <w:color w:val="auto"/>
              </w:rPr>
            </w:pPr>
          </w:p>
        </w:tc>
      </w:tr>
      <w:tr>
        <w:trPr>
          <w:trHeight w:val="115"/>
        </w:trPr>
        <w:tc>
          <w:tcPr>
            <w:tcW w:w="1160" w:type="dxa"/>
            <w:vAlign w:val="bottom"/>
            <w:tcBorders>
              <w:left w:val="single" w:sz="8" w:color="auto"/>
              <w:bottom w:val="single" w:sz="8" w:color="auto"/>
              <w:right w:val="single" w:sz="8" w:color="auto"/>
            </w:tcBorders>
          </w:tcPr>
          <w:p>
            <w:pPr>
              <w:spacing w:after="0"/>
              <w:rPr>
                <w:sz w:val="10"/>
                <w:szCs w:val="10"/>
                <w:color w:val="auto"/>
              </w:rPr>
            </w:pPr>
          </w:p>
        </w:tc>
        <w:tc>
          <w:tcPr>
            <w:tcW w:w="2540" w:type="dxa"/>
            <w:vAlign w:val="bottom"/>
            <w:tcBorders>
              <w:bottom w:val="single" w:sz="8" w:color="auto"/>
              <w:right w:val="single" w:sz="8" w:color="auto"/>
            </w:tcBorders>
          </w:tcPr>
          <w:p>
            <w:pPr>
              <w:spacing w:after="0"/>
              <w:rPr>
                <w:sz w:val="10"/>
                <w:szCs w:val="10"/>
                <w:color w:val="auto"/>
              </w:rPr>
            </w:pPr>
          </w:p>
        </w:tc>
        <w:tc>
          <w:tcPr>
            <w:tcW w:w="2480" w:type="dxa"/>
            <w:vAlign w:val="bottom"/>
            <w:tcBorders>
              <w:bottom w:val="single" w:sz="8" w:color="auto"/>
              <w:right w:val="single" w:sz="8" w:color="auto"/>
            </w:tcBorders>
          </w:tcPr>
          <w:p>
            <w:pPr>
              <w:spacing w:after="0"/>
              <w:rPr>
                <w:sz w:val="10"/>
                <w:szCs w:val="10"/>
                <w:color w:val="auto"/>
              </w:rPr>
            </w:pPr>
          </w:p>
        </w:tc>
        <w:tc>
          <w:tcPr>
            <w:tcW w:w="2500" w:type="dxa"/>
            <w:vAlign w:val="bottom"/>
            <w:tcBorders>
              <w:bottom w:val="single" w:sz="8" w:color="auto"/>
              <w:right w:val="single" w:sz="8" w:color="auto"/>
            </w:tcBorders>
          </w:tcPr>
          <w:p>
            <w:pPr>
              <w:spacing w:after="0"/>
              <w:rPr>
                <w:sz w:val="10"/>
                <w:szCs w:val="10"/>
                <w:color w:val="auto"/>
              </w:rPr>
            </w:pPr>
          </w:p>
        </w:tc>
        <w:tc>
          <w:tcPr>
            <w:tcW w:w="2560" w:type="dxa"/>
            <w:vAlign w:val="bottom"/>
            <w:tcBorders>
              <w:bottom w:val="single" w:sz="8" w:color="auto"/>
              <w:right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23"/>
        </w:trPr>
        <w:tc>
          <w:tcPr>
            <w:tcW w:w="116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79"/>
              </w:rPr>
              <w:t>1</w:t>
            </w:r>
          </w:p>
        </w:tc>
        <w:tc>
          <w:tcPr>
            <w:tcW w:w="25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8"/>
              </w:rPr>
              <w:t>Nepes</w:t>
            </w:r>
          </w:p>
        </w:tc>
        <w:tc>
          <w:tcPr>
            <w:tcW w:w="24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8"/>
              </w:rPr>
              <w:t>93.44</w:t>
            </w:r>
          </w:p>
        </w:tc>
        <w:tc>
          <w:tcPr>
            <w:tcW w:w="25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0"/>
              </w:rPr>
              <w:t>467.20</w:t>
            </w:r>
          </w:p>
        </w:tc>
        <w:tc>
          <w:tcPr>
            <w:tcW w:w="25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2"/>
              </w:rPr>
              <w:t>Unfinished goods</w:t>
            </w:r>
          </w:p>
        </w:tc>
        <w:tc>
          <w:tcPr>
            <w:tcW w:w="0" w:type="dxa"/>
            <w:vAlign w:val="bottom"/>
          </w:tcPr>
          <w:p>
            <w:pPr>
              <w:spacing w:after="0"/>
              <w:rPr>
                <w:sz w:val="1"/>
                <w:szCs w:val="1"/>
                <w:color w:val="auto"/>
              </w:rPr>
            </w:pPr>
          </w:p>
        </w:tc>
      </w:tr>
      <w:tr>
        <w:trPr>
          <w:trHeight w:val="223"/>
        </w:trPr>
        <w:tc>
          <w:tcPr>
            <w:tcW w:w="116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79"/>
              </w:rPr>
              <w:t>2</w:t>
            </w:r>
          </w:p>
        </w:tc>
        <w:tc>
          <w:tcPr>
            <w:tcW w:w="25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1"/>
              </w:rPr>
              <w:t>JRH</w:t>
            </w:r>
          </w:p>
        </w:tc>
        <w:tc>
          <w:tcPr>
            <w:tcW w:w="24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7"/>
              </w:rPr>
              <w:t>303.84</w:t>
            </w:r>
          </w:p>
        </w:tc>
        <w:tc>
          <w:tcPr>
            <w:tcW w:w="25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8"/>
              </w:rPr>
              <w:t>1,012.80</w:t>
            </w:r>
          </w:p>
        </w:tc>
        <w:tc>
          <w:tcPr>
            <w:tcW w:w="25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0"/>
              </w:rPr>
              <w:t>Goods on delivery</w:t>
            </w:r>
          </w:p>
        </w:tc>
        <w:tc>
          <w:tcPr>
            <w:tcW w:w="0" w:type="dxa"/>
            <w:vAlign w:val="bottom"/>
          </w:tcPr>
          <w:p>
            <w:pPr>
              <w:spacing w:after="0"/>
              <w:rPr>
                <w:sz w:val="1"/>
                <w:szCs w:val="1"/>
                <w:color w:val="auto"/>
              </w:rPr>
            </w:pPr>
          </w:p>
        </w:tc>
      </w:tr>
      <w:tr>
        <w:trPr>
          <w:trHeight w:val="223"/>
        </w:trPr>
        <w:tc>
          <w:tcPr>
            <w:tcW w:w="116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79"/>
              </w:rPr>
              <w:t>3</w:t>
            </w:r>
          </w:p>
        </w:tc>
        <w:tc>
          <w:tcPr>
            <w:tcW w:w="25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3"/>
              </w:rPr>
              <w:t>Xiamen Tongfu</w:t>
            </w:r>
          </w:p>
        </w:tc>
        <w:tc>
          <w:tcPr>
            <w:tcW w:w="24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7"/>
              </w:rPr>
              <w:t>120.00</w:t>
            </w:r>
          </w:p>
        </w:tc>
        <w:tc>
          <w:tcPr>
            <w:tcW w:w="25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0"/>
              </w:rPr>
              <w:t>600.00</w:t>
            </w:r>
          </w:p>
        </w:tc>
        <w:tc>
          <w:tcPr>
            <w:tcW w:w="25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0"/>
              </w:rPr>
              <w:t>Goods on delivery</w:t>
            </w:r>
          </w:p>
        </w:tc>
        <w:tc>
          <w:tcPr>
            <w:tcW w:w="0" w:type="dxa"/>
            <w:vAlign w:val="bottom"/>
          </w:tcPr>
          <w:p>
            <w:pPr>
              <w:spacing w:after="0"/>
              <w:rPr>
                <w:sz w:val="1"/>
                <w:szCs w:val="1"/>
                <w:color w:val="auto"/>
              </w:rPr>
            </w:pPr>
          </w:p>
        </w:tc>
      </w:tr>
      <w:tr>
        <w:trPr>
          <w:trHeight w:val="223"/>
        </w:trPr>
        <w:tc>
          <w:tcPr>
            <w:tcW w:w="116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79"/>
              </w:rPr>
              <w:t>4</w:t>
            </w:r>
          </w:p>
        </w:tc>
        <w:tc>
          <w:tcPr>
            <w:tcW w:w="25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0"/>
              </w:rPr>
              <w:t>Wafer Works</w:t>
            </w:r>
          </w:p>
        </w:tc>
        <w:tc>
          <w:tcPr>
            <w:tcW w:w="24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7"/>
              </w:rPr>
              <w:t>343.05</w:t>
            </w:r>
          </w:p>
        </w:tc>
        <w:tc>
          <w:tcPr>
            <w:tcW w:w="25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0"/>
              </w:rPr>
              <w:t>490.07</w:t>
            </w:r>
          </w:p>
        </w:tc>
        <w:tc>
          <w:tcPr>
            <w:tcW w:w="25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0"/>
              </w:rPr>
              <w:t>Goods on delivery</w:t>
            </w:r>
          </w:p>
        </w:tc>
        <w:tc>
          <w:tcPr>
            <w:tcW w:w="0" w:type="dxa"/>
            <w:vAlign w:val="bottom"/>
          </w:tcPr>
          <w:p>
            <w:pPr>
              <w:spacing w:after="0"/>
              <w:rPr>
                <w:sz w:val="1"/>
                <w:szCs w:val="1"/>
                <w:color w:val="auto"/>
              </w:rPr>
            </w:pPr>
          </w:p>
        </w:tc>
      </w:tr>
      <w:tr>
        <w:trPr>
          <w:trHeight w:val="223"/>
        </w:trPr>
        <w:tc>
          <w:tcPr>
            <w:tcW w:w="116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79"/>
              </w:rPr>
              <w:t>5</w:t>
            </w:r>
          </w:p>
        </w:tc>
        <w:tc>
          <w:tcPr>
            <w:tcW w:w="25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88"/>
              </w:rPr>
              <w:t>Total</w:t>
            </w:r>
          </w:p>
        </w:tc>
        <w:tc>
          <w:tcPr>
            <w:tcW w:w="24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87"/>
              </w:rPr>
              <w:t>860.32</w:t>
            </w:r>
          </w:p>
        </w:tc>
        <w:tc>
          <w:tcPr>
            <w:tcW w:w="25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88"/>
              </w:rPr>
              <w:t>2,570.07</w:t>
            </w:r>
          </w:p>
        </w:tc>
        <w:tc>
          <w:tcPr>
            <w:tcW w:w="2560" w:type="dxa"/>
            <w:vAlign w:val="bottom"/>
            <w:tcBorders>
              <w:bottom w:val="single" w:sz="8" w:color="auto"/>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22" w:lineRule="exact"/>
        <w:rPr>
          <w:sz w:val="20"/>
          <w:szCs w:val="20"/>
          <w:color w:val="auto"/>
        </w:rPr>
      </w:pPr>
    </w:p>
    <w:p>
      <w:pPr>
        <w:ind w:left="340"/>
        <w:spacing w:after="0"/>
        <w:rPr>
          <w:sz w:val="20"/>
          <w:szCs w:val="20"/>
          <w:color w:val="auto"/>
        </w:rPr>
      </w:pPr>
      <w:r>
        <w:rPr>
          <w:rFonts w:ascii="Arial" w:cs="Arial" w:eastAsia="Arial" w:hAnsi="Arial"/>
          <w:sz w:val="22"/>
          <w:szCs w:val="22"/>
          <w:color w:val="auto"/>
        </w:rPr>
        <w:t>(ii) The reasons for the substantial increase in the deposits received at the end of 2018</w:t>
      </w:r>
    </w:p>
    <w:p>
      <w:pPr>
        <w:spacing w:after="0" w:line="240"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During the reporting period, the Company’s deposits received showed an overall upward trend with the growth of operating income, and at the same time were also affected by product acceptance period and time point, among other factors, with certain fluctuations. The reasons for the substantial increase in the deposits received of the Company at the end of 2018 lie in the following: 1. The Company’s production and sales were improved in 2018, the quantity of unfinished goods at the end of 2018 being increased by 2, and that of goods on delivery increased by 4, compared with those at the end of 2017, respectively; 2. Affected by the acceptance period concerning the Company’s products, the revenues from equipment sold by the Company under large-amount orders of Wafer Works, JHICC, SMIC and Huahong Group, among others, at the end of 2018 for which the payment collection was in good order have not been recognized.”</w:t>
      </w:r>
    </w:p>
    <w:p>
      <w:pPr>
        <w:spacing w:after="0" w:line="222"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7"/>
          <w:szCs w:val="17"/>
          <w:color w:val="auto"/>
        </w:rPr>
        <w:t>The ratio of deposits received by the Company is comparatively low because its customers are well-known companies in the semiconductor industry that have strong business reputations and are in continuous and normal cooperation with the Company. Some customers failed to make payment as agreed in the contracts due to the influence of the approval time required by them for the payment process, etc.</w:t>
      </w:r>
    </w:p>
    <w:p>
      <w:pPr>
        <w:spacing w:after="0" w:line="192"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For sales orders with unrecognized revenue, when customers pay deposits according to the sales orders, the Issuer has recorded the amount of deposits received into the deposits received/contract liabilities as required by China’s accounting standards for business enterprises, and disclosed the same accurately in the financial statements.</w:t>
      </w: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8-4-1-65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69" w:name="page70"/>
    <w:bookmarkEnd w:id="69"/>
    <w:p>
      <w:pPr>
        <w:ind w:left="340"/>
        <w:spacing w:after="0"/>
        <w:rPr>
          <w:sz w:val="20"/>
          <w:szCs w:val="20"/>
          <w:color w:val="auto"/>
        </w:rPr>
      </w:pPr>
      <w:r>
        <w:rPr>
          <w:rFonts w:ascii="Arial" w:cs="Arial" w:eastAsia="Arial" w:hAnsi="Arial"/>
          <w:sz w:val="22"/>
          <w:szCs w:val="22"/>
          <w:b w:val="1"/>
          <w:bCs w:val="1"/>
          <w:color w:val="auto"/>
        </w:rPr>
        <w:t>II. Verification Procedures and Opinions</w:t>
      </w:r>
    </w:p>
    <w:p>
      <w:pPr>
        <w:spacing w:after="0" w:line="234" w:lineRule="exact"/>
        <w:rPr>
          <w:sz w:val="20"/>
          <w:szCs w:val="20"/>
          <w:color w:val="auto"/>
        </w:rPr>
      </w:pPr>
    </w:p>
    <w:p>
      <w:pPr>
        <w:ind w:left="340"/>
        <w:spacing w:after="0"/>
        <w:rPr>
          <w:sz w:val="20"/>
          <w:szCs w:val="20"/>
          <w:color w:val="auto"/>
        </w:rPr>
      </w:pPr>
      <w:r>
        <w:rPr>
          <w:rFonts w:ascii="Arial" w:cs="Arial" w:eastAsia="Arial" w:hAnsi="Arial"/>
          <w:sz w:val="22"/>
          <w:szCs w:val="22"/>
          <w:b w:val="1"/>
          <w:bCs w:val="1"/>
          <w:color w:val="auto"/>
        </w:rPr>
        <w:t>(i) Verification Procedures</w:t>
      </w:r>
    </w:p>
    <w:p>
      <w:pPr>
        <w:spacing w:after="0" w:line="246" w:lineRule="exact"/>
        <w:rPr>
          <w:sz w:val="20"/>
          <w:szCs w:val="20"/>
          <w:color w:val="auto"/>
        </w:rPr>
      </w:pPr>
    </w:p>
    <w:p>
      <w:pPr>
        <w:ind w:left="340"/>
        <w:spacing w:after="0"/>
        <w:rPr>
          <w:sz w:val="20"/>
          <w:szCs w:val="20"/>
          <w:color w:val="auto"/>
        </w:rPr>
      </w:pPr>
      <w:r>
        <w:rPr>
          <w:rFonts w:ascii="Arial" w:cs="Arial" w:eastAsia="Arial" w:hAnsi="Arial"/>
          <w:sz w:val="18"/>
          <w:szCs w:val="18"/>
          <w:color w:val="auto"/>
        </w:rPr>
        <w:t>Before the release of the Short-sell Report, the Sponsor performed the following verification procedures:</w:t>
      </w:r>
    </w:p>
    <w:p>
      <w:pPr>
        <w:spacing w:after="0" w:line="252" w:lineRule="exact"/>
        <w:rPr>
          <w:sz w:val="20"/>
          <w:szCs w:val="20"/>
          <w:color w:val="auto"/>
        </w:rPr>
      </w:pPr>
    </w:p>
    <w:p>
      <w:pPr>
        <w:ind w:firstLine="332"/>
        <w:spacing w:after="0" w:line="277" w:lineRule="auto"/>
        <w:tabs>
          <w:tab w:leader="none" w:pos="506" w:val="left"/>
        </w:tabs>
        <w:numPr>
          <w:ilvl w:val="0"/>
          <w:numId w:val="68"/>
        </w:numPr>
        <w:rPr>
          <w:rFonts w:ascii="Arial" w:cs="Arial" w:eastAsia="Arial" w:hAnsi="Arial"/>
          <w:sz w:val="18"/>
          <w:szCs w:val="18"/>
          <w:color w:val="auto"/>
        </w:rPr>
      </w:pPr>
      <w:r>
        <w:rPr>
          <w:rFonts w:ascii="Arial" w:cs="Arial" w:eastAsia="Arial" w:hAnsi="Arial"/>
          <w:sz w:val="18"/>
          <w:szCs w:val="18"/>
          <w:color w:val="auto"/>
        </w:rPr>
        <w:t>Having access to the relevant sales contracts and sales orders between the Issuer and its key customers, and checking the main settlement policies of the Issuer with its key customers;</w:t>
      </w:r>
    </w:p>
    <w:p>
      <w:pPr>
        <w:spacing w:after="0" w:line="197" w:lineRule="exact"/>
        <w:rPr>
          <w:rFonts w:ascii="Arial" w:cs="Arial" w:eastAsia="Arial" w:hAnsi="Arial"/>
          <w:sz w:val="18"/>
          <w:szCs w:val="18"/>
          <w:color w:val="auto"/>
        </w:rPr>
      </w:pPr>
    </w:p>
    <w:p>
      <w:pPr>
        <w:ind w:firstLine="332"/>
        <w:spacing w:after="0" w:line="308" w:lineRule="auto"/>
        <w:tabs>
          <w:tab w:leader="none" w:pos="507" w:val="left"/>
        </w:tabs>
        <w:numPr>
          <w:ilvl w:val="0"/>
          <w:numId w:val="68"/>
        </w:numPr>
        <w:rPr>
          <w:rFonts w:ascii="Arial" w:cs="Arial" w:eastAsia="Arial" w:hAnsi="Arial"/>
          <w:sz w:val="17"/>
          <w:szCs w:val="17"/>
          <w:color w:val="auto"/>
        </w:rPr>
      </w:pPr>
      <w:r>
        <w:rPr>
          <w:rFonts w:ascii="Arial" w:cs="Arial" w:eastAsia="Arial" w:hAnsi="Arial"/>
          <w:sz w:val="17"/>
          <w:szCs w:val="17"/>
          <w:color w:val="auto"/>
        </w:rPr>
        <w:t>Having access to the bank statements of the Issuer, checking the collection of payment under the sales orders of the Issuer in combination with such orders, and verifying the existence and accuracy of the deposits received/contract liabilities at the end of the period; and</w:t>
      </w:r>
    </w:p>
    <w:p>
      <w:pPr>
        <w:spacing w:after="0" w:line="173" w:lineRule="exact"/>
        <w:rPr>
          <w:rFonts w:ascii="Arial" w:cs="Arial" w:eastAsia="Arial" w:hAnsi="Arial"/>
          <w:sz w:val="17"/>
          <w:szCs w:val="17"/>
          <w:color w:val="auto"/>
        </w:rPr>
      </w:pPr>
    </w:p>
    <w:p>
      <w:pPr>
        <w:ind w:left="520" w:hanging="188"/>
        <w:spacing w:after="0"/>
        <w:tabs>
          <w:tab w:leader="none" w:pos="520" w:val="left"/>
        </w:tabs>
        <w:numPr>
          <w:ilvl w:val="0"/>
          <w:numId w:val="68"/>
        </w:numPr>
        <w:rPr>
          <w:rFonts w:ascii="Arial" w:cs="Arial" w:eastAsia="Arial" w:hAnsi="Arial"/>
          <w:sz w:val="18"/>
          <w:szCs w:val="18"/>
          <w:color w:val="auto"/>
        </w:rPr>
      </w:pPr>
      <w:r>
        <w:rPr>
          <w:rFonts w:ascii="Arial" w:cs="Arial" w:eastAsia="Arial" w:hAnsi="Arial"/>
          <w:sz w:val="18"/>
          <w:szCs w:val="18"/>
          <w:color w:val="auto"/>
        </w:rPr>
        <w:t>Seeking confirmation from the key customers on the authenticity of the deposits received.</w:t>
      </w:r>
    </w:p>
    <w:p>
      <w:pPr>
        <w:spacing w:after="0" w:line="252" w:lineRule="exact"/>
        <w:rPr>
          <w:sz w:val="20"/>
          <w:szCs w:val="20"/>
          <w:color w:val="auto"/>
        </w:rPr>
      </w:pPr>
    </w:p>
    <w:p>
      <w:pPr>
        <w:ind w:left="340"/>
        <w:spacing w:after="0"/>
        <w:rPr>
          <w:sz w:val="20"/>
          <w:szCs w:val="20"/>
          <w:color w:val="auto"/>
        </w:rPr>
      </w:pPr>
      <w:r>
        <w:rPr>
          <w:rFonts w:ascii="Arial" w:cs="Arial" w:eastAsia="Arial" w:hAnsi="Arial"/>
          <w:sz w:val="16"/>
          <w:szCs w:val="16"/>
          <w:color w:val="auto"/>
        </w:rPr>
        <w:t>After the release of the Short-sell Report, the Sponsor performed the following further procedures with respect to the Company’s deposits received:</w:t>
      </w:r>
    </w:p>
    <w:p>
      <w:pPr>
        <w:spacing w:after="0" w:line="275" w:lineRule="exact"/>
        <w:rPr>
          <w:sz w:val="20"/>
          <w:szCs w:val="20"/>
          <w:color w:val="auto"/>
        </w:rPr>
      </w:pPr>
    </w:p>
    <w:p>
      <w:pPr>
        <w:ind w:left="520" w:hanging="188"/>
        <w:spacing w:after="0"/>
        <w:tabs>
          <w:tab w:leader="none" w:pos="520" w:val="left"/>
        </w:tabs>
        <w:numPr>
          <w:ilvl w:val="0"/>
          <w:numId w:val="69"/>
        </w:numPr>
        <w:rPr>
          <w:rFonts w:ascii="Arial" w:cs="Arial" w:eastAsia="Arial" w:hAnsi="Arial"/>
          <w:sz w:val="18"/>
          <w:szCs w:val="18"/>
          <w:color w:val="auto"/>
        </w:rPr>
      </w:pPr>
      <w:r>
        <w:rPr>
          <w:rFonts w:ascii="Arial" w:cs="Arial" w:eastAsia="Arial" w:hAnsi="Arial"/>
          <w:sz w:val="18"/>
          <w:szCs w:val="18"/>
          <w:color w:val="auto"/>
        </w:rPr>
        <w:t>Rechecking the Company’s main settlement policies; and</w:t>
      </w:r>
    </w:p>
    <w:p>
      <w:pPr>
        <w:spacing w:after="0" w:line="252" w:lineRule="exact"/>
        <w:rPr>
          <w:rFonts w:ascii="Arial" w:cs="Arial" w:eastAsia="Arial" w:hAnsi="Arial"/>
          <w:sz w:val="18"/>
          <w:szCs w:val="18"/>
          <w:color w:val="auto"/>
        </w:rPr>
      </w:pPr>
    </w:p>
    <w:p>
      <w:pPr>
        <w:ind w:left="520" w:hanging="188"/>
        <w:spacing w:after="0"/>
        <w:tabs>
          <w:tab w:leader="none" w:pos="520" w:val="left"/>
        </w:tabs>
        <w:numPr>
          <w:ilvl w:val="0"/>
          <w:numId w:val="69"/>
        </w:numPr>
        <w:rPr>
          <w:rFonts w:ascii="Arial" w:cs="Arial" w:eastAsia="Arial" w:hAnsi="Arial"/>
          <w:sz w:val="18"/>
          <w:szCs w:val="18"/>
          <w:color w:val="auto"/>
        </w:rPr>
      </w:pPr>
      <w:r>
        <w:rPr>
          <w:rFonts w:ascii="Arial" w:cs="Arial" w:eastAsia="Arial" w:hAnsi="Arial"/>
          <w:sz w:val="18"/>
          <w:szCs w:val="18"/>
          <w:color w:val="auto"/>
        </w:rPr>
        <w:t>Rechecking data of the deposits received according to the sales orders.</w:t>
      </w:r>
    </w:p>
    <w:p>
      <w:pPr>
        <w:spacing w:after="0" w:line="248"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(ii) Verification Opinions</w:t>
      </w:r>
    </w:p>
    <w:p>
      <w:pPr>
        <w:spacing w:after="0" w:line="256" w:lineRule="exact"/>
        <w:rPr>
          <w:sz w:val="20"/>
          <w:szCs w:val="20"/>
          <w:color w:val="auto"/>
        </w:rPr>
      </w:pPr>
    </w:p>
    <w:p>
      <w:pPr>
        <w:ind w:left="340"/>
        <w:spacing w:after="0"/>
        <w:rPr>
          <w:sz w:val="20"/>
          <w:szCs w:val="20"/>
          <w:color w:val="auto"/>
        </w:rPr>
      </w:pPr>
      <w:r>
        <w:rPr>
          <w:rFonts w:ascii="Arial" w:cs="Arial" w:eastAsia="Arial" w:hAnsi="Arial"/>
          <w:sz w:val="18"/>
          <w:szCs w:val="18"/>
          <w:color w:val="auto"/>
        </w:rPr>
        <w:t>Upon verification, the Sponsor opines that:</w:t>
      </w:r>
    </w:p>
    <w:p>
      <w:pPr>
        <w:spacing w:after="0" w:line="252"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closing balance of deposits received/contract liabilities for each reporting period is accurately reported.</w:t>
      </w:r>
    </w:p>
    <w:p>
      <w:pPr>
        <w:spacing w:after="0" w:line="248" w:lineRule="exact"/>
        <w:rPr>
          <w:sz w:val="20"/>
          <w:szCs w:val="20"/>
          <w:color w:val="auto"/>
        </w:rPr>
      </w:pPr>
    </w:p>
    <w:p>
      <w:pPr>
        <w:ind w:left="340" w:right="2840" w:hanging="8"/>
        <w:spacing w:after="0" w:line="534" w:lineRule="auto"/>
        <w:tabs>
          <w:tab w:leader="none" w:pos="520" w:val="left"/>
        </w:tabs>
        <w:numPr>
          <w:ilvl w:val="0"/>
          <w:numId w:val="70"/>
        </w:numPr>
        <w:rPr>
          <w:rFonts w:ascii="Arial" w:cs="Arial" w:eastAsia="Arial" w:hAnsi="Arial"/>
          <w:sz w:val="18"/>
          <w:szCs w:val="18"/>
          <w:b w:val="1"/>
          <w:bCs w:val="1"/>
          <w:color w:val="auto"/>
        </w:rPr>
      </w:pPr>
      <w:r>
        <w:rPr>
          <w:rFonts w:ascii="Arial" w:cs="Arial" w:eastAsia="Arial" w:hAnsi="Arial"/>
          <w:sz w:val="18"/>
          <w:szCs w:val="18"/>
          <w:b w:val="1"/>
          <w:bCs w:val="1"/>
          <w:color w:val="auto"/>
        </w:rPr>
        <w:t>Other Challenge 5: About Liabilities (Index of Verification in Response to the Short-sell Report, No.11) Challenge in the Short-sell Report (Short-sell Report, p.15):</w:t>
      </w:r>
    </w:p>
    <w:p>
      <w:pPr>
        <w:spacing w:after="0" w:line="1"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“Magically appearing liability. In Q2 2020, ACMR reported a financial liability of $15.1 mln, which essentially appeared out of nowhere. Creating a new liability helps the company work off fake assets. The liability had arisen out of a complicated series of back-and-forth transactions between AMCR in the U.S. and ACMR Shanghai. The Shanghai company had received $2.98 mln for warrants issued to an employee owned company—and had lent that company the money to buy the warrants. ACMR Shanghai passed the obligation to U.S. shareholders then upvalued it to $15.1 mln. Presto, U.S. shareholders lose $15.1 mln in assets.”</w:t>
      </w:r>
    </w:p>
    <w:p>
      <w:pPr>
        <w:spacing w:after="0" w:line="202" w:lineRule="exact"/>
        <w:rPr>
          <w:sz w:val="20"/>
          <w:szCs w:val="20"/>
          <w:color w:val="auto"/>
        </w:rPr>
      </w:pPr>
    </w:p>
    <w:p>
      <w:pPr>
        <w:ind w:left="340"/>
        <w:spacing w:after="0"/>
        <w:rPr>
          <w:sz w:val="20"/>
          <w:szCs w:val="20"/>
          <w:color w:val="auto"/>
        </w:rPr>
      </w:pPr>
      <w:r>
        <w:rPr>
          <w:rFonts w:ascii="Arial" w:cs="Arial" w:eastAsia="Arial" w:hAnsi="Arial"/>
          <w:sz w:val="22"/>
          <w:szCs w:val="22"/>
          <w:b w:val="1"/>
          <w:bCs w:val="1"/>
          <w:color w:val="auto"/>
        </w:rPr>
        <w:t>Response:</w:t>
      </w:r>
    </w:p>
    <w:p>
      <w:pPr>
        <w:spacing w:after="0" w:line="233" w:lineRule="exact"/>
        <w:rPr>
          <w:sz w:val="20"/>
          <w:szCs w:val="20"/>
          <w:color w:val="auto"/>
        </w:rPr>
      </w:pPr>
    </w:p>
    <w:p>
      <w:pPr>
        <w:ind w:left="340"/>
        <w:spacing w:after="0"/>
        <w:rPr>
          <w:sz w:val="20"/>
          <w:szCs w:val="20"/>
          <w:color w:val="auto"/>
        </w:rPr>
      </w:pPr>
      <w:r>
        <w:rPr>
          <w:rFonts w:ascii="Arial" w:cs="Arial" w:eastAsia="Arial" w:hAnsi="Arial"/>
          <w:sz w:val="22"/>
          <w:szCs w:val="22"/>
          <w:b w:val="1"/>
          <w:bCs w:val="1"/>
          <w:color w:val="auto"/>
        </w:rPr>
        <w:t>I. Clarification by the Issuer</w:t>
      </w:r>
    </w:p>
    <w:p>
      <w:pPr>
        <w:spacing w:after="0" w:line="239" w:lineRule="exact"/>
        <w:rPr>
          <w:sz w:val="20"/>
          <w:szCs w:val="20"/>
          <w:color w:val="auto"/>
        </w:rPr>
      </w:pPr>
    </w:p>
    <w:p>
      <w:pPr>
        <w:jc w:val="both"/>
        <w:ind w:firstLine="324"/>
        <w:spacing w:after="0"/>
        <w:rPr>
          <w:sz w:val="20"/>
          <w:szCs w:val="20"/>
          <w:color w:val="auto"/>
        </w:rPr>
      </w:pPr>
      <w:r>
        <w:rPr>
          <w:rFonts w:ascii="Arial" w:cs="Arial" w:eastAsia="Arial" w:hAnsi="Arial"/>
          <w:sz w:val="22"/>
          <w:szCs w:val="22"/>
          <w:color w:val="auto"/>
        </w:rPr>
        <w:t>The Issuer has never transferred the performance obligations to shareholders of ACMR. The capital flow between the Company and Shengxin Shanghai has been disclosed in “Section VII. X. (II) Non-recurrent Related-party Transactions” in the Prospectus of the Issuer.</w:t>
      </w:r>
    </w:p>
    <w:p>
      <w:pPr>
        <w:spacing w:after="0" w:line="39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8-4-1-66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2" w:right="339" w:bottom="1440" w:gutter="0" w:footer="0" w:header="0"/>
        </w:sectPr>
      </w:pPr>
    </w:p>
    <w:bookmarkStart w:id="70" w:name="page71"/>
    <w:bookmarkEnd w:id="70"/>
    <w:p>
      <w:pPr>
        <w:ind w:left="340"/>
        <w:spacing w:after="0"/>
        <w:rPr>
          <w:sz w:val="20"/>
          <w:szCs w:val="20"/>
          <w:color w:val="auto"/>
        </w:rPr>
      </w:pPr>
      <w:r>
        <w:rPr>
          <w:rFonts w:ascii="Arial" w:cs="Arial" w:eastAsia="Arial" w:hAnsi="Arial"/>
          <w:sz w:val="22"/>
          <w:szCs w:val="22"/>
          <w:color w:val="auto"/>
        </w:rPr>
        <w:t>The details can be seen as below:</w:t>
      </w:r>
    </w:p>
    <w:p>
      <w:pPr>
        <w:spacing w:after="0" w:line="228" w:lineRule="exact"/>
        <w:rPr>
          <w:sz w:val="20"/>
          <w:szCs w:val="20"/>
          <w:color w:val="auto"/>
        </w:rPr>
      </w:pPr>
    </w:p>
    <w:p>
      <w:pPr>
        <w:ind w:left="340"/>
        <w:spacing w:after="0"/>
        <w:rPr>
          <w:sz w:val="20"/>
          <w:szCs w:val="20"/>
          <w:color w:val="auto"/>
        </w:rPr>
      </w:pPr>
      <w:r>
        <w:rPr>
          <w:rFonts w:ascii="Arial" w:cs="Arial" w:eastAsia="Arial" w:hAnsi="Arial"/>
          <w:sz w:val="22"/>
          <w:szCs w:val="22"/>
          <w:b w:val="1"/>
          <w:bCs w:val="1"/>
          <w:color w:val="auto"/>
        </w:rPr>
        <w:t>(i) Settlement of Liabilities by the Issuer</w:t>
      </w:r>
    </w:p>
    <w:p>
      <w:pPr>
        <w:spacing w:after="0" w:line="246"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On April 28, 2020, ACMR, the Issuer and Shengxin Shanghai entered into the Agreement on Assignment and Termination of Promissory Notes, corresponding to which the obligations and responsibilities of the Issuer to ACMR under the INTERCOMPANY NOTE were relieved.</w:t>
      </w:r>
    </w:p>
    <w:p>
      <w:pPr>
        <w:spacing w:after="0" w:line="197" w:lineRule="exact"/>
        <w:rPr>
          <w:sz w:val="20"/>
          <w:szCs w:val="20"/>
          <w:color w:val="auto"/>
        </w:rPr>
      </w:pPr>
    </w:p>
    <w:p>
      <w:pPr>
        <w:ind w:left="340"/>
        <w:spacing w:after="0"/>
        <w:rPr>
          <w:sz w:val="20"/>
          <w:szCs w:val="20"/>
          <w:color w:val="auto"/>
        </w:rPr>
      </w:pPr>
      <w:r>
        <w:rPr>
          <w:rFonts w:ascii="Arial" w:cs="Arial" w:eastAsia="Arial" w:hAnsi="Arial"/>
          <w:sz w:val="16"/>
          <w:szCs w:val="16"/>
          <w:color w:val="auto"/>
        </w:rPr>
        <w:t>On April 28, 2020, the Issuer repaid the loan principal of RMB12,286,460.98 under the Debt-to-Equity Conversion Agreement to Shengxin Shanghai.</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The loan principal under the Debt-to-Equity Conversion Agreement has been fully paid off up to now.</w:t>
      </w:r>
    </w:p>
    <w:p>
      <w:pPr>
        <w:spacing w:after="0" w:line="238" w:lineRule="exact"/>
        <w:rPr>
          <w:sz w:val="20"/>
          <w:szCs w:val="20"/>
          <w:color w:val="auto"/>
        </w:rPr>
      </w:pPr>
    </w:p>
    <w:p>
      <w:pPr>
        <w:jc w:val="both"/>
        <w:ind w:firstLine="324"/>
        <w:spacing w:after="0" w:line="275" w:lineRule="auto"/>
        <w:rPr>
          <w:sz w:val="20"/>
          <w:szCs w:val="20"/>
          <w:color w:val="auto"/>
        </w:rPr>
      </w:pPr>
      <w:r>
        <w:rPr>
          <w:rFonts w:ascii="Arial" w:cs="Arial" w:eastAsia="Arial" w:hAnsi="Arial"/>
          <w:sz w:val="17"/>
          <w:szCs w:val="17"/>
          <w:color w:val="auto"/>
        </w:rPr>
        <w:t>On April 30, 2020, the Company and Shengxin Shanghai entered into the Termination Agreement specifying that the Company shall pay interest payable equal to RMB643,357.51 under the Debt-to-Equity Conversion Agreement to Shengxin Shanghai within 5 days from the effective date of the Termination Agreement, and the Debt-to-Equity Conversion Agreement shall be automatically terminated as of the date on which the above interest is paid in full. Both parties confirmed that no dispute has arisen from the Debt-to-Equity Conversion Agreement and that they will not make any litigation, arbitration or other claim for relevant matters in connection with the Debt-to-Equity Conversion Agreement.</w:t>
      </w:r>
    </w:p>
    <w:p>
      <w:pPr>
        <w:spacing w:after="0" w:line="203"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On April 30, 2020, the Issuer paid the interest payable equal to RMB643,357.51 to Shengxin Shanghai, and accordingly the Debt-to-Equity Conversion Agreement was terminated on April 30, 2020.</w:t>
      </w:r>
    </w:p>
    <w:p>
      <w:pPr>
        <w:spacing w:after="0" w:line="197" w:lineRule="exact"/>
        <w:rPr>
          <w:sz w:val="20"/>
          <w:szCs w:val="20"/>
          <w:color w:val="auto"/>
        </w:rPr>
      </w:pPr>
    </w:p>
    <w:p>
      <w:pPr>
        <w:ind w:left="340"/>
        <w:spacing w:after="0"/>
        <w:rPr>
          <w:sz w:val="20"/>
          <w:szCs w:val="20"/>
          <w:color w:val="auto"/>
        </w:rPr>
      </w:pPr>
      <w:r>
        <w:rPr>
          <w:rFonts w:ascii="Arial" w:cs="Arial" w:eastAsia="Arial" w:hAnsi="Arial"/>
          <w:sz w:val="17"/>
          <w:szCs w:val="17"/>
          <w:color w:val="auto"/>
        </w:rPr>
        <w:t>The above information has been disclosed and clarified in “Section VII.X.(II) Non-recurrent Related-party Transactions” of the Prospectus.</w:t>
      </w:r>
    </w:p>
    <w:p>
      <w:pPr>
        <w:spacing w:after="0" w:line="260"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(ii) Reasons for the Increase of Liabilities on ACMR</w:t>
      </w:r>
    </w:p>
    <w:p>
      <w:pPr>
        <w:spacing w:after="0" w:line="256"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7"/>
          <w:szCs w:val="17"/>
          <w:color w:val="auto"/>
        </w:rPr>
        <w:t>On April 28, 2020, ACMR and Shengxin Shanghai entered into the SHARE TRANSFER AND NOTE CANCELLATION AGREEMENT, stipulating that Shengxin Shanghai shall transfer all of the 242,681 shares of ACMR Class A common stock then held by it to ACMR, at the consideration to be paid by any way as below, provided that the permission of relevant government authorities is obtained before December 31, 2023:</w:t>
      </w:r>
    </w:p>
    <w:p>
      <w:pPr>
        <w:spacing w:after="0" w:line="192" w:lineRule="exact"/>
        <w:rPr>
          <w:sz w:val="20"/>
          <w:szCs w:val="20"/>
          <w:color w:val="auto"/>
        </w:rPr>
      </w:pPr>
    </w:p>
    <w:p>
      <w:pPr>
        <w:jc w:val="both"/>
        <w:ind w:firstLine="332"/>
        <w:spacing w:after="0" w:line="219" w:lineRule="exact"/>
        <w:tabs>
          <w:tab w:leader="none" w:pos="511" w:val="left"/>
        </w:tabs>
        <w:numPr>
          <w:ilvl w:val="0"/>
          <w:numId w:val="71"/>
        </w:numPr>
        <w:rPr>
          <w:rFonts w:ascii="Arial" w:cs="Arial" w:eastAsia="Arial" w:hAnsi="Arial"/>
          <w:sz w:val="18"/>
          <w:szCs w:val="18"/>
          <w:color w:val="auto"/>
        </w:rPr>
      </w:pPr>
      <w:r>
        <w:rPr>
          <w:rFonts w:ascii="Arial" w:cs="Arial" w:eastAsia="Arial" w:hAnsi="Arial"/>
          <w:sz w:val="18"/>
          <w:szCs w:val="18"/>
          <w:color w:val="auto"/>
        </w:rPr>
        <w:t xml:space="preserve">The rights and interests that Shengxin Shanghai can obtain (which can be adjusted as required by the government authorities subject to the consent of ACMR and Shengxin Shanghai) include : </w:t>
      </w:r>
      <w:r>
        <w:rPr>
          <w:rFonts w:ascii="MS PGothic" w:cs="MS PGothic" w:eastAsia="MS PGothic" w:hAnsi="MS PGothic"/>
          <w:sz w:val="18"/>
          <w:szCs w:val="18"/>
          <w:color w:val="auto"/>
        </w:rPr>
        <w:t>①</w:t>
      </w:r>
      <w:r>
        <w:rPr>
          <w:rFonts w:ascii="Arial" w:cs="Arial" w:eastAsia="Arial" w:hAnsi="Arial"/>
          <w:sz w:val="18"/>
          <w:szCs w:val="18"/>
          <w:color w:val="auto"/>
        </w:rPr>
        <w:t xml:space="preserve"> ACMR shall terminate SMC NOTE and release Shengxin Shanghai from all its obligations and responsibilities thereunder; </w:t>
      </w:r>
      <w:r>
        <w:rPr>
          <w:rFonts w:ascii="MS PGothic" w:cs="MS PGothic" w:eastAsia="MS PGothic" w:hAnsi="MS PGothic"/>
          <w:sz w:val="18"/>
          <w:szCs w:val="18"/>
          <w:color w:val="auto"/>
        </w:rPr>
        <w:t>②</w:t>
      </w:r>
      <w:r>
        <w:rPr>
          <w:rFonts w:ascii="Arial" w:cs="Arial" w:eastAsia="Arial" w:hAnsi="Arial"/>
          <w:sz w:val="18"/>
          <w:szCs w:val="18"/>
          <w:color w:val="auto"/>
        </w:rPr>
        <w:t xml:space="preserve"> ACMR shall grant Shengxin Shanghai a new warrant to purchase 242,681 shares of Class A common stock of ACMR at the price of USD7.50 per share; and </w:t>
      </w:r>
      <w:r>
        <w:rPr>
          <w:rFonts w:ascii="MS PGothic" w:cs="MS PGothic" w:eastAsia="MS PGothic" w:hAnsi="MS PGothic"/>
          <w:sz w:val="18"/>
          <w:szCs w:val="18"/>
          <w:color w:val="auto"/>
        </w:rPr>
        <w:t>③</w:t>
      </w:r>
      <w:r>
        <w:rPr>
          <w:rFonts w:ascii="Arial" w:cs="Arial" w:eastAsia="Arial" w:hAnsi="Arial"/>
          <w:sz w:val="18"/>
          <w:szCs w:val="18"/>
          <w:color w:val="auto"/>
        </w:rPr>
        <w:t xml:space="preserve"> by amending the Registration Rights Agreement (“Original Registration Rights Agreement”) or entering into a new registration rights agreement, ACMR shall grant Shengxin Shanghai registration rights substantially similar to those in the Original Registration Rights Agreement;</w:t>
      </w:r>
    </w:p>
    <w:p>
      <w:pPr>
        <w:spacing w:after="0" w:line="229" w:lineRule="exact"/>
        <w:rPr>
          <w:rFonts w:ascii="Arial" w:cs="Arial" w:eastAsia="Arial" w:hAnsi="Arial"/>
          <w:sz w:val="18"/>
          <w:szCs w:val="18"/>
          <w:color w:val="auto"/>
        </w:rPr>
      </w:pPr>
    </w:p>
    <w:p>
      <w:pPr>
        <w:jc w:val="both"/>
        <w:ind w:firstLine="332"/>
        <w:spacing w:after="0" w:line="219" w:lineRule="exact"/>
        <w:tabs>
          <w:tab w:leader="none" w:pos="511" w:val="left"/>
        </w:tabs>
        <w:numPr>
          <w:ilvl w:val="0"/>
          <w:numId w:val="71"/>
        </w:numPr>
        <w:rPr>
          <w:rFonts w:ascii="Arial" w:cs="Arial" w:eastAsia="Arial" w:hAnsi="Arial"/>
          <w:sz w:val="18"/>
          <w:szCs w:val="18"/>
          <w:color w:val="auto"/>
        </w:rPr>
      </w:pPr>
      <w:r>
        <w:rPr>
          <w:rFonts w:ascii="Arial" w:cs="Arial" w:eastAsia="Arial" w:hAnsi="Arial"/>
          <w:sz w:val="18"/>
          <w:szCs w:val="18"/>
          <w:color w:val="auto"/>
        </w:rPr>
        <w:t xml:space="preserve">The rights and interests that Shengxin Shanghai can obtain (which can be adjusted as required by the government authorities subject to the consent of ACMR and Shengxin Shanghai) include: </w:t>
      </w:r>
      <w:r>
        <w:rPr>
          <w:rFonts w:ascii="MS PGothic" w:cs="MS PGothic" w:eastAsia="MS PGothic" w:hAnsi="MS PGothic"/>
          <w:sz w:val="18"/>
          <w:szCs w:val="18"/>
          <w:color w:val="auto"/>
        </w:rPr>
        <w:t>①</w:t>
      </w:r>
      <w:r>
        <w:rPr>
          <w:rFonts w:ascii="Arial" w:cs="Arial" w:eastAsia="Arial" w:hAnsi="Arial"/>
          <w:sz w:val="18"/>
          <w:szCs w:val="18"/>
          <w:color w:val="auto"/>
        </w:rPr>
        <w:t xml:space="preserve"> Shengxin Shanghai shall fulfill the payment obligations of USD1,820,101.76 and other obligations under SMC NOTE to ACMR; </w:t>
      </w:r>
      <w:r>
        <w:rPr>
          <w:rFonts w:ascii="MS PGothic" w:cs="MS PGothic" w:eastAsia="MS PGothic" w:hAnsi="MS PGothic"/>
          <w:sz w:val="18"/>
          <w:szCs w:val="18"/>
          <w:color w:val="auto"/>
        </w:rPr>
        <w:t>②</w:t>
      </w:r>
      <w:r>
        <w:rPr>
          <w:rFonts w:ascii="Arial" w:cs="Arial" w:eastAsia="Arial" w:hAnsi="Arial"/>
          <w:sz w:val="18"/>
          <w:szCs w:val="18"/>
          <w:color w:val="auto"/>
        </w:rPr>
        <w:t xml:space="preserve"> ACMR shall issue 242,681 shares of Class A common stocks to Shengxin Shanghai; and </w:t>
      </w:r>
      <w:r>
        <w:rPr>
          <w:rFonts w:ascii="MS PGothic" w:cs="MS PGothic" w:eastAsia="MS PGothic" w:hAnsi="MS PGothic"/>
          <w:sz w:val="18"/>
          <w:szCs w:val="18"/>
          <w:color w:val="auto"/>
        </w:rPr>
        <w:t>③</w:t>
      </w:r>
      <w:r>
        <w:rPr>
          <w:rFonts w:ascii="Arial" w:cs="Arial" w:eastAsia="Arial" w:hAnsi="Arial"/>
          <w:sz w:val="18"/>
          <w:szCs w:val="18"/>
          <w:color w:val="auto"/>
        </w:rPr>
        <w:t xml:space="preserve"> by amending the Original Registration Rights Agreement or entering into a new registration rights agreement, ACMR shall grant Shengxin Shanghai registration rights substantially similar to those in the Original Registration Rights Agreement; or</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8-4-1-67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71" w:name="page72"/>
    <w:bookmarkEnd w:id="71"/>
    <w:p>
      <w:pPr>
        <w:ind w:firstLine="332"/>
        <w:spacing w:after="0" w:line="251" w:lineRule="auto"/>
        <w:tabs>
          <w:tab w:leader="none" w:pos="558" w:val="left"/>
        </w:tabs>
        <w:numPr>
          <w:ilvl w:val="0"/>
          <w:numId w:val="72"/>
        </w:numPr>
        <w:rPr>
          <w:rFonts w:ascii="Arial" w:cs="Arial" w:eastAsia="Arial" w:hAnsi="Arial"/>
          <w:sz w:val="22"/>
          <w:szCs w:val="22"/>
          <w:color w:val="auto"/>
        </w:rPr>
      </w:pPr>
      <w:r>
        <w:rPr>
          <w:rFonts w:ascii="Arial" w:cs="Arial" w:eastAsia="Arial" w:hAnsi="Arial"/>
          <w:sz w:val="22"/>
          <w:szCs w:val="22"/>
          <w:color w:val="auto"/>
        </w:rPr>
        <w:t>Such other way of consideration payment as may be permitted by the government authorities and agreed by ACMR and Shengxin Shanghai.</w:t>
      </w:r>
    </w:p>
    <w:p>
      <w:pPr>
        <w:spacing w:after="0" w:line="208"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7"/>
          <w:szCs w:val="17"/>
          <w:color w:val="auto"/>
        </w:rPr>
        <w:t>If, as of December 31, 2023, none of the above-mentioned ways of consideration payment have been permitted by the competent government authorities, and no new agreement has been reached between Shengxin Shanghai and ACMR on the above-mentioned consideration payment, ACMR will, by terminating SMC NOTE, be deemed to have completely fulfilled the obligation of consideration payment.</w:t>
      </w:r>
    </w:p>
    <w:p>
      <w:pPr>
        <w:spacing w:after="0" w:line="192"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As ACMR and Shengxin Shanghai have not yet determined the way of consideration payment, ACMR treated the considerations payable to Shengxin Shanghai as financial liabilities, and measured the financial liabilities at fair value according to the provisions of the US GAAP 825-15-4a. On April 30, 2020, the fair value of the financial liabilities was USD9.716 million. As of June 30, 2020, the financial liabilities were remeasured at fair value of USD15.147 million. The change in fair value of financial liabilities recognized by ACMR on June 30, 2020 was USD5.431 million, which was included in the current income statement of ACMR.</w:t>
      </w:r>
    </w:p>
    <w:p>
      <w:pPr>
        <w:spacing w:after="0" w:line="215"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In sum, the Issuer has paid off the loan and interest to Shengxin Shanghai during the Reporting Period. As of the date of the IPO application, the Issuer and ACMR did not hold any funds for the other. The liabilities of ACMR consisted of financial obligations (at which the considerations for ACMR’s repurchasing its shares from Shengxin Shanghai are treated) at fair value in accordance with US GAAP.</w:t>
      </w:r>
    </w:p>
    <w:p>
      <w:pPr>
        <w:spacing w:after="0" w:line="207" w:lineRule="exact"/>
        <w:rPr>
          <w:sz w:val="20"/>
          <w:szCs w:val="20"/>
          <w:color w:val="auto"/>
        </w:rPr>
      </w:pPr>
    </w:p>
    <w:p>
      <w:pPr>
        <w:ind w:left="560" w:hanging="228"/>
        <w:spacing w:after="0"/>
        <w:tabs>
          <w:tab w:leader="none" w:pos="560" w:val="left"/>
        </w:tabs>
        <w:numPr>
          <w:ilvl w:val="0"/>
          <w:numId w:val="73"/>
        </w:numPr>
        <w:rPr>
          <w:rFonts w:ascii="Arial" w:cs="Arial" w:eastAsia="Arial" w:hAnsi="Arial"/>
          <w:sz w:val="18"/>
          <w:szCs w:val="18"/>
          <w:b w:val="1"/>
          <w:bCs w:val="1"/>
          <w:color w:val="auto"/>
        </w:rPr>
      </w:pPr>
      <w:r>
        <w:rPr>
          <w:rFonts w:ascii="Arial" w:cs="Arial" w:eastAsia="Arial" w:hAnsi="Arial"/>
          <w:sz w:val="18"/>
          <w:szCs w:val="18"/>
          <w:b w:val="1"/>
          <w:bCs w:val="1"/>
          <w:color w:val="auto"/>
        </w:rPr>
        <w:t>Verification Procedures and Opinions</w:t>
      </w:r>
    </w:p>
    <w:p>
      <w:pPr>
        <w:spacing w:after="0" w:line="252" w:lineRule="exact"/>
        <w:rPr>
          <w:rFonts w:ascii="Arial" w:cs="Arial" w:eastAsia="Arial" w:hAnsi="Arial"/>
          <w:sz w:val="18"/>
          <w:szCs w:val="18"/>
          <w:b w:val="1"/>
          <w:bCs w:val="1"/>
          <w:color w:val="auto"/>
        </w:rPr>
      </w:pPr>
    </w:p>
    <w:p>
      <w:pPr>
        <w:ind w:left="340"/>
        <w:spacing w:after="0"/>
        <w:rPr>
          <w:rFonts w:ascii="Arial" w:cs="Arial" w:eastAsia="Arial" w:hAnsi="Arial"/>
          <w:sz w:val="18"/>
          <w:szCs w:val="18"/>
          <w:b w:val="1"/>
          <w:bCs w:val="1"/>
          <w:color w:val="auto"/>
        </w:rPr>
      </w:pPr>
      <w:r>
        <w:rPr>
          <w:rFonts w:ascii="Arial" w:cs="Arial" w:eastAsia="Arial" w:hAnsi="Arial"/>
          <w:sz w:val="18"/>
          <w:szCs w:val="18"/>
          <w:b w:val="1"/>
          <w:bCs w:val="1"/>
          <w:color w:val="auto"/>
        </w:rPr>
        <w:t>(i) Verification Procedures</w:t>
      </w:r>
    </w:p>
    <w:p>
      <w:pPr>
        <w:spacing w:after="0" w:line="256" w:lineRule="exact"/>
        <w:rPr>
          <w:sz w:val="20"/>
          <w:szCs w:val="20"/>
          <w:color w:val="auto"/>
        </w:rPr>
      </w:pPr>
    </w:p>
    <w:p>
      <w:pPr>
        <w:ind w:left="340"/>
        <w:spacing w:after="0"/>
        <w:rPr>
          <w:sz w:val="20"/>
          <w:szCs w:val="20"/>
          <w:color w:val="auto"/>
        </w:rPr>
      </w:pPr>
      <w:r>
        <w:rPr>
          <w:rFonts w:ascii="Arial" w:cs="Arial" w:eastAsia="Arial" w:hAnsi="Arial"/>
          <w:sz w:val="18"/>
          <w:szCs w:val="18"/>
          <w:color w:val="auto"/>
        </w:rPr>
        <w:t>Before the release of the Short-sell Report, the Sponsor performed the following verification procedures:</w:t>
      </w:r>
    </w:p>
    <w:p>
      <w:pPr>
        <w:spacing w:after="0" w:line="252" w:lineRule="exact"/>
        <w:rPr>
          <w:sz w:val="20"/>
          <w:szCs w:val="20"/>
          <w:color w:val="auto"/>
        </w:rPr>
      </w:pPr>
    </w:p>
    <w:p>
      <w:pPr>
        <w:ind w:firstLine="332"/>
        <w:spacing w:after="0" w:line="277" w:lineRule="auto"/>
        <w:tabs>
          <w:tab w:leader="none" w:pos="506" w:val="left"/>
        </w:tabs>
        <w:numPr>
          <w:ilvl w:val="0"/>
          <w:numId w:val="74"/>
        </w:numPr>
        <w:rPr>
          <w:rFonts w:ascii="Arial" w:cs="Arial" w:eastAsia="Arial" w:hAnsi="Arial"/>
          <w:sz w:val="18"/>
          <w:szCs w:val="18"/>
          <w:color w:val="auto"/>
        </w:rPr>
      </w:pPr>
      <w:r>
        <w:rPr>
          <w:rFonts w:ascii="Arial" w:cs="Arial" w:eastAsia="Arial" w:hAnsi="Arial"/>
          <w:sz w:val="18"/>
          <w:szCs w:val="18"/>
          <w:color w:val="auto"/>
        </w:rPr>
        <w:t>Reviewing the agreements entered into by the Issuer, Shengxin Shanghai and ACMR, calculating the loan interest payable by the Issuer to Shengxin Shanghai, and checking the reasons for ACMR to form its liabilities;</w:t>
      </w:r>
    </w:p>
    <w:p>
      <w:pPr>
        <w:spacing w:after="0" w:line="197" w:lineRule="exact"/>
        <w:rPr>
          <w:rFonts w:ascii="Arial" w:cs="Arial" w:eastAsia="Arial" w:hAnsi="Arial"/>
          <w:sz w:val="18"/>
          <w:szCs w:val="18"/>
          <w:color w:val="auto"/>
        </w:rPr>
      </w:pPr>
    </w:p>
    <w:p>
      <w:pPr>
        <w:ind w:left="520" w:hanging="188"/>
        <w:spacing w:after="0"/>
        <w:tabs>
          <w:tab w:leader="none" w:pos="520" w:val="left"/>
        </w:tabs>
        <w:numPr>
          <w:ilvl w:val="0"/>
          <w:numId w:val="74"/>
        </w:numPr>
        <w:rPr>
          <w:rFonts w:ascii="Arial" w:cs="Arial" w:eastAsia="Arial" w:hAnsi="Arial"/>
          <w:sz w:val="18"/>
          <w:szCs w:val="18"/>
          <w:color w:val="auto"/>
        </w:rPr>
      </w:pPr>
      <w:r>
        <w:rPr>
          <w:rFonts w:ascii="Arial" w:cs="Arial" w:eastAsia="Arial" w:hAnsi="Arial"/>
          <w:sz w:val="18"/>
          <w:szCs w:val="18"/>
          <w:color w:val="auto"/>
        </w:rPr>
        <w:t>Having access to and checking the bank statements showing the Issuer’s repayment of loan and interest to Shengxin Shanghai; and</w:t>
      </w:r>
    </w:p>
    <w:p>
      <w:pPr>
        <w:spacing w:after="0" w:line="252" w:lineRule="exact"/>
        <w:rPr>
          <w:rFonts w:ascii="Arial" w:cs="Arial" w:eastAsia="Arial" w:hAnsi="Arial"/>
          <w:sz w:val="18"/>
          <w:szCs w:val="18"/>
          <w:color w:val="auto"/>
        </w:rPr>
      </w:pPr>
    </w:p>
    <w:p>
      <w:pPr>
        <w:ind w:left="520" w:hanging="188"/>
        <w:spacing w:after="0"/>
        <w:tabs>
          <w:tab w:leader="none" w:pos="520" w:val="left"/>
        </w:tabs>
        <w:numPr>
          <w:ilvl w:val="0"/>
          <w:numId w:val="74"/>
        </w:numPr>
        <w:rPr>
          <w:rFonts w:ascii="Arial" w:cs="Arial" w:eastAsia="Arial" w:hAnsi="Arial"/>
          <w:sz w:val="18"/>
          <w:szCs w:val="18"/>
          <w:color w:val="auto"/>
        </w:rPr>
      </w:pPr>
      <w:r>
        <w:rPr>
          <w:rFonts w:ascii="Arial" w:cs="Arial" w:eastAsia="Arial" w:hAnsi="Arial"/>
          <w:sz w:val="18"/>
          <w:szCs w:val="18"/>
          <w:color w:val="auto"/>
        </w:rPr>
        <w:t>Seeking confirmation from Shengxin Shanghai and ACMR on the outstanding loan.</w:t>
      </w:r>
    </w:p>
    <w:p>
      <w:pPr>
        <w:spacing w:after="0" w:line="252"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After the release of the Short-sell Report, the Sponsor performed the following further procedures with respect to the Company’s liabilities to Shengxin Shanghai:</w:t>
      </w:r>
    </w:p>
    <w:p>
      <w:pPr>
        <w:spacing w:after="0" w:line="197" w:lineRule="exact"/>
        <w:rPr>
          <w:sz w:val="20"/>
          <w:szCs w:val="20"/>
          <w:color w:val="auto"/>
        </w:rPr>
      </w:pPr>
    </w:p>
    <w:p>
      <w:pPr>
        <w:ind w:left="520" w:hanging="188"/>
        <w:spacing w:after="0"/>
        <w:tabs>
          <w:tab w:leader="none" w:pos="520" w:val="left"/>
        </w:tabs>
        <w:numPr>
          <w:ilvl w:val="0"/>
          <w:numId w:val="75"/>
        </w:numPr>
        <w:rPr>
          <w:rFonts w:ascii="Arial" w:cs="Arial" w:eastAsia="Arial" w:hAnsi="Arial"/>
          <w:sz w:val="18"/>
          <w:szCs w:val="18"/>
          <w:color w:val="auto"/>
        </w:rPr>
      </w:pPr>
      <w:r>
        <w:rPr>
          <w:rFonts w:ascii="Arial" w:cs="Arial" w:eastAsia="Arial" w:hAnsi="Arial"/>
          <w:sz w:val="18"/>
          <w:szCs w:val="18"/>
          <w:color w:val="auto"/>
        </w:rPr>
        <w:t>Reviewing the statements and related information disclosure documents of ACMR; and</w:t>
      </w:r>
    </w:p>
    <w:p>
      <w:pPr>
        <w:spacing w:after="0" w:line="244" w:lineRule="exact"/>
        <w:rPr>
          <w:rFonts w:ascii="Arial" w:cs="Arial" w:eastAsia="Arial" w:hAnsi="Arial"/>
          <w:sz w:val="18"/>
          <w:szCs w:val="18"/>
          <w:color w:val="auto"/>
        </w:rPr>
      </w:pPr>
    </w:p>
    <w:p>
      <w:pPr>
        <w:ind w:left="540" w:hanging="208"/>
        <w:spacing w:after="0"/>
        <w:tabs>
          <w:tab w:leader="none" w:pos="540" w:val="left"/>
        </w:tabs>
        <w:numPr>
          <w:ilvl w:val="0"/>
          <w:numId w:val="75"/>
        </w:numPr>
        <w:rPr>
          <w:rFonts w:ascii="Arial" w:cs="Arial" w:eastAsia="Arial" w:hAnsi="Arial"/>
          <w:sz w:val="22"/>
          <w:szCs w:val="22"/>
          <w:color w:val="auto"/>
        </w:rPr>
      </w:pPr>
      <w:r>
        <w:rPr>
          <w:rFonts w:ascii="Arial" w:cs="Arial" w:eastAsia="Arial" w:hAnsi="Arial"/>
          <w:sz w:val="22"/>
          <w:szCs w:val="22"/>
          <w:color w:val="auto"/>
        </w:rPr>
        <w:t>Checking the reasons for the formation of ACMR’s liabilities from the audit teams of the Issuer and ACMR.</w:t>
      </w: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8-4-1-68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72" w:name="page73"/>
    <w:bookmarkEnd w:id="72"/>
    <w:p>
      <w:pPr>
        <w:ind w:left="340"/>
        <w:spacing w:after="0"/>
        <w:rPr>
          <w:sz w:val="20"/>
          <w:szCs w:val="20"/>
          <w:color w:val="auto"/>
        </w:rPr>
      </w:pPr>
      <w:r>
        <w:rPr>
          <w:rFonts w:ascii="Arial" w:cs="Arial" w:eastAsia="Arial" w:hAnsi="Arial"/>
          <w:sz w:val="22"/>
          <w:szCs w:val="22"/>
          <w:b w:val="1"/>
          <w:bCs w:val="1"/>
          <w:color w:val="auto"/>
        </w:rPr>
        <w:t>(ii) Verification Opinions</w:t>
      </w:r>
    </w:p>
    <w:p>
      <w:pPr>
        <w:spacing w:after="0" w:line="240" w:lineRule="exact"/>
        <w:rPr>
          <w:sz w:val="20"/>
          <w:szCs w:val="20"/>
          <w:color w:val="auto"/>
        </w:rPr>
      </w:pPr>
    </w:p>
    <w:p>
      <w:pPr>
        <w:ind w:left="340"/>
        <w:spacing w:after="0"/>
        <w:rPr>
          <w:sz w:val="20"/>
          <w:szCs w:val="20"/>
          <w:color w:val="auto"/>
        </w:rPr>
      </w:pPr>
      <w:r>
        <w:rPr>
          <w:rFonts w:ascii="Arial" w:cs="Arial" w:eastAsia="Arial" w:hAnsi="Arial"/>
          <w:sz w:val="22"/>
          <w:szCs w:val="22"/>
          <w:color w:val="auto"/>
        </w:rPr>
        <w:t>Upon verification, the Sponsor opines that:</w:t>
      </w:r>
    </w:p>
    <w:p>
      <w:pPr>
        <w:spacing w:after="0" w:line="240"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The Issuer has performed its liabilities to Shengxin Shanghai in accordance with the contracts, and did not transfer the performance obligations of repaying Shengxin Shanghai to ACMR.</w:t>
      </w:r>
    </w:p>
    <w:p>
      <w:pPr>
        <w:spacing w:after="0" w:line="193" w:lineRule="exact"/>
        <w:rPr>
          <w:sz w:val="20"/>
          <w:szCs w:val="20"/>
          <w:color w:val="auto"/>
        </w:rPr>
      </w:pPr>
    </w:p>
    <w:p>
      <w:pPr>
        <w:ind w:left="340" w:right="2320" w:firstLine="37"/>
        <w:spacing w:after="0" w:line="534" w:lineRule="auto"/>
        <w:tabs>
          <w:tab w:leader="none" w:pos="565" w:val="left"/>
        </w:tabs>
        <w:numPr>
          <w:ilvl w:val="0"/>
          <w:numId w:val="76"/>
        </w:numPr>
        <w:rPr>
          <w:rFonts w:ascii="Arial" w:cs="Arial" w:eastAsia="Arial" w:hAnsi="Arial"/>
          <w:sz w:val="18"/>
          <w:szCs w:val="18"/>
          <w:b w:val="1"/>
          <w:bCs w:val="1"/>
          <w:color w:val="auto"/>
        </w:rPr>
      </w:pPr>
      <w:r>
        <w:rPr>
          <w:rFonts w:ascii="Arial" w:cs="Arial" w:eastAsia="Arial" w:hAnsi="Arial"/>
          <w:sz w:val="18"/>
          <w:szCs w:val="18"/>
          <w:b w:val="1"/>
          <w:bCs w:val="1"/>
          <w:color w:val="auto"/>
        </w:rPr>
        <w:t>Other Challenge 6: About Hanwool (Index of Verification in Response to the Short-sell Report, No.16, 17, 21) Challenge in the Short-sell Report (Short-sell Report, pp.22, 26):</w:t>
      </w:r>
    </w:p>
    <w:p>
      <w:pPr>
        <w:jc w:val="both"/>
        <w:ind w:firstLine="392"/>
        <w:spacing w:after="0" w:line="257" w:lineRule="auto"/>
        <w:tabs>
          <w:tab w:leader="none" w:pos="653" w:val="left"/>
        </w:tabs>
        <w:numPr>
          <w:ilvl w:val="1"/>
          <w:numId w:val="76"/>
        </w:numPr>
        <w:rPr>
          <w:rFonts w:ascii="Arial" w:cs="Arial" w:eastAsia="Arial" w:hAnsi="Arial"/>
          <w:sz w:val="18"/>
          <w:szCs w:val="18"/>
          <w:color w:val="auto"/>
        </w:rPr>
      </w:pPr>
      <w:r>
        <w:rPr>
          <w:rFonts w:ascii="Arial" w:cs="Arial" w:eastAsia="Arial" w:hAnsi="Arial"/>
          <w:sz w:val="18"/>
          <w:szCs w:val="18"/>
          <w:color w:val="auto"/>
        </w:rPr>
        <w:t>“Related party B: Hanwool. The head of Hanwool Scientific, agent for sales to SK Hynix, has simultaneously headed ACM Korea since 2017, according to his LinkedIn profile. ACMR discloses that its Korean subsidiary has hired all the Hanwool staff—but the Hanwool account remain separate. On page 8-1-118 of its “first response” to the Chinese regulator, on August 11, 2020, the company says: “Currently, the Hanwool Scientific Co. Ltd. team has already joined ACM Korea. Hanwool is always paired in the company’s sales disclosures with TJM Partners Ltd., which we think is also a related party.”</w:t>
      </w:r>
    </w:p>
    <w:p>
      <w:pPr>
        <w:spacing w:after="0" w:line="215" w:lineRule="exact"/>
        <w:rPr>
          <w:sz w:val="20"/>
          <w:szCs w:val="20"/>
          <w:color w:val="auto"/>
        </w:rPr>
      </w:pPr>
    </w:p>
    <w:p>
      <w:pPr>
        <w:ind w:firstLine="332"/>
        <w:spacing w:after="0" w:line="308" w:lineRule="auto"/>
        <w:tabs>
          <w:tab w:leader="none" w:pos="596" w:val="left"/>
        </w:tabs>
        <w:numPr>
          <w:ilvl w:val="0"/>
          <w:numId w:val="77"/>
        </w:numPr>
        <w:rPr>
          <w:rFonts w:ascii="Arial" w:cs="Arial" w:eastAsia="Arial" w:hAnsi="Arial"/>
          <w:sz w:val="17"/>
          <w:szCs w:val="17"/>
          <w:color w:val="auto"/>
        </w:rPr>
      </w:pPr>
      <w:r>
        <w:rPr>
          <w:rFonts w:ascii="Arial" w:cs="Arial" w:eastAsia="Arial" w:hAnsi="Arial"/>
          <w:sz w:val="17"/>
          <w:szCs w:val="17"/>
          <w:color w:val="auto"/>
        </w:rPr>
        <w:t>“TJM PARTNERS LTD.: A Korean company established in 2004 by Mok Jung Lai, who is also a principal of HJS Eng, a co-patent holder for many of the ACMR and Nomura patents. The company always works with Hanwool and does not appear to have separate operations.”</w:t>
      </w:r>
    </w:p>
    <w:p>
      <w:pPr>
        <w:spacing w:after="0" w:line="173" w:lineRule="exact"/>
        <w:rPr>
          <w:rFonts w:ascii="Arial" w:cs="Arial" w:eastAsia="Arial" w:hAnsi="Arial"/>
          <w:sz w:val="17"/>
          <w:szCs w:val="17"/>
          <w:color w:val="auto"/>
        </w:rPr>
      </w:pPr>
    </w:p>
    <w:p>
      <w:pPr>
        <w:ind w:left="580" w:hanging="248"/>
        <w:spacing w:after="0"/>
        <w:tabs>
          <w:tab w:leader="none" w:pos="580" w:val="left"/>
        </w:tabs>
        <w:numPr>
          <w:ilvl w:val="0"/>
          <w:numId w:val="77"/>
        </w:numPr>
        <w:rPr>
          <w:rFonts w:ascii="Arial" w:cs="Arial" w:eastAsia="Arial" w:hAnsi="Arial"/>
          <w:sz w:val="18"/>
          <w:szCs w:val="18"/>
          <w:color w:val="auto"/>
        </w:rPr>
      </w:pPr>
      <w:r>
        <w:rPr>
          <w:rFonts w:ascii="Arial" w:cs="Arial" w:eastAsia="Arial" w:hAnsi="Arial"/>
          <w:sz w:val="18"/>
          <w:szCs w:val="18"/>
          <w:color w:val="auto"/>
        </w:rPr>
        <w:t>“Hanwool, which ACMR claims is “not dependent” on the company.”</w:t>
      </w:r>
    </w:p>
    <w:p>
      <w:pPr>
        <w:spacing w:after="0" w:line="248"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Response:</w:t>
      </w:r>
    </w:p>
    <w:p>
      <w:pPr>
        <w:spacing w:after="0" w:line="252"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I. Clarification by the Issuer</w:t>
      </w:r>
    </w:p>
    <w:p>
      <w:pPr>
        <w:spacing w:after="0" w:line="252"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(i) HANWOOL SCIENTIFIC CO., LTD. and TJM PARTNERS LTD. have no related-party relationship with the Company</w:t>
      </w:r>
    </w:p>
    <w:p>
      <w:pPr>
        <w:spacing w:after="0" w:line="256"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The Company has disclosed in detail that HANWOOL SCIENTIFIC CO., LTD. and TJM PARTNERS LTD. have no related-party relationship with the Company, as can be seen in “Q14.1” of the Reply to the Letter of First Round Review-related Inquiries.</w:t>
      </w:r>
    </w:p>
    <w:p>
      <w:pPr>
        <w:spacing w:after="0" w:line="197" w:lineRule="exact"/>
        <w:rPr>
          <w:sz w:val="20"/>
          <w:szCs w:val="20"/>
          <w:color w:val="auto"/>
        </w:rPr>
      </w:pPr>
    </w:p>
    <w:p>
      <w:pPr>
        <w:jc w:val="both"/>
        <w:ind w:firstLine="324"/>
        <w:spacing w:after="0" w:line="290" w:lineRule="auto"/>
        <w:rPr>
          <w:sz w:val="20"/>
          <w:szCs w:val="20"/>
          <w:color w:val="auto"/>
        </w:rPr>
      </w:pPr>
      <w:r>
        <w:rPr>
          <w:rFonts w:ascii="Arial" w:cs="Arial" w:eastAsia="Arial" w:hAnsi="Arial"/>
          <w:sz w:val="16"/>
          <w:szCs w:val="16"/>
          <w:color w:val="auto"/>
        </w:rPr>
        <w:t>HANWOOL SCIENTIFIC CO., LTD. is registered in South Korea and used to be an agent of the Issuer. The Company completed its sales of the first cleaning equipment to Hynix after a 24-month effort through close cooperation with HANNWOOL SCIENTIFIC CO., LTD. The Issuer has disclosed in the Reply to the Letter of First Round Review-related Inquiries that “as of the date of this Reply, HANWOOL SCIENTIFIC CO., LTD. holds 26,666 shares of Class A stocks in ACMR, the controlling shareholder of the Issuer; YONGYOUL KIM, as its president, legal representative, shareholder and director, is the president, director and legal representative of ACMKR: (1) holding 230,769 options of the Issuer; and (2) holding 76,667 options of ACMR, the controlling shareholder of the Issuer. In addition, the original team of HANWOOL SCIENTIFIC CO., LTD. is now working in ACMKR,” the disclosure of which is true and accurate without any major omission. HANWOOL SCIENTIFIC CO., LTD. is not a related party expressly defined in points 1 to 8 of Article 15.1 (14) of the Rules Governing the Listing of Stocks on the STAR Market of Shanghai Stock Exchange (SSE [2019] No. 22).</w:t>
      </w:r>
    </w:p>
    <w:p>
      <w:pPr>
        <w:spacing w:after="0" w:line="36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8-4-1-69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2" w:right="339" w:bottom="1440" w:gutter="0" w:footer="0" w:header="0"/>
        </w:sectPr>
      </w:pPr>
    </w:p>
    <w:bookmarkStart w:id="73" w:name="page74"/>
    <w:bookmarkEnd w:id="73"/>
    <w:p>
      <w:pPr>
        <w:jc w:val="both"/>
        <w:ind w:firstLine="324"/>
        <w:spacing w:after="0" w:line="301" w:lineRule="auto"/>
        <w:rPr>
          <w:sz w:val="20"/>
          <w:szCs w:val="20"/>
          <w:color w:val="auto"/>
        </w:rPr>
      </w:pPr>
      <w:r>
        <w:rPr>
          <w:rFonts w:ascii="Arial" w:cs="Arial" w:eastAsia="Arial" w:hAnsi="Arial"/>
          <w:sz w:val="16"/>
          <w:szCs w:val="16"/>
          <w:color w:val="auto"/>
        </w:rPr>
        <w:t>After the first equipment was sold to Hynix, the Company used the second agent TJM PARTNERS LTD. in order to further improve the sales in the Korean market. TJM PARTNERS LTD. and its shareholders have no related-party relationship with the Issuer. TJM PARTNERS LTD. and its related parties have no related-party relationship or other interests (including under oral agreement and undisclosed agreement) with the Company and its related parties, or kinship relationship with the related parties of the Issuer, nor have they worked for or received compensation from the Issuer.</w:t>
      </w:r>
    </w:p>
    <w:p>
      <w:pPr>
        <w:spacing w:after="0" w:line="184" w:lineRule="exact"/>
        <w:rPr>
          <w:sz w:val="20"/>
          <w:szCs w:val="20"/>
          <w:color w:val="auto"/>
        </w:rPr>
      </w:pPr>
    </w:p>
    <w:p>
      <w:pPr>
        <w:ind w:left="380"/>
        <w:spacing w:after="0"/>
        <w:rPr>
          <w:sz w:val="20"/>
          <w:szCs w:val="20"/>
          <w:color w:val="auto"/>
        </w:rPr>
      </w:pPr>
      <w:r>
        <w:rPr>
          <w:rFonts w:ascii="Arial" w:cs="Arial" w:eastAsia="Arial" w:hAnsi="Arial"/>
          <w:sz w:val="18"/>
          <w:szCs w:val="18"/>
          <w:color w:val="auto"/>
        </w:rPr>
        <w:t>The above information has been disclosed and clarified in “Q14.1” of the Reply to the Letter of First Round Review-related Inquiries.</w:t>
      </w:r>
    </w:p>
    <w:p>
      <w:pPr>
        <w:spacing w:after="0" w:line="252"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color w:val="auto"/>
        </w:rPr>
        <w:t>It is baseless for the Short-sell Report to conclude that TJM PARTNERS LTD. is a related party of the Company only on the ground that “HANWOOL SCIENTIFIC CO., LTD. is always paired in the company’s sales disclosures with TJM PARTNERS LTD.”</w:t>
      </w:r>
    </w:p>
    <w:p>
      <w:pPr>
        <w:spacing w:after="0" w:line="184" w:lineRule="exact"/>
        <w:rPr>
          <w:sz w:val="20"/>
          <w:szCs w:val="20"/>
          <w:color w:val="auto"/>
        </w:rPr>
      </w:pPr>
    </w:p>
    <w:p>
      <w:pPr>
        <w:ind w:left="340"/>
        <w:spacing w:after="0"/>
        <w:rPr>
          <w:sz w:val="20"/>
          <w:szCs w:val="20"/>
          <w:color w:val="auto"/>
        </w:rPr>
      </w:pPr>
      <w:r>
        <w:rPr>
          <w:rFonts w:ascii="Arial" w:cs="Arial" w:eastAsia="Arial" w:hAnsi="Arial"/>
          <w:sz w:val="22"/>
          <w:szCs w:val="22"/>
          <w:b w:val="1"/>
          <w:bCs w:val="1"/>
          <w:color w:val="auto"/>
        </w:rPr>
        <w:t>(ii) Clarification on the person in charge of TJM PARTNERS LTD</w:t>
      </w:r>
    </w:p>
    <w:p>
      <w:pPr>
        <w:spacing w:after="0" w:line="239" w:lineRule="exact"/>
        <w:rPr>
          <w:sz w:val="20"/>
          <w:szCs w:val="20"/>
          <w:color w:val="auto"/>
        </w:rPr>
      </w:pPr>
    </w:p>
    <w:p>
      <w:pPr>
        <w:jc w:val="both"/>
        <w:ind w:firstLine="324"/>
        <w:spacing w:after="0" w:line="250" w:lineRule="auto"/>
        <w:rPr>
          <w:sz w:val="20"/>
          <w:szCs w:val="20"/>
          <w:color w:val="auto"/>
        </w:rPr>
      </w:pPr>
      <w:r>
        <w:rPr>
          <w:rFonts w:ascii="Arial" w:cs="Arial" w:eastAsia="Arial" w:hAnsi="Arial"/>
          <w:sz w:val="22"/>
          <w:szCs w:val="22"/>
          <w:color w:val="auto"/>
        </w:rPr>
        <w:t>Mok Jung Lai of TJM PARTNERS LTD. is not a principal of HJS Eng. At the same time, having confirmed with DOUTIE HUANG, CEO of HJS Eng, there was no person of HJS Eng with the same name as Mok Jung Lai.</w:t>
      </w:r>
    </w:p>
    <w:p>
      <w:pPr>
        <w:spacing w:after="0" w:line="202" w:lineRule="exact"/>
        <w:rPr>
          <w:sz w:val="20"/>
          <w:szCs w:val="20"/>
          <w:color w:val="auto"/>
        </w:rPr>
      </w:pPr>
    </w:p>
    <w:p>
      <w:pPr>
        <w:ind w:left="340"/>
        <w:spacing w:after="0"/>
        <w:rPr>
          <w:sz w:val="20"/>
          <w:szCs w:val="20"/>
          <w:color w:val="auto"/>
        </w:rPr>
      </w:pPr>
      <w:r>
        <w:rPr>
          <w:rFonts w:ascii="Arial" w:cs="Arial" w:eastAsia="Arial" w:hAnsi="Arial"/>
          <w:sz w:val="22"/>
          <w:szCs w:val="22"/>
          <w:color w:val="auto"/>
        </w:rPr>
        <w:t>The information on this regard in the Short-sell Report is incorrect.</w:t>
      </w:r>
    </w:p>
    <w:p>
      <w:pPr>
        <w:spacing w:after="0" w:line="227" w:lineRule="exact"/>
        <w:rPr>
          <w:sz w:val="20"/>
          <w:szCs w:val="20"/>
          <w:color w:val="auto"/>
        </w:rPr>
      </w:pPr>
    </w:p>
    <w:p>
      <w:pPr>
        <w:ind w:left="340"/>
        <w:spacing w:after="0"/>
        <w:rPr>
          <w:sz w:val="20"/>
          <w:szCs w:val="20"/>
          <w:color w:val="auto"/>
        </w:rPr>
      </w:pPr>
      <w:r>
        <w:rPr>
          <w:rFonts w:ascii="Arial" w:cs="Arial" w:eastAsia="Arial" w:hAnsi="Arial"/>
          <w:sz w:val="22"/>
          <w:szCs w:val="22"/>
          <w:b w:val="1"/>
          <w:bCs w:val="1"/>
          <w:color w:val="auto"/>
        </w:rPr>
        <w:t>(iii) Clarification on “Hanwool, which ACMR claims is “not dependent” on the company.”</w:t>
      </w:r>
    </w:p>
    <w:p>
      <w:pPr>
        <w:spacing w:after="0" w:line="239" w:lineRule="exact"/>
        <w:rPr>
          <w:sz w:val="20"/>
          <w:szCs w:val="20"/>
          <w:color w:val="auto"/>
        </w:rPr>
      </w:pPr>
    </w:p>
    <w:p>
      <w:pPr>
        <w:jc w:val="both"/>
        <w:ind w:firstLine="324"/>
        <w:spacing w:after="0"/>
        <w:rPr>
          <w:sz w:val="20"/>
          <w:szCs w:val="20"/>
          <w:color w:val="auto"/>
        </w:rPr>
      </w:pPr>
      <w:r>
        <w:rPr>
          <w:rFonts w:ascii="Arial" w:cs="Arial" w:eastAsia="Arial" w:hAnsi="Arial"/>
          <w:sz w:val="22"/>
          <w:szCs w:val="22"/>
          <w:color w:val="auto"/>
        </w:rPr>
        <w:t>The Company has disclosed in detail the information of HANWOOL SCIENTIFIC CO., LTD. who has no related-party relationship with the Company, with the degree of reliance on agents having been disclosed in “Q14.1” of the Reply to the Letter of First Round Review-related Inquiries, as follows:</w:t>
      </w:r>
    </w:p>
    <w:p>
      <w:pPr>
        <w:spacing w:after="0" w:line="213" w:lineRule="exact"/>
        <w:rPr>
          <w:sz w:val="20"/>
          <w:szCs w:val="20"/>
          <w:color w:val="auto"/>
        </w:rPr>
      </w:pPr>
    </w:p>
    <w:p>
      <w:pPr>
        <w:jc w:val="both"/>
        <w:ind w:firstLine="324"/>
        <w:spacing w:after="0" w:line="297" w:lineRule="auto"/>
        <w:rPr>
          <w:sz w:val="20"/>
          <w:szCs w:val="20"/>
          <w:color w:val="auto"/>
        </w:rPr>
      </w:pPr>
      <w:r>
        <w:rPr>
          <w:rFonts w:ascii="Arial" w:cs="Arial" w:eastAsia="Arial" w:hAnsi="Arial"/>
          <w:sz w:val="19"/>
          <w:szCs w:val="19"/>
          <w:color w:val="auto"/>
        </w:rPr>
        <w:t>“The commissions obtained by the Company’s agents, i.e. ZAIN TECHNOLOGY CO., LTD, LIDA TECHNOLOGY CO., LIMITED, TJM PARTNERS LTD. and MOTION ELECTRONICS CO., LTD, from the Issuer accounted for a small proportion in their agency income/operating income for the current year, so these agents had no significant reliance on the Issuer.</w:t>
      </w:r>
    </w:p>
    <w:p>
      <w:pPr>
        <w:spacing w:after="0" w:line="161" w:lineRule="exact"/>
        <w:rPr>
          <w:sz w:val="20"/>
          <w:szCs w:val="20"/>
          <w:color w:val="auto"/>
        </w:rPr>
      </w:pPr>
    </w:p>
    <w:p>
      <w:pPr>
        <w:jc w:val="both"/>
        <w:ind w:firstLine="324"/>
        <w:spacing w:after="0" w:line="287" w:lineRule="auto"/>
        <w:rPr>
          <w:sz w:val="20"/>
          <w:szCs w:val="20"/>
          <w:color w:val="auto"/>
        </w:rPr>
      </w:pPr>
      <w:r>
        <w:rPr>
          <w:rFonts w:ascii="Arial" w:cs="Arial" w:eastAsia="Arial" w:hAnsi="Arial"/>
          <w:sz w:val="19"/>
          <w:szCs w:val="19"/>
          <w:color w:val="auto"/>
        </w:rPr>
        <w:t>The commissions obtained by the Company’s agent HANWOOL SCIENTIFIC CO., LTD. from the Issuer accounted for a relatively high proportion in its agency income for the current year. However, since July 2019, the Company ceased to sell products through this agent. At present, the team of HANWOOL SCIENTIFIC CO., LTD. has joined ACMKR. The background and development process of the cooperation between the Company and HANWOOL SCIENTIFIC CO., LTD. are as follows:</w:t>
      </w:r>
    </w:p>
    <w:p>
      <w:pPr>
        <w:spacing w:after="0" w:line="34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8-4-1-70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74" w:name="page75"/>
    <w:bookmarkEnd w:id="74"/>
    <w:p>
      <w:pPr>
        <w:jc w:val="both"/>
        <w:ind w:firstLine="324"/>
        <w:spacing w:after="0" w:line="289" w:lineRule="auto"/>
        <w:rPr>
          <w:sz w:val="20"/>
          <w:szCs w:val="20"/>
          <w:color w:val="auto"/>
        </w:rPr>
      </w:pPr>
      <w:r>
        <w:rPr>
          <w:rFonts w:ascii="Arial" w:cs="Arial" w:eastAsia="Arial" w:hAnsi="Arial"/>
          <w:sz w:val="16"/>
          <w:szCs w:val="16"/>
          <w:color w:val="auto"/>
        </w:rPr>
        <w:t>YONG YOUL KIM, the president, legal representative, shareholder and director of HANWOOL SCIENTIFIC CO., LTD. worked for Hynix from 1984 to 1991, and then worked for many Korean companies. In 2006, YONG YOUL KIM founded HANWOOL SCIENTIFIC CO., LTD. and began to provide sales services of semiconductor equipment and remote control systems for Hynix, LG Group and Samsung Group. Since the main members of the team of HANWOOL SCIENTIFIC CO., LTD. are Koreans and have worked in Korean companies such as Hynix, they are very familiar with the Korean business environment and semiconductor industry. Since 2009, HANWOOL SCIENTIFIC CO., LTD. has provided the Company with sales services as an agent to help the Company expand the Korean market. In 2009, the Company’s first single-wafer cleaning equipment successfully passed the verification of Hynix. In 2011, the Company obtained an order from Hynix for the first time. In 2013, the Company obtained many orders from Hynix. Thanks to the solid partnership between the team of HANWOOL SCIENTIFIC CO., LTD. and Hynix in the early stage, and HANWOOL’s high level of familiarity with the business operation model of Korean companies, the Company successfully entered the supply chain of Hynix and continued to sell products to it.</w:t>
      </w:r>
    </w:p>
    <w:p>
      <w:pPr>
        <w:spacing w:after="0" w:line="193"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7"/>
          <w:szCs w:val="17"/>
          <w:color w:val="auto"/>
        </w:rPr>
        <w:t>With the expanded business scale of the Company, the deepened partnership with Hynix and the strategic layout of establishing a global operation system, the Company decided to establish a subsidiary in Korea to further develop the Korean market. Due to long and good cooperation and mutual trust between the Company and HANWOOL SCIENTIFIC CO., LTD., the Company decided to retain this team to join ACMKR.</w:t>
      </w:r>
    </w:p>
    <w:p>
      <w:pPr>
        <w:spacing w:after="0" w:line="192"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Instead of stating that Hanwool is not “dependent” on the Company, in “Q14.1” of the Reply to the Letter of First Round Review-related Inquiries, the Company states that “the Company ceased to sell products through this agent.”</w:t>
      </w:r>
    </w:p>
    <w:p>
      <w:pPr>
        <w:spacing w:after="0" w:line="19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challenge in the Short-sell Report on this regard is incorrect in fact.</w:t>
      </w:r>
    </w:p>
    <w:p>
      <w:pPr>
        <w:spacing w:after="0" w:line="248" w:lineRule="exact"/>
        <w:rPr>
          <w:sz w:val="20"/>
          <w:szCs w:val="20"/>
          <w:color w:val="auto"/>
        </w:rPr>
      </w:pPr>
    </w:p>
    <w:p>
      <w:pPr>
        <w:ind w:left="560" w:hanging="228"/>
        <w:spacing w:after="0"/>
        <w:tabs>
          <w:tab w:leader="none" w:pos="560" w:val="left"/>
        </w:tabs>
        <w:numPr>
          <w:ilvl w:val="0"/>
          <w:numId w:val="78"/>
        </w:numPr>
        <w:rPr>
          <w:rFonts w:ascii="Arial" w:cs="Arial" w:eastAsia="Arial" w:hAnsi="Arial"/>
          <w:sz w:val="18"/>
          <w:szCs w:val="18"/>
          <w:b w:val="1"/>
          <w:bCs w:val="1"/>
          <w:color w:val="auto"/>
        </w:rPr>
      </w:pPr>
      <w:r>
        <w:rPr>
          <w:rFonts w:ascii="Arial" w:cs="Arial" w:eastAsia="Arial" w:hAnsi="Arial"/>
          <w:sz w:val="18"/>
          <w:szCs w:val="18"/>
          <w:b w:val="1"/>
          <w:bCs w:val="1"/>
          <w:color w:val="auto"/>
        </w:rPr>
        <w:t>Verification Procedures and Opinions</w:t>
      </w:r>
    </w:p>
    <w:p>
      <w:pPr>
        <w:spacing w:after="0" w:line="252" w:lineRule="exact"/>
        <w:rPr>
          <w:rFonts w:ascii="Arial" w:cs="Arial" w:eastAsia="Arial" w:hAnsi="Arial"/>
          <w:sz w:val="18"/>
          <w:szCs w:val="18"/>
          <w:b w:val="1"/>
          <w:bCs w:val="1"/>
          <w:color w:val="auto"/>
        </w:rPr>
      </w:pPr>
    </w:p>
    <w:p>
      <w:pPr>
        <w:ind w:left="340"/>
        <w:spacing w:after="0"/>
        <w:rPr>
          <w:rFonts w:ascii="Arial" w:cs="Arial" w:eastAsia="Arial" w:hAnsi="Arial"/>
          <w:sz w:val="18"/>
          <w:szCs w:val="18"/>
          <w:b w:val="1"/>
          <w:bCs w:val="1"/>
          <w:color w:val="auto"/>
        </w:rPr>
      </w:pPr>
      <w:r>
        <w:rPr>
          <w:rFonts w:ascii="Arial" w:cs="Arial" w:eastAsia="Arial" w:hAnsi="Arial"/>
          <w:sz w:val="18"/>
          <w:szCs w:val="18"/>
          <w:b w:val="1"/>
          <w:bCs w:val="1"/>
          <w:color w:val="auto"/>
        </w:rPr>
        <w:t>(i) Verification Procedures</w:t>
      </w:r>
    </w:p>
    <w:p>
      <w:pPr>
        <w:spacing w:after="0" w:line="256" w:lineRule="exact"/>
        <w:rPr>
          <w:sz w:val="20"/>
          <w:szCs w:val="20"/>
          <w:color w:val="auto"/>
        </w:rPr>
      </w:pPr>
    </w:p>
    <w:p>
      <w:pPr>
        <w:ind w:left="340"/>
        <w:spacing w:after="0"/>
        <w:rPr>
          <w:sz w:val="20"/>
          <w:szCs w:val="20"/>
          <w:color w:val="auto"/>
        </w:rPr>
      </w:pPr>
      <w:r>
        <w:rPr>
          <w:rFonts w:ascii="Arial" w:cs="Arial" w:eastAsia="Arial" w:hAnsi="Arial"/>
          <w:sz w:val="18"/>
          <w:szCs w:val="18"/>
          <w:color w:val="auto"/>
        </w:rPr>
        <w:t>Before the release of the Short-sell Report, the Sponsor performed the following verification procedures:</w:t>
      </w:r>
    </w:p>
    <w:p>
      <w:pPr>
        <w:spacing w:after="0" w:line="252" w:lineRule="exact"/>
        <w:rPr>
          <w:sz w:val="20"/>
          <w:szCs w:val="20"/>
          <w:color w:val="auto"/>
        </w:rPr>
      </w:pPr>
    </w:p>
    <w:p>
      <w:pPr>
        <w:jc w:val="both"/>
        <w:ind w:firstLine="332"/>
        <w:spacing w:after="0" w:line="263" w:lineRule="auto"/>
        <w:tabs>
          <w:tab w:leader="none" w:pos="534" w:val="left"/>
        </w:tabs>
        <w:numPr>
          <w:ilvl w:val="1"/>
          <w:numId w:val="79"/>
        </w:numPr>
        <w:rPr>
          <w:rFonts w:ascii="Arial" w:cs="Arial" w:eastAsia="Arial" w:hAnsi="Arial"/>
          <w:sz w:val="18"/>
          <w:szCs w:val="18"/>
          <w:color w:val="auto"/>
        </w:rPr>
      </w:pPr>
      <w:r>
        <w:rPr>
          <w:rFonts w:ascii="Arial" w:cs="Arial" w:eastAsia="Arial" w:hAnsi="Arial"/>
          <w:sz w:val="18"/>
          <w:szCs w:val="18"/>
          <w:color w:val="auto"/>
        </w:rPr>
        <w:t>Reviewing the business license and articles of association of HANWOOL SCIENTIFIC CO., LTD., and interviewing YONGYOUL KIM (its president, legal representative, shareholder and director) to understand the shares and options held by HANWOOL SCIENTIFIC CO., LTD. and YONGYOUL KIM in ACMR.</w:t>
      </w:r>
    </w:p>
    <w:p>
      <w:pPr>
        <w:spacing w:after="0" w:line="210" w:lineRule="exact"/>
        <w:rPr>
          <w:rFonts w:ascii="Arial" w:cs="Arial" w:eastAsia="Arial" w:hAnsi="Arial"/>
          <w:sz w:val="18"/>
          <w:szCs w:val="18"/>
          <w:color w:val="auto"/>
        </w:rPr>
      </w:pPr>
    </w:p>
    <w:p>
      <w:pPr>
        <w:jc w:val="both"/>
        <w:ind w:firstLine="332"/>
        <w:spacing w:after="0" w:line="263" w:lineRule="auto"/>
        <w:tabs>
          <w:tab w:leader="none" w:pos="534" w:val="left"/>
        </w:tabs>
        <w:numPr>
          <w:ilvl w:val="1"/>
          <w:numId w:val="79"/>
        </w:numPr>
        <w:rPr>
          <w:rFonts w:ascii="Arial" w:cs="Arial" w:eastAsia="Arial" w:hAnsi="Arial"/>
          <w:sz w:val="18"/>
          <w:szCs w:val="18"/>
          <w:color w:val="auto"/>
        </w:rPr>
      </w:pPr>
      <w:r>
        <w:rPr>
          <w:rFonts w:ascii="Arial" w:cs="Arial" w:eastAsia="Arial" w:hAnsi="Arial"/>
          <w:sz w:val="18"/>
          <w:szCs w:val="18"/>
          <w:color w:val="auto"/>
        </w:rPr>
        <w:t>Reviewing the relevant registration documents of TJM PARTNERS LTD., and interviewing Mok, Jeong Rae, the legal representative of TJM PARTNERS LTD., to find out whether TJM PARTNERS LTD. has any related-party relationship or other interests with the Issuer (including but not limited to those under oral agreement and undisclosed agreement).</w:t>
      </w:r>
    </w:p>
    <w:p>
      <w:pPr>
        <w:spacing w:after="0" w:line="210" w:lineRule="exact"/>
        <w:rPr>
          <w:rFonts w:ascii="Arial" w:cs="Arial" w:eastAsia="Arial" w:hAnsi="Arial"/>
          <w:sz w:val="18"/>
          <w:szCs w:val="18"/>
          <w:color w:val="auto"/>
        </w:rPr>
      </w:pPr>
    </w:p>
    <w:p>
      <w:pPr>
        <w:ind w:left="520" w:hanging="188"/>
        <w:spacing w:after="0"/>
        <w:tabs>
          <w:tab w:leader="none" w:pos="520" w:val="left"/>
        </w:tabs>
        <w:numPr>
          <w:ilvl w:val="1"/>
          <w:numId w:val="79"/>
        </w:numPr>
        <w:rPr>
          <w:rFonts w:ascii="Arial" w:cs="Arial" w:eastAsia="Arial" w:hAnsi="Arial"/>
          <w:sz w:val="16"/>
          <w:szCs w:val="16"/>
          <w:color w:val="auto"/>
        </w:rPr>
      </w:pPr>
      <w:r>
        <w:rPr>
          <w:rFonts w:ascii="Arial" w:cs="Arial" w:eastAsia="Arial" w:hAnsi="Arial"/>
          <w:sz w:val="16"/>
          <w:szCs w:val="16"/>
          <w:color w:val="auto"/>
        </w:rPr>
        <w:t>Reviewing the relevant provisions of the Rules Governing the Listing of Stocks on the STAR Market of Shanghai Stock Exchange (SSE [2019] No.</w:t>
      </w:r>
    </w:p>
    <w:p>
      <w:pPr>
        <w:spacing w:after="0" w:line="46" w:lineRule="exact"/>
        <w:rPr>
          <w:rFonts w:ascii="Arial" w:cs="Arial" w:eastAsia="Arial" w:hAnsi="Arial"/>
          <w:sz w:val="16"/>
          <w:szCs w:val="16"/>
          <w:color w:val="auto"/>
        </w:rPr>
      </w:pPr>
    </w:p>
    <w:p>
      <w:pPr>
        <w:ind w:firstLine="8"/>
        <w:spacing w:after="0" w:line="260" w:lineRule="auto"/>
        <w:tabs>
          <w:tab w:leader="none" w:pos="296" w:val="left"/>
        </w:tabs>
        <w:numPr>
          <w:ilvl w:val="0"/>
          <w:numId w:val="80"/>
        </w:numPr>
        <w:rPr>
          <w:rFonts w:ascii="Arial" w:cs="Arial" w:eastAsia="Arial" w:hAnsi="Arial"/>
          <w:sz w:val="18"/>
          <w:szCs w:val="18"/>
          <w:color w:val="auto"/>
        </w:rPr>
      </w:pPr>
      <w:r>
        <w:rPr>
          <w:rFonts w:ascii="Arial" w:cs="Arial" w:eastAsia="Arial" w:hAnsi="Arial"/>
          <w:sz w:val="18"/>
          <w:szCs w:val="18"/>
          <w:color w:val="auto"/>
        </w:rPr>
        <w:t>to verify whether HANWOOL SCIENTIFIC CO., LTD. and TJM PARTNERS LTD. are related parties expressly defined in the Rules Governing the Listing of Stocks on the STAR Market of Shanghai Stock Exchange.</w:t>
      </w:r>
    </w:p>
    <w:p>
      <w:pPr>
        <w:spacing w:after="0" w:line="212"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After the release of the Short-sell Report, the Sponsor performed the following further procedures with respect to HANWOOL SCIENTIFIC CO., LTD. and TJM PARTNERS LTD.:</w:t>
      </w:r>
    </w:p>
    <w:p>
      <w:pPr>
        <w:spacing w:after="0" w:line="190" w:lineRule="exact"/>
        <w:rPr>
          <w:sz w:val="20"/>
          <w:szCs w:val="20"/>
          <w:color w:val="auto"/>
        </w:rPr>
      </w:pPr>
    </w:p>
    <w:p>
      <w:pPr>
        <w:ind w:left="340"/>
        <w:spacing w:after="0"/>
        <w:rPr>
          <w:sz w:val="20"/>
          <w:szCs w:val="20"/>
          <w:color w:val="auto"/>
        </w:rPr>
      </w:pPr>
      <w:r>
        <w:rPr>
          <w:rFonts w:ascii="Arial" w:cs="Arial" w:eastAsia="Arial" w:hAnsi="Arial"/>
          <w:sz w:val="22"/>
          <w:szCs w:val="22"/>
          <w:color w:val="auto"/>
        </w:rPr>
        <w:t>1. Further querying information about HANWOOL SCIENTIFIC CO., LTD. and TJM PARTNERS LTD.;</w:t>
      </w: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8-4-1-71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75" w:name="page76"/>
    <w:bookmarkEnd w:id="75"/>
    <w:p>
      <w:pPr>
        <w:ind w:right="20" w:firstLine="332"/>
        <w:spacing w:after="0" w:line="251" w:lineRule="auto"/>
        <w:tabs>
          <w:tab w:leader="none" w:pos="557" w:val="left"/>
        </w:tabs>
        <w:numPr>
          <w:ilvl w:val="0"/>
          <w:numId w:val="81"/>
        </w:numPr>
        <w:rPr>
          <w:rFonts w:ascii="Arial" w:cs="Arial" w:eastAsia="Arial" w:hAnsi="Arial"/>
          <w:sz w:val="22"/>
          <w:szCs w:val="22"/>
          <w:color w:val="auto"/>
        </w:rPr>
      </w:pPr>
      <w:r>
        <w:rPr>
          <w:rFonts w:ascii="Arial" w:cs="Arial" w:eastAsia="Arial" w:hAnsi="Arial"/>
          <w:sz w:val="22"/>
          <w:szCs w:val="22"/>
          <w:color w:val="auto"/>
        </w:rPr>
        <w:t>Checking from the Issuer about the reasons why HANWOOD SCIENTIFIC CO., LTD. is paired in the sales disclosures with TJM PARTNERS LTD., and whether they are related to the Company;</w:t>
      </w:r>
    </w:p>
    <w:p>
      <w:pPr>
        <w:spacing w:after="0" w:line="207" w:lineRule="exact"/>
        <w:rPr>
          <w:rFonts w:ascii="Arial" w:cs="Arial" w:eastAsia="Arial" w:hAnsi="Arial"/>
          <w:sz w:val="22"/>
          <w:szCs w:val="22"/>
          <w:color w:val="auto"/>
        </w:rPr>
      </w:pPr>
    </w:p>
    <w:p>
      <w:pPr>
        <w:ind w:left="520" w:hanging="188"/>
        <w:spacing w:after="0"/>
        <w:tabs>
          <w:tab w:leader="none" w:pos="520" w:val="left"/>
        </w:tabs>
        <w:numPr>
          <w:ilvl w:val="0"/>
          <w:numId w:val="81"/>
        </w:numPr>
        <w:rPr>
          <w:rFonts w:ascii="Arial" w:cs="Arial" w:eastAsia="Arial" w:hAnsi="Arial"/>
          <w:sz w:val="16"/>
          <w:szCs w:val="16"/>
          <w:color w:val="auto"/>
        </w:rPr>
      </w:pPr>
      <w:r>
        <w:rPr>
          <w:rFonts w:ascii="Arial" w:cs="Arial" w:eastAsia="Arial" w:hAnsi="Arial"/>
          <w:sz w:val="16"/>
          <w:szCs w:val="16"/>
          <w:color w:val="auto"/>
        </w:rPr>
        <w:t>Assessing whether HANWOOL SCIENTIFIC CO., LTD. and TJM PARTNERS LTD. have related-party relationships with the Company in light of</w:t>
      </w:r>
    </w:p>
    <w:p>
      <w:pPr>
        <w:spacing w:after="0" w:line="46" w:lineRule="exact"/>
        <w:rPr>
          <w:sz w:val="20"/>
          <w:szCs w:val="20"/>
          <w:color w:val="auto"/>
        </w:rPr>
      </w:pPr>
    </w:p>
    <w:p>
      <w:pPr>
        <w:ind w:right="20"/>
        <w:spacing w:after="0" w:line="260" w:lineRule="auto"/>
        <w:rPr>
          <w:sz w:val="20"/>
          <w:szCs w:val="20"/>
          <w:color w:val="auto"/>
        </w:rPr>
      </w:pPr>
      <w:r>
        <w:rPr>
          <w:rFonts w:ascii="Arial" w:cs="Arial" w:eastAsia="Arial" w:hAnsi="Arial"/>
          <w:sz w:val="18"/>
          <w:szCs w:val="18"/>
          <w:color w:val="auto"/>
        </w:rPr>
        <w:t>the relevant provisions of the Rules Governing the Listing of Stocks on the STAR Market of Shanghai Stock Exchange, relevant registration materials of HANWOOL SCIENTIFIC CO., LTD. and TJM PARTNERS LTD., and interview contents; and</w:t>
      </w:r>
    </w:p>
    <w:p>
      <w:pPr>
        <w:spacing w:after="0" w:line="205" w:lineRule="exact"/>
        <w:rPr>
          <w:sz w:val="20"/>
          <w:szCs w:val="20"/>
          <w:color w:val="auto"/>
        </w:rPr>
      </w:pPr>
    </w:p>
    <w:p>
      <w:pPr>
        <w:ind w:left="340"/>
        <w:spacing w:after="0"/>
        <w:rPr>
          <w:sz w:val="20"/>
          <w:szCs w:val="20"/>
          <w:color w:val="auto"/>
        </w:rPr>
      </w:pPr>
      <w:r>
        <w:rPr>
          <w:rFonts w:ascii="Arial" w:cs="Arial" w:eastAsia="Arial" w:hAnsi="Arial"/>
          <w:sz w:val="22"/>
          <w:szCs w:val="22"/>
          <w:color w:val="auto"/>
        </w:rPr>
        <w:t>4. Checking with TJM PARTNERS LTD. to learn about Mok Jung Lai and his relationship with HJS Eng.</w:t>
      </w:r>
    </w:p>
    <w:p>
      <w:pPr>
        <w:spacing w:after="0" w:line="227" w:lineRule="exact"/>
        <w:rPr>
          <w:sz w:val="20"/>
          <w:szCs w:val="20"/>
          <w:color w:val="auto"/>
        </w:rPr>
      </w:pPr>
    </w:p>
    <w:p>
      <w:pPr>
        <w:ind w:left="340"/>
        <w:spacing w:after="0"/>
        <w:rPr>
          <w:sz w:val="20"/>
          <w:szCs w:val="20"/>
          <w:color w:val="auto"/>
        </w:rPr>
      </w:pPr>
      <w:r>
        <w:rPr>
          <w:rFonts w:ascii="Arial" w:cs="Arial" w:eastAsia="Arial" w:hAnsi="Arial"/>
          <w:sz w:val="22"/>
          <w:szCs w:val="22"/>
          <w:b w:val="1"/>
          <w:bCs w:val="1"/>
          <w:color w:val="auto"/>
        </w:rPr>
        <w:t>(ii) Verification Opinions</w:t>
      </w:r>
    </w:p>
    <w:p>
      <w:pPr>
        <w:spacing w:after="0" w:line="239" w:lineRule="exact"/>
        <w:rPr>
          <w:sz w:val="20"/>
          <w:szCs w:val="20"/>
          <w:color w:val="auto"/>
        </w:rPr>
      </w:pPr>
    </w:p>
    <w:p>
      <w:pPr>
        <w:ind w:left="340"/>
        <w:spacing w:after="0"/>
        <w:rPr>
          <w:sz w:val="20"/>
          <w:szCs w:val="20"/>
          <w:color w:val="auto"/>
        </w:rPr>
      </w:pPr>
      <w:r>
        <w:rPr>
          <w:rFonts w:ascii="Arial" w:cs="Arial" w:eastAsia="Arial" w:hAnsi="Arial"/>
          <w:sz w:val="22"/>
          <w:szCs w:val="22"/>
          <w:color w:val="auto"/>
        </w:rPr>
        <w:t>Upon verification, the Sponsor opines that:</w:t>
      </w:r>
    </w:p>
    <w:p>
      <w:pPr>
        <w:spacing w:after="0" w:line="233" w:lineRule="exact"/>
        <w:rPr>
          <w:sz w:val="20"/>
          <w:szCs w:val="20"/>
          <w:color w:val="auto"/>
        </w:rPr>
      </w:pPr>
    </w:p>
    <w:p>
      <w:pPr>
        <w:ind w:left="340"/>
        <w:spacing w:after="0"/>
        <w:rPr>
          <w:sz w:val="20"/>
          <w:szCs w:val="20"/>
          <w:color w:val="auto"/>
        </w:rPr>
      </w:pPr>
      <w:r>
        <w:rPr>
          <w:rFonts w:ascii="Arial" w:cs="Arial" w:eastAsia="Arial" w:hAnsi="Arial"/>
          <w:sz w:val="22"/>
          <w:szCs w:val="22"/>
          <w:color w:val="auto"/>
        </w:rPr>
        <w:t>HANWOOL SCIENTIFIC CO., LTD and TJM PARTNERS LTD. are not related parties of the Issuer.</w:t>
      </w:r>
    </w:p>
    <w:p>
      <w:pPr>
        <w:spacing w:after="0" w:line="227" w:lineRule="exact"/>
        <w:rPr>
          <w:sz w:val="20"/>
          <w:szCs w:val="20"/>
          <w:color w:val="auto"/>
        </w:rPr>
      </w:pPr>
    </w:p>
    <w:p>
      <w:pPr>
        <w:ind w:firstLine="332"/>
        <w:spacing w:after="0" w:line="256" w:lineRule="auto"/>
        <w:tabs>
          <w:tab w:leader="none" w:pos="555" w:val="left"/>
        </w:tabs>
        <w:numPr>
          <w:ilvl w:val="0"/>
          <w:numId w:val="82"/>
        </w:numPr>
        <w:rPr>
          <w:rFonts w:ascii="Arial" w:cs="Arial" w:eastAsia="Arial" w:hAnsi="Arial"/>
          <w:sz w:val="22"/>
          <w:szCs w:val="22"/>
          <w:b w:val="1"/>
          <w:bCs w:val="1"/>
          <w:color w:val="auto"/>
        </w:rPr>
      </w:pPr>
      <w:r>
        <w:rPr>
          <w:rFonts w:ascii="Arial" w:cs="Arial" w:eastAsia="Arial" w:hAnsi="Arial"/>
          <w:sz w:val="22"/>
          <w:szCs w:val="22"/>
          <w:b w:val="1"/>
          <w:bCs w:val="1"/>
          <w:color w:val="auto"/>
        </w:rPr>
        <w:t>Other Challenge 7: About Sales Differences (Index of Verification in Response to the Short-sell Report, No.18, 20, 22, 23)</w:t>
      </w:r>
    </w:p>
    <w:p>
      <w:pPr>
        <w:spacing w:after="0" w:line="189" w:lineRule="exact"/>
        <w:rPr>
          <w:sz w:val="20"/>
          <w:szCs w:val="20"/>
          <w:color w:val="auto"/>
        </w:rPr>
      </w:pPr>
    </w:p>
    <w:p>
      <w:pPr>
        <w:ind w:left="340"/>
        <w:spacing w:after="0"/>
        <w:rPr>
          <w:sz w:val="20"/>
          <w:szCs w:val="20"/>
          <w:color w:val="auto"/>
        </w:rPr>
      </w:pPr>
      <w:r>
        <w:rPr>
          <w:rFonts w:ascii="Arial" w:cs="Arial" w:eastAsia="Arial" w:hAnsi="Arial"/>
          <w:sz w:val="22"/>
          <w:szCs w:val="22"/>
          <w:b w:val="1"/>
          <w:bCs w:val="1"/>
          <w:color w:val="auto"/>
        </w:rPr>
        <w:t>Challenge in the Short-sell Report (Short-sell Report, pp.23, 24, 27):</w:t>
      </w:r>
    </w:p>
    <w:p>
      <w:pPr>
        <w:spacing w:after="0" w:line="239" w:lineRule="exact"/>
        <w:rPr>
          <w:sz w:val="20"/>
          <w:szCs w:val="20"/>
          <w:color w:val="auto"/>
        </w:rPr>
      </w:pPr>
    </w:p>
    <w:p>
      <w:pPr>
        <w:ind w:right="20" w:firstLine="332"/>
        <w:spacing w:after="0" w:line="250" w:lineRule="auto"/>
        <w:tabs>
          <w:tab w:leader="none" w:pos="641" w:val="left"/>
        </w:tabs>
        <w:numPr>
          <w:ilvl w:val="0"/>
          <w:numId w:val="83"/>
        </w:numPr>
        <w:rPr>
          <w:rFonts w:ascii="Arial" w:cs="Arial" w:eastAsia="Arial" w:hAnsi="Arial"/>
          <w:sz w:val="22"/>
          <w:szCs w:val="22"/>
          <w:color w:val="auto"/>
        </w:rPr>
      </w:pPr>
      <w:r>
        <w:rPr>
          <w:rFonts w:ascii="Arial" w:cs="Arial" w:eastAsia="Arial" w:hAnsi="Arial"/>
          <w:sz w:val="22"/>
          <w:szCs w:val="22"/>
          <w:color w:val="auto"/>
        </w:rPr>
        <w:t>“We have interviewed several current and former executives of SK Hynix. They told us that the company inventory lists three more machines than ACMR has disclosed selling.”</w:t>
      </w:r>
    </w:p>
    <w:p>
      <w:pPr>
        <w:spacing w:after="0" w:line="201" w:lineRule="exact"/>
        <w:rPr>
          <w:rFonts w:ascii="Arial" w:cs="Arial" w:eastAsia="Arial" w:hAnsi="Arial"/>
          <w:sz w:val="22"/>
          <w:szCs w:val="22"/>
          <w:color w:val="auto"/>
        </w:rPr>
      </w:pPr>
    </w:p>
    <w:p>
      <w:pPr>
        <w:ind w:left="640" w:hanging="308"/>
        <w:spacing w:after="0"/>
        <w:tabs>
          <w:tab w:leader="none" w:pos="640" w:val="left"/>
        </w:tabs>
        <w:numPr>
          <w:ilvl w:val="0"/>
          <w:numId w:val="83"/>
        </w:numPr>
        <w:rPr>
          <w:rFonts w:ascii="Arial" w:cs="Arial" w:eastAsia="Arial" w:hAnsi="Arial"/>
          <w:sz w:val="22"/>
          <w:szCs w:val="22"/>
          <w:color w:val="auto"/>
        </w:rPr>
      </w:pPr>
      <w:r>
        <w:rPr>
          <w:rFonts w:ascii="Arial" w:cs="Arial" w:eastAsia="Arial" w:hAnsi="Arial"/>
          <w:sz w:val="22"/>
          <w:szCs w:val="22"/>
          <w:color w:val="auto"/>
        </w:rPr>
        <w:t>“Customer-Reported Sales vs Company-Reported Sales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1325245</wp:posOffset>
            </wp:positionH>
            <wp:positionV relativeFrom="paragraph">
              <wp:posOffset>161290</wp:posOffset>
            </wp:positionV>
            <wp:extent cx="4491990" cy="210883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4491990" cy="21088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ind w:left="340"/>
        <w:spacing w:after="0"/>
        <w:rPr>
          <w:sz w:val="20"/>
          <w:szCs w:val="20"/>
          <w:color w:val="auto"/>
        </w:rPr>
      </w:pPr>
      <w:r>
        <w:rPr>
          <w:rFonts w:ascii="Arial" w:cs="Arial" w:eastAsia="Arial" w:hAnsi="Arial"/>
          <w:sz w:val="22"/>
          <w:szCs w:val="22"/>
          <w:color w:val="auto"/>
        </w:rPr>
        <w:t>Gap between sales to customers and to the same “final” customers (mln USD)</w:t>
      </w:r>
    </w:p>
    <w:p>
      <w:pPr>
        <w:spacing w:after="0" w:line="200" w:lineRule="exact"/>
        <w:rPr>
          <w:sz w:val="20"/>
          <w:szCs w:val="20"/>
          <w:color w:val="auto"/>
        </w:rPr>
      </w:pPr>
    </w:p>
    <w:p>
      <w:pPr>
        <w:spacing w:after="0" w:line="211"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8-4-1-72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76" w:name="page77"/>
    <w:bookmarkEnd w:id="76"/>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1631315</wp:posOffset>
            </wp:positionH>
            <wp:positionV relativeFrom="page">
              <wp:posOffset>88900</wp:posOffset>
            </wp:positionV>
            <wp:extent cx="4217670" cy="239141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clrChange>
                        <a:clrFrom>
                          <a:srgbClr val="FFFFFF"/>
                        </a:clrFrom>
                        <a:clrTo>
                          <a:srgbClr val="FFFFFF">
                            <a:alpha val="0"/>
                          </a:srgbClr>
                        </a:clrTo>
                      </a:clrChange>
                      <a:extLst>
                        <a:ext uri="{28A0092B-C50C-407E-A947-70E740481C1C}"/>
                      </a:extLst>
                    </a:blip>
                    <a:srcRect/>
                    <a:stretch>
                      <a:fillRect/>
                    </a:stretch>
                  </pic:blipFill>
                  <pic:spPr bwMode="auto">
                    <a:xfrm>
                      <a:off x="0" y="0"/>
                      <a:ext cx="4217670" cy="23914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ind w:left="8900"/>
        <w:spacing w:after="0"/>
        <w:rPr>
          <w:sz w:val="20"/>
          <w:szCs w:val="20"/>
          <w:color w:val="auto"/>
        </w:rPr>
      </w:pPr>
      <w:r>
        <w:rPr>
          <w:rFonts w:ascii="Arial" w:cs="Arial" w:eastAsia="Arial" w:hAnsi="Arial"/>
          <w:sz w:val="22"/>
          <w:szCs w:val="22"/>
          <w:color w:val="auto"/>
        </w:rPr>
        <w:t>”</w:t>
      </w:r>
    </w:p>
    <w:p>
      <w:pPr>
        <w:spacing w:after="0" w:line="233" w:lineRule="exact"/>
        <w:rPr>
          <w:sz w:val="20"/>
          <w:szCs w:val="20"/>
          <w:color w:val="auto"/>
        </w:rPr>
      </w:pPr>
    </w:p>
    <w:p>
      <w:pPr>
        <w:ind w:left="340"/>
        <w:spacing w:after="0"/>
        <w:rPr>
          <w:sz w:val="20"/>
          <w:szCs w:val="20"/>
          <w:color w:val="auto"/>
        </w:rPr>
      </w:pPr>
      <w:r>
        <w:rPr>
          <w:rFonts w:ascii="Arial" w:cs="Arial" w:eastAsia="Arial" w:hAnsi="Arial"/>
          <w:sz w:val="22"/>
          <w:szCs w:val="22"/>
          <w:color w:val="auto"/>
        </w:rPr>
        <w:t>(3) “Acting as own “agent”</w:t>
      </w:r>
    </w:p>
    <w:p>
      <w:pPr>
        <w:spacing w:after="0" w:line="240" w:lineRule="exact"/>
        <w:rPr>
          <w:sz w:val="20"/>
          <w:szCs w:val="20"/>
          <w:color w:val="auto"/>
        </w:rPr>
      </w:pPr>
    </w:p>
    <w:p>
      <w:pPr>
        <w:ind w:right="20" w:firstLine="324"/>
        <w:spacing w:after="0" w:line="277" w:lineRule="auto"/>
        <w:rPr>
          <w:sz w:val="20"/>
          <w:szCs w:val="20"/>
          <w:color w:val="auto"/>
        </w:rPr>
      </w:pPr>
      <w:r>
        <w:rPr>
          <w:rFonts w:ascii="Arial" w:cs="Arial" w:eastAsia="Arial" w:hAnsi="Arial"/>
          <w:sz w:val="18"/>
          <w:szCs w:val="18"/>
          <w:color w:val="auto"/>
        </w:rPr>
        <w:t>Yangtze Memory and Huahong were both customers and end customers. In other words, Yangtze Memory and Huahong were collecting hefty commissions on selling to themselves.”</w:t>
      </w:r>
    </w:p>
    <w:p>
      <w:pPr>
        <w:spacing w:after="0" w:line="193"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Response:</w:t>
      </w:r>
    </w:p>
    <w:p>
      <w:pPr>
        <w:spacing w:after="0" w:line="252"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I. Clarification by the Issuer</w:t>
      </w:r>
    </w:p>
    <w:p>
      <w:pPr>
        <w:spacing w:after="0" w:line="256" w:lineRule="exact"/>
        <w:rPr>
          <w:sz w:val="20"/>
          <w:szCs w:val="20"/>
          <w:color w:val="auto"/>
        </w:rPr>
      </w:pPr>
    </w:p>
    <w:p>
      <w:pPr>
        <w:ind w:right="20" w:firstLine="324"/>
        <w:spacing w:after="0" w:line="277" w:lineRule="auto"/>
        <w:rPr>
          <w:sz w:val="20"/>
          <w:szCs w:val="20"/>
          <w:color w:val="auto"/>
        </w:rPr>
      </w:pPr>
      <w:r>
        <w:rPr>
          <w:rFonts w:ascii="Arial" w:cs="Arial" w:eastAsia="Arial" w:hAnsi="Arial"/>
          <w:sz w:val="18"/>
          <w:szCs w:val="18"/>
          <w:color w:val="auto"/>
        </w:rPr>
        <w:t>The Company’s revenue recognition is accurate. The details of equipment sales during the Reporting Period has been disclosed by the Company in “Q14.3” and “Q15.1” in the Reply to the Letter of First Round Review-related Inquiries.</w:t>
      </w:r>
    </w:p>
    <w:p>
      <w:pPr>
        <w:spacing w:after="0" w:line="193"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(i) Revenue Recognition Policy of the Company</w:t>
      </w:r>
    </w:p>
    <w:p>
      <w:pPr>
        <w:spacing w:after="0" w:line="256"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Issuer has disclosed the revenue recognition policy in the Prospectus and the notes to the financial reports:</w:t>
      </w:r>
    </w:p>
    <w:p>
      <w:pPr>
        <w:spacing w:after="0" w:line="252" w:lineRule="exact"/>
        <w:rPr>
          <w:sz w:val="20"/>
          <w:szCs w:val="20"/>
          <w:color w:val="auto"/>
        </w:rPr>
      </w:pPr>
    </w:p>
    <w:p>
      <w:pPr>
        <w:ind w:left="340"/>
        <w:spacing w:after="0"/>
        <w:rPr>
          <w:sz w:val="20"/>
          <w:szCs w:val="20"/>
          <w:color w:val="auto"/>
        </w:rPr>
      </w:pPr>
      <w:r>
        <w:rPr>
          <w:rFonts w:ascii="Arial" w:cs="Arial" w:eastAsia="Arial" w:hAnsi="Arial"/>
          <w:sz w:val="18"/>
          <w:szCs w:val="18"/>
          <w:color w:val="auto"/>
        </w:rPr>
        <w:t>“Specific principles for recognition of revenue from sales of goods</w:t>
      </w:r>
    </w:p>
    <w:p>
      <w:pPr>
        <w:spacing w:after="0" w:line="252" w:lineRule="exact"/>
        <w:rPr>
          <w:sz w:val="20"/>
          <w:szCs w:val="20"/>
          <w:color w:val="auto"/>
        </w:rPr>
      </w:pPr>
    </w:p>
    <w:p>
      <w:pPr>
        <w:jc w:val="both"/>
        <w:ind w:firstLine="332"/>
        <w:spacing w:after="0" w:line="259" w:lineRule="auto"/>
        <w:tabs>
          <w:tab w:leader="none" w:pos="571" w:val="left"/>
        </w:tabs>
        <w:numPr>
          <w:ilvl w:val="0"/>
          <w:numId w:val="84"/>
        </w:numPr>
        <w:rPr>
          <w:rFonts w:ascii="MS PGothic" w:cs="MS PGothic" w:eastAsia="MS PGothic" w:hAnsi="MS PGothic"/>
          <w:sz w:val="18"/>
          <w:szCs w:val="18"/>
          <w:color w:val="auto"/>
        </w:rPr>
      </w:pPr>
      <w:r>
        <w:rPr>
          <w:rFonts w:ascii="Arial" w:cs="Arial" w:eastAsia="Arial" w:hAnsi="Arial"/>
          <w:sz w:val="18"/>
          <w:szCs w:val="18"/>
          <w:color w:val="auto"/>
        </w:rPr>
        <w:t>With respect to products not required for commissioning, the Company will transport special equipment products to agreed delivery places in accordance with provisions of the agreement and contract, and recognize the revenue after a customer’s commissioning and acceptance. After commissioning and acceptance of special equipment products by the customer, the customer has the right to use products at its discretion and bears the risk of price fluctuation or damage of products.</w:t>
      </w:r>
    </w:p>
    <w:p>
      <w:pPr>
        <w:spacing w:after="0" w:line="214" w:lineRule="exact"/>
        <w:rPr>
          <w:sz w:val="20"/>
          <w:szCs w:val="20"/>
          <w:color w:val="auto"/>
        </w:rPr>
      </w:pPr>
    </w:p>
    <w:p>
      <w:pPr>
        <w:jc w:val="both"/>
        <w:ind w:firstLine="332"/>
        <w:spacing w:after="0" w:line="279" w:lineRule="auto"/>
        <w:tabs>
          <w:tab w:leader="none" w:pos="598" w:val="left"/>
        </w:tabs>
        <w:numPr>
          <w:ilvl w:val="0"/>
          <w:numId w:val="85"/>
        </w:numPr>
        <w:rPr>
          <w:rFonts w:ascii="MS PGothic" w:cs="MS PGothic" w:eastAsia="MS PGothic" w:hAnsi="MS PGothic"/>
          <w:sz w:val="17"/>
          <w:szCs w:val="17"/>
          <w:color w:val="auto"/>
        </w:rPr>
      </w:pPr>
      <w:r>
        <w:rPr>
          <w:rFonts w:ascii="Arial" w:cs="Arial" w:eastAsia="Arial" w:hAnsi="Arial"/>
          <w:sz w:val="17"/>
          <w:szCs w:val="17"/>
          <w:color w:val="auto"/>
        </w:rPr>
        <w:t>With respect to products required for commissioning, the Company will transport special equipment products to agreed delivery places in accordance with provisions of the agreement and contract, and recognize the revenue after the installation and commissioning, a customer’s acceptance and the expiration of trial operation. After commissioning and acceptance of special equipment products by the customer and expiration of the trial operation, the customer has the right to use products at its discretion and bears the risk of price fluctuation or damage of products.</w:t>
      </w:r>
    </w:p>
    <w:p>
      <w:pPr>
        <w:spacing w:after="0" w:line="369"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8-4-1-73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77" w:name="page78"/>
    <w:bookmarkEnd w:id="77"/>
    <w:p>
      <w:pPr>
        <w:jc w:val="both"/>
        <w:ind w:firstLine="324"/>
        <w:spacing w:after="0" w:line="297" w:lineRule="auto"/>
        <w:rPr>
          <w:sz w:val="20"/>
          <w:szCs w:val="20"/>
          <w:color w:val="auto"/>
        </w:rPr>
      </w:pPr>
      <w:r>
        <w:rPr>
          <w:rFonts w:ascii="Arial" w:cs="Arial" w:eastAsia="Arial" w:hAnsi="Arial"/>
          <w:sz w:val="19"/>
          <w:szCs w:val="19"/>
          <w:color w:val="auto"/>
        </w:rPr>
        <w:t>Spare parts of the Company shall be transported to agreed delivery places in accordance with provisions of the agreement and contract, and the revenue shall be recognized after a customer’s confirmation of acceptance. After the delivery of spare parts, the customer has the right to use products at its discretion and bears the risk of price fluctuation or damage of products.”</w:t>
      </w:r>
    </w:p>
    <w:p>
      <w:pPr>
        <w:spacing w:after="0" w:line="155" w:lineRule="exact"/>
        <w:rPr>
          <w:sz w:val="20"/>
          <w:szCs w:val="20"/>
          <w:color w:val="auto"/>
        </w:rPr>
      </w:pPr>
    </w:p>
    <w:p>
      <w:pPr>
        <w:ind w:left="340"/>
        <w:spacing w:after="0"/>
        <w:rPr>
          <w:sz w:val="20"/>
          <w:szCs w:val="20"/>
          <w:color w:val="auto"/>
        </w:rPr>
      </w:pPr>
      <w:r>
        <w:rPr>
          <w:rFonts w:ascii="Arial" w:cs="Arial" w:eastAsia="Arial" w:hAnsi="Arial"/>
          <w:sz w:val="22"/>
          <w:szCs w:val="22"/>
          <w:b w:val="1"/>
          <w:bCs w:val="1"/>
          <w:color w:val="auto"/>
        </w:rPr>
        <w:t>(ii) Customer-Reported Sales and Company-report Sales in 2019</w:t>
      </w:r>
    </w:p>
    <w:p>
      <w:pPr>
        <w:spacing w:after="0" w:line="246"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During the Reporting Period, the Issuer recognized revenue according to the sales orders signed with the customers in accordance with the revenue recognition policy. There is a conflict between the “purchase quantity upon interviews” as alleged in the Short-sell Report and the standard of the Issuer to recognize the revenue. For example, the Short-sell Report alleges that “SMSC purchased 2 sets of equipment from the Issuer in 2019.” Upon check, the Company’s orders from SMSC were as follows:</w:t>
      </w:r>
    </w:p>
    <w:p>
      <w:pPr>
        <w:spacing w:after="0" w:line="208" w:lineRule="exact"/>
        <w:rPr>
          <w:sz w:val="20"/>
          <w:szCs w:val="20"/>
          <w:color w:val="auto"/>
        </w:rPr>
      </w:pPr>
    </w:p>
    <w:tbl>
      <w:tblPr>
        <w:tblLayout w:type="fixed"/>
        <w:tblInd w:w="10" w:type="dxa"/>
        <w:tblCellMar>
          <w:top w:w="0" w:type="dxa"/>
          <w:left w:w="0" w:type="dxa"/>
          <w:bottom w:w="0" w:type="dxa"/>
          <w:right w:w="0" w:type="dxa"/>
        </w:tblCellMar>
      </w:tblPr>
      <w:tr>
        <w:trPr>
          <w:trHeight w:val="225"/>
        </w:trPr>
        <w:tc>
          <w:tcPr>
            <w:tcW w:w="1840" w:type="dxa"/>
            <w:vAlign w:val="bottom"/>
            <w:tcBorders>
              <w:top w:val="single" w:sz="8" w:color="auto"/>
              <w:left w:val="single" w:sz="8" w:color="auto"/>
              <w:right w:val="single" w:sz="8" w:color="auto"/>
            </w:tcBorders>
          </w:tcPr>
          <w:p>
            <w:pPr>
              <w:spacing w:after="0"/>
              <w:rPr>
                <w:sz w:val="19"/>
                <w:szCs w:val="19"/>
                <w:color w:val="auto"/>
              </w:rPr>
            </w:pPr>
          </w:p>
        </w:tc>
        <w:tc>
          <w:tcPr>
            <w:tcW w:w="1660" w:type="dxa"/>
            <w:vAlign w:val="bottom"/>
            <w:tcBorders>
              <w:top w:val="single" w:sz="8" w:color="auto"/>
              <w:right w:val="single" w:sz="8" w:color="auto"/>
            </w:tcBorders>
          </w:tcPr>
          <w:p>
            <w:pPr>
              <w:spacing w:after="0"/>
              <w:rPr>
                <w:sz w:val="19"/>
                <w:szCs w:val="19"/>
                <w:color w:val="auto"/>
              </w:rPr>
            </w:pPr>
          </w:p>
        </w:tc>
        <w:tc>
          <w:tcPr>
            <w:tcW w:w="1680" w:type="dxa"/>
            <w:vAlign w:val="bottom"/>
            <w:tcBorders>
              <w:top w:val="single" w:sz="8" w:color="auto"/>
              <w:right w:val="single" w:sz="8" w:color="auto"/>
            </w:tcBorders>
          </w:tcPr>
          <w:p>
            <w:pPr>
              <w:spacing w:after="0"/>
              <w:rPr>
                <w:sz w:val="19"/>
                <w:szCs w:val="19"/>
                <w:color w:val="auto"/>
              </w:rPr>
            </w:pPr>
          </w:p>
        </w:tc>
        <w:tc>
          <w:tcPr>
            <w:tcW w:w="1680" w:type="dxa"/>
            <w:vAlign w:val="bottom"/>
            <w:tcBorders>
              <w:top w:val="single" w:sz="8" w:color="auto"/>
              <w:right w:val="single" w:sz="8" w:color="auto"/>
            </w:tcBorders>
            <w:vMerge w:val="restart"/>
          </w:tcPr>
          <w:p>
            <w:pPr>
              <w:jc w:val="center"/>
              <w:spacing w:after="0"/>
              <w:rPr>
                <w:sz w:val="20"/>
                <w:szCs w:val="20"/>
                <w:color w:val="auto"/>
              </w:rPr>
            </w:pPr>
            <w:r>
              <w:rPr>
                <w:rFonts w:ascii="Arial" w:cs="Arial" w:eastAsia="Arial" w:hAnsi="Arial"/>
                <w:sz w:val="18"/>
                <w:szCs w:val="18"/>
                <w:b w:val="1"/>
                <w:bCs w:val="1"/>
                <w:color w:val="auto"/>
                <w:w w:val="91"/>
              </w:rPr>
              <w:t>Contract</w:t>
            </w:r>
          </w:p>
        </w:tc>
        <w:tc>
          <w:tcPr>
            <w:tcW w:w="1560" w:type="dxa"/>
            <w:vAlign w:val="bottom"/>
            <w:tcBorders>
              <w:top w:val="single" w:sz="8" w:color="auto"/>
              <w:right w:val="single" w:sz="8" w:color="auto"/>
            </w:tcBorders>
          </w:tcPr>
          <w:p>
            <w:pPr>
              <w:spacing w:after="0"/>
              <w:rPr>
                <w:sz w:val="19"/>
                <w:szCs w:val="19"/>
                <w:color w:val="auto"/>
              </w:rPr>
            </w:pPr>
          </w:p>
        </w:tc>
        <w:tc>
          <w:tcPr>
            <w:tcW w:w="168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87"/>
              </w:rPr>
              <w:t>Has revenue</w:t>
            </w:r>
          </w:p>
        </w:tc>
        <w:tc>
          <w:tcPr>
            <w:tcW w:w="0" w:type="dxa"/>
            <w:vAlign w:val="bottom"/>
          </w:tcPr>
          <w:p>
            <w:pPr>
              <w:spacing w:after="0"/>
              <w:rPr>
                <w:sz w:val="1"/>
                <w:szCs w:val="1"/>
                <w:color w:val="auto"/>
              </w:rPr>
            </w:pPr>
          </w:p>
        </w:tc>
      </w:tr>
      <w:tr>
        <w:trPr>
          <w:trHeight w:val="108"/>
        </w:trPr>
        <w:tc>
          <w:tcPr>
            <w:tcW w:w="1840" w:type="dxa"/>
            <w:vAlign w:val="bottom"/>
            <w:tcBorders>
              <w:left w:val="single" w:sz="8" w:color="auto"/>
              <w:right w:val="single" w:sz="8" w:color="auto"/>
            </w:tcBorders>
          </w:tcPr>
          <w:p>
            <w:pPr>
              <w:spacing w:after="0"/>
              <w:rPr>
                <w:sz w:val="9"/>
                <w:szCs w:val="9"/>
                <w:color w:val="auto"/>
              </w:rPr>
            </w:pPr>
          </w:p>
        </w:tc>
        <w:tc>
          <w:tcPr>
            <w:tcW w:w="166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b w:val="1"/>
                <w:bCs w:val="1"/>
                <w:color w:val="auto"/>
                <w:w w:val="92"/>
              </w:rPr>
              <w:t>Equipment</w:t>
            </w:r>
          </w:p>
        </w:tc>
        <w:tc>
          <w:tcPr>
            <w:tcW w:w="16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b w:val="1"/>
                <w:bCs w:val="1"/>
                <w:color w:val="auto"/>
                <w:w w:val="95"/>
              </w:rPr>
              <w:t>Quantity</w:t>
            </w:r>
          </w:p>
        </w:tc>
        <w:tc>
          <w:tcPr>
            <w:tcW w:w="1680" w:type="dxa"/>
            <w:vAlign w:val="bottom"/>
            <w:tcBorders>
              <w:right w:val="single" w:sz="8" w:color="auto"/>
            </w:tcBorders>
            <w:vMerge w:val="continue"/>
          </w:tcPr>
          <w:p>
            <w:pPr>
              <w:spacing w:after="0"/>
              <w:rPr>
                <w:sz w:val="9"/>
                <w:szCs w:val="9"/>
                <w:color w:val="auto"/>
              </w:rPr>
            </w:pPr>
          </w:p>
        </w:tc>
        <w:tc>
          <w:tcPr>
            <w:tcW w:w="156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b w:val="1"/>
                <w:bCs w:val="1"/>
                <w:color w:val="auto"/>
                <w:w w:val="98"/>
              </w:rPr>
              <w:t>Arrival</w:t>
            </w:r>
          </w:p>
        </w:tc>
        <w:tc>
          <w:tcPr>
            <w:tcW w:w="16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b w:val="1"/>
                <w:bCs w:val="1"/>
                <w:color w:val="auto"/>
                <w:w w:val="85"/>
              </w:rPr>
              <w:t>been</w:t>
            </w:r>
          </w:p>
        </w:tc>
        <w:tc>
          <w:tcPr>
            <w:tcW w:w="0" w:type="dxa"/>
            <w:vAlign w:val="bottom"/>
          </w:tcPr>
          <w:p>
            <w:pPr>
              <w:spacing w:after="0"/>
              <w:rPr>
                <w:sz w:val="1"/>
                <w:szCs w:val="1"/>
                <w:color w:val="auto"/>
              </w:rPr>
            </w:pPr>
          </w:p>
        </w:tc>
      </w:tr>
      <w:tr>
        <w:trPr>
          <w:trHeight w:val="108"/>
        </w:trPr>
        <w:tc>
          <w:tcPr>
            <w:tcW w:w="184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18"/>
                <w:szCs w:val="18"/>
                <w:b w:val="1"/>
                <w:bCs w:val="1"/>
                <w:color w:val="auto"/>
                <w:w w:val="88"/>
              </w:rPr>
              <w:t>Classification</w:t>
            </w:r>
          </w:p>
        </w:tc>
        <w:tc>
          <w:tcPr>
            <w:tcW w:w="1660" w:type="dxa"/>
            <w:vAlign w:val="bottom"/>
            <w:tcBorders>
              <w:right w:val="single" w:sz="8" w:color="auto"/>
            </w:tcBorders>
            <w:vMerge w:val="continue"/>
          </w:tcPr>
          <w:p>
            <w:pPr>
              <w:spacing w:after="0"/>
              <w:rPr>
                <w:sz w:val="9"/>
                <w:szCs w:val="9"/>
                <w:color w:val="auto"/>
              </w:rPr>
            </w:pPr>
          </w:p>
        </w:tc>
        <w:tc>
          <w:tcPr>
            <w:tcW w:w="1680" w:type="dxa"/>
            <w:vAlign w:val="bottom"/>
            <w:tcBorders>
              <w:right w:val="single" w:sz="8" w:color="auto"/>
            </w:tcBorders>
            <w:vMerge w:val="continue"/>
          </w:tcPr>
          <w:p>
            <w:pPr>
              <w:spacing w:after="0"/>
              <w:rPr>
                <w:sz w:val="9"/>
                <w:szCs w:val="9"/>
                <w:color w:val="auto"/>
              </w:rPr>
            </w:pPr>
          </w:p>
        </w:tc>
        <w:tc>
          <w:tcPr>
            <w:tcW w:w="16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b w:val="1"/>
                <w:bCs w:val="1"/>
                <w:color w:val="auto"/>
                <w:w w:val="91"/>
              </w:rPr>
              <w:t>price (USD</w:t>
            </w:r>
          </w:p>
        </w:tc>
        <w:tc>
          <w:tcPr>
            <w:tcW w:w="1560" w:type="dxa"/>
            <w:vAlign w:val="bottom"/>
            <w:tcBorders>
              <w:right w:val="single" w:sz="8" w:color="auto"/>
            </w:tcBorders>
            <w:vMerge w:val="continue"/>
          </w:tcPr>
          <w:p>
            <w:pPr>
              <w:spacing w:after="0"/>
              <w:rPr>
                <w:sz w:val="9"/>
                <w:szCs w:val="9"/>
                <w:color w:val="auto"/>
              </w:rPr>
            </w:pPr>
          </w:p>
        </w:tc>
        <w:tc>
          <w:tcPr>
            <w:tcW w:w="1680" w:type="dxa"/>
            <w:vAlign w:val="bottom"/>
            <w:tcBorders>
              <w:right w:val="single" w:sz="8" w:color="auto"/>
            </w:tcBorders>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1840" w:type="dxa"/>
            <w:vAlign w:val="bottom"/>
            <w:tcBorders>
              <w:left w:val="single" w:sz="8" w:color="auto"/>
              <w:right w:val="single" w:sz="8" w:color="auto"/>
            </w:tcBorders>
            <w:vMerge w:val="continue"/>
          </w:tcPr>
          <w:p>
            <w:pPr>
              <w:spacing w:after="0"/>
              <w:rPr>
                <w:sz w:val="9"/>
                <w:szCs w:val="9"/>
                <w:color w:val="auto"/>
              </w:rPr>
            </w:pPr>
          </w:p>
        </w:tc>
        <w:tc>
          <w:tcPr>
            <w:tcW w:w="166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b w:val="1"/>
                <w:bCs w:val="1"/>
                <w:color w:val="auto"/>
                <w:w w:val="96"/>
              </w:rPr>
              <w:t>Model</w:t>
            </w:r>
          </w:p>
        </w:tc>
        <w:tc>
          <w:tcPr>
            <w:tcW w:w="16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b w:val="1"/>
                <w:bCs w:val="1"/>
                <w:color w:val="auto"/>
                <w:w w:val="89"/>
              </w:rPr>
              <w:t>(set)</w:t>
            </w:r>
          </w:p>
        </w:tc>
        <w:tc>
          <w:tcPr>
            <w:tcW w:w="1680" w:type="dxa"/>
            <w:vAlign w:val="bottom"/>
            <w:tcBorders>
              <w:right w:val="single" w:sz="8" w:color="auto"/>
            </w:tcBorders>
            <w:vMerge w:val="continue"/>
          </w:tcPr>
          <w:p>
            <w:pPr>
              <w:spacing w:after="0"/>
              <w:rPr>
                <w:sz w:val="9"/>
                <w:szCs w:val="9"/>
                <w:color w:val="auto"/>
              </w:rPr>
            </w:pPr>
          </w:p>
        </w:tc>
        <w:tc>
          <w:tcPr>
            <w:tcW w:w="156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b w:val="1"/>
                <w:bCs w:val="1"/>
                <w:color w:val="auto"/>
                <w:w w:val="91"/>
              </w:rPr>
              <w:t>time</w:t>
            </w:r>
          </w:p>
        </w:tc>
        <w:tc>
          <w:tcPr>
            <w:tcW w:w="16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b w:val="1"/>
                <w:bCs w:val="1"/>
                <w:color w:val="auto"/>
                <w:w w:val="87"/>
              </w:rPr>
              <w:t>recognized in</w:t>
            </w:r>
          </w:p>
        </w:tc>
        <w:tc>
          <w:tcPr>
            <w:tcW w:w="0" w:type="dxa"/>
            <w:vAlign w:val="bottom"/>
          </w:tcPr>
          <w:p>
            <w:pPr>
              <w:spacing w:after="0"/>
              <w:rPr>
                <w:sz w:val="1"/>
                <w:szCs w:val="1"/>
                <w:color w:val="auto"/>
              </w:rPr>
            </w:pPr>
          </w:p>
        </w:tc>
      </w:tr>
      <w:tr>
        <w:trPr>
          <w:trHeight w:val="108"/>
        </w:trPr>
        <w:tc>
          <w:tcPr>
            <w:tcW w:w="1840" w:type="dxa"/>
            <w:vAlign w:val="bottom"/>
            <w:tcBorders>
              <w:left w:val="single" w:sz="8" w:color="auto"/>
              <w:right w:val="single" w:sz="8" w:color="auto"/>
            </w:tcBorders>
          </w:tcPr>
          <w:p>
            <w:pPr>
              <w:spacing w:after="0"/>
              <w:rPr>
                <w:sz w:val="9"/>
                <w:szCs w:val="9"/>
                <w:color w:val="auto"/>
              </w:rPr>
            </w:pPr>
          </w:p>
        </w:tc>
        <w:tc>
          <w:tcPr>
            <w:tcW w:w="1660" w:type="dxa"/>
            <w:vAlign w:val="bottom"/>
            <w:tcBorders>
              <w:right w:val="single" w:sz="8" w:color="auto"/>
            </w:tcBorders>
            <w:vMerge w:val="continue"/>
          </w:tcPr>
          <w:p>
            <w:pPr>
              <w:spacing w:after="0"/>
              <w:rPr>
                <w:sz w:val="9"/>
                <w:szCs w:val="9"/>
                <w:color w:val="auto"/>
              </w:rPr>
            </w:pPr>
          </w:p>
        </w:tc>
        <w:tc>
          <w:tcPr>
            <w:tcW w:w="1680" w:type="dxa"/>
            <w:vAlign w:val="bottom"/>
            <w:tcBorders>
              <w:right w:val="single" w:sz="8" w:color="auto"/>
            </w:tcBorders>
            <w:vMerge w:val="continue"/>
          </w:tcPr>
          <w:p>
            <w:pPr>
              <w:spacing w:after="0"/>
              <w:rPr>
                <w:sz w:val="9"/>
                <w:szCs w:val="9"/>
                <w:color w:val="auto"/>
              </w:rPr>
            </w:pPr>
          </w:p>
        </w:tc>
        <w:tc>
          <w:tcPr>
            <w:tcW w:w="16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b w:val="1"/>
                <w:bCs w:val="1"/>
                <w:color w:val="auto"/>
                <w:w w:val="91"/>
              </w:rPr>
              <w:t>10,000)</w:t>
            </w:r>
          </w:p>
        </w:tc>
        <w:tc>
          <w:tcPr>
            <w:tcW w:w="1560" w:type="dxa"/>
            <w:vAlign w:val="bottom"/>
            <w:tcBorders>
              <w:right w:val="single" w:sz="8" w:color="auto"/>
            </w:tcBorders>
            <w:vMerge w:val="continue"/>
          </w:tcPr>
          <w:p>
            <w:pPr>
              <w:spacing w:after="0"/>
              <w:rPr>
                <w:sz w:val="9"/>
                <w:szCs w:val="9"/>
                <w:color w:val="auto"/>
              </w:rPr>
            </w:pPr>
          </w:p>
        </w:tc>
        <w:tc>
          <w:tcPr>
            <w:tcW w:w="1680" w:type="dxa"/>
            <w:vAlign w:val="bottom"/>
            <w:tcBorders>
              <w:right w:val="single" w:sz="8" w:color="auto"/>
            </w:tcBorders>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26"/>
        </w:trPr>
        <w:tc>
          <w:tcPr>
            <w:tcW w:w="1840" w:type="dxa"/>
            <w:vAlign w:val="bottom"/>
            <w:tcBorders>
              <w:left w:val="single" w:sz="8" w:color="auto"/>
              <w:right w:val="single" w:sz="8" w:color="auto"/>
            </w:tcBorders>
          </w:tcPr>
          <w:p>
            <w:pPr>
              <w:spacing w:after="0"/>
              <w:rPr>
                <w:sz w:val="10"/>
                <w:szCs w:val="10"/>
                <w:color w:val="auto"/>
              </w:rPr>
            </w:pPr>
          </w:p>
        </w:tc>
        <w:tc>
          <w:tcPr>
            <w:tcW w:w="1660" w:type="dxa"/>
            <w:vAlign w:val="bottom"/>
            <w:tcBorders>
              <w:right w:val="single" w:sz="8" w:color="auto"/>
            </w:tcBorders>
          </w:tcPr>
          <w:p>
            <w:pPr>
              <w:spacing w:after="0"/>
              <w:rPr>
                <w:sz w:val="10"/>
                <w:szCs w:val="10"/>
                <w:color w:val="auto"/>
              </w:rPr>
            </w:pPr>
          </w:p>
        </w:tc>
        <w:tc>
          <w:tcPr>
            <w:tcW w:w="1680" w:type="dxa"/>
            <w:vAlign w:val="bottom"/>
            <w:tcBorders>
              <w:right w:val="single" w:sz="8" w:color="auto"/>
            </w:tcBorders>
          </w:tcPr>
          <w:p>
            <w:pPr>
              <w:spacing w:after="0"/>
              <w:rPr>
                <w:sz w:val="10"/>
                <w:szCs w:val="10"/>
                <w:color w:val="auto"/>
              </w:rPr>
            </w:pPr>
          </w:p>
        </w:tc>
        <w:tc>
          <w:tcPr>
            <w:tcW w:w="1680" w:type="dxa"/>
            <w:vAlign w:val="bottom"/>
            <w:tcBorders>
              <w:right w:val="single" w:sz="8" w:color="auto"/>
            </w:tcBorders>
            <w:vMerge w:val="continue"/>
          </w:tcPr>
          <w:p>
            <w:pPr>
              <w:spacing w:after="0"/>
              <w:rPr>
                <w:sz w:val="10"/>
                <w:szCs w:val="10"/>
                <w:color w:val="auto"/>
              </w:rPr>
            </w:pPr>
          </w:p>
        </w:tc>
        <w:tc>
          <w:tcPr>
            <w:tcW w:w="1560" w:type="dxa"/>
            <w:vAlign w:val="bottom"/>
            <w:tcBorders>
              <w:right w:val="single" w:sz="8" w:color="auto"/>
            </w:tcBorders>
          </w:tcPr>
          <w:p>
            <w:pPr>
              <w:spacing w:after="0"/>
              <w:rPr>
                <w:sz w:val="10"/>
                <w:szCs w:val="10"/>
                <w:color w:val="auto"/>
              </w:rPr>
            </w:pPr>
          </w:p>
        </w:tc>
        <w:tc>
          <w:tcPr>
            <w:tcW w:w="16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b w:val="1"/>
                <w:bCs w:val="1"/>
                <w:color w:val="auto"/>
                <w:w w:val="89"/>
              </w:rPr>
              <w:t>2019</w:t>
            </w:r>
          </w:p>
        </w:tc>
        <w:tc>
          <w:tcPr>
            <w:tcW w:w="0" w:type="dxa"/>
            <w:vAlign w:val="bottom"/>
          </w:tcPr>
          <w:p>
            <w:pPr>
              <w:spacing w:after="0"/>
              <w:rPr>
                <w:sz w:val="1"/>
                <w:szCs w:val="1"/>
                <w:color w:val="auto"/>
              </w:rPr>
            </w:pPr>
          </w:p>
        </w:tc>
      </w:tr>
      <w:tr>
        <w:trPr>
          <w:trHeight w:val="115"/>
        </w:trPr>
        <w:tc>
          <w:tcPr>
            <w:tcW w:w="1840" w:type="dxa"/>
            <w:vAlign w:val="bottom"/>
            <w:tcBorders>
              <w:left w:val="single" w:sz="8" w:color="auto"/>
              <w:bottom w:val="single" w:sz="8" w:color="auto"/>
              <w:right w:val="single" w:sz="8" w:color="auto"/>
            </w:tcBorders>
          </w:tcPr>
          <w:p>
            <w:pPr>
              <w:spacing w:after="0"/>
              <w:rPr>
                <w:sz w:val="10"/>
                <w:szCs w:val="10"/>
                <w:color w:val="auto"/>
              </w:rPr>
            </w:pPr>
          </w:p>
        </w:tc>
        <w:tc>
          <w:tcPr>
            <w:tcW w:w="1660" w:type="dxa"/>
            <w:vAlign w:val="bottom"/>
            <w:tcBorders>
              <w:bottom w:val="single" w:sz="8" w:color="auto"/>
              <w:right w:val="single" w:sz="8" w:color="auto"/>
            </w:tcBorders>
          </w:tcPr>
          <w:p>
            <w:pPr>
              <w:spacing w:after="0"/>
              <w:rPr>
                <w:sz w:val="10"/>
                <w:szCs w:val="10"/>
                <w:color w:val="auto"/>
              </w:rPr>
            </w:pPr>
          </w:p>
        </w:tc>
        <w:tc>
          <w:tcPr>
            <w:tcW w:w="1680" w:type="dxa"/>
            <w:vAlign w:val="bottom"/>
            <w:tcBorders>
              <w:bottom w:val="single" w:sz="8" w:color="auto"/>
              <w:right w:val="single" w:sz="8" w:color="auto"/>
            </w:tcBorders>
          </w:tcPr>
          <w:p>
            <w:pPr>
              <w:spacing w:after="0"/>
              <w:rPr>
                <w:sz w:val="10"/>
                <w:szCs w:val="10"/>
                <w:color w:val="auto"/>
              </w:rPr>
            </w:pPr>
          </w:p>
        </w:tc>
        <w:tc>
          <w:tcPr>
            <w:tcW w:w="1680" w:type="dxa"/>
            <w:vAlign w:val="bottom"/>
            <w:tcBorders>
              <w:bottom w:val="single" w:sz="8" w:color="auto"/>
              <w:right w:val="single" w:sz="8" w:color="auto"/>
            </w:tcBorders>
          </w:tcPr>
          <w:p>
            <w:pPr>
              <w:spacing w:after="0"/>
              <w:rPr>
                <w:sz w:val="10"/>
                <w:szCs w:val="10"/>
                <w:color w:val="auto"/>
              </w:rPr>
            </w:pPr>
          </w:p>
        </w:tc>
        <w:tc>
          <w:tcPr>
            <w:tcW w:w="1560" w:type="dxa"/>
            <w:vAlign w:val="bottom"/>
            <w:tcBorders>
              <w:bottom w:val="single" w:sz="8" w:color="auto"/>
              <w:right w:val="single" w:sz="8" w:color="auto"/>
            </w:tcBorders>
          </w:tcPr>
          <w:p>
            <w:pPr>
              <w:spacing w:after="0"/>
              <w:rPr>
                <w:sz w:val="10"/>
                <w:szCs w:val="10"/>
                <w:color w:val="auto"/>
              </w:rPr>
            </w:pPr>
          </w:p>
        </w:tc>
        <w:tc>
          <w:tcPr>
            <w:tcW w:w="1680" w:type="dxa"/>
            <w:vAlign w:val="bottom"/>
            <w:tcBorders>
              <w:bottom w:val="single" w:sz="8" w:color="auto"/>
              <w:right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2"/>
        </w:trPr>
        <w:tc>
          <w:tcPr>
            <w:tcW w:w="1840" w:type="dxa"/>
            <w:vAlign w:val="bottom"/>
            <w:tcBorders>
              <w:left w:val="single" w:sz="8" w:color="auto"/>
              <w:right w:val="single" w:sz="8" w:color="auto"/>
            </w:tcBorders>
          </w:tcPr>
          <w:p>
            <w:pPr>
              <w:jc w:val="center"/>
              <w:spacing w:after="0" w:line="201" w:lineRule="exact"/>
              <w:rPr>
                <w:sz w:val="20"/>
                <w:szCs w:val="20"/>
                <w:color w:val="auto"/>
              </w:rPr>
            </w:pPr>
            <w:r>
              <w:rPr>
                <w:rFonts w:ascii="Arial" w:cs="Arial" w:eastAsia="Arial" w:hAnsi="Arial"/>
                <w:sz w:val="18"/>
                <w:szCs w:val="18"/>
                <w:color w:val="auto"/>
                <w:w w:val="92"/>
              </w:rPr>
              <w:t>Single-wafer cleaning</w:t>
            </w:r>
          </w:p>
        </w:tc>
        <w:tc>
          <w:tcPr>
            <w:tcW w:w="166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2"/>
              </w:rPr>
              <w:t>Ultra C378</w:t>
            </w:r>
          </w:p>
        </w:tc>
        <w:tc>
          <w:tcPr>
            <w:tcW w:w="16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9"/>
              </w:rPr>
              <w:t>1</w:t>
            </w:r>
          </w:p>
        </w:tc>
        <w:tc>
          <w:tcPr>
            <w:tcW w:w="1680" w:type="dxa"/>
            <w:vAlign w:val="bottom"/>
            <w:tcBorders>
              <w:right w:val="single" w:sz="8" w:color="auto"/>
            </w:tcBorders>
            <w:vMerge w:val="restart"/>
          </w:tcPr>
          <w:p>
            <w:pPr>
              <w:jc w:val="right"/>
              <w:spacing w:after="0"/>
              <w:rPr>
                <w:sz w:val="20"/>
                <w:szCs w:val="20"/>
                <w:color w:val="auto"/>
              </w:rPr>
            </w:pPr>
            <w:r>
              <w:rPr>
                <w:rFonts w:ascii="Arial" w:cs="Arial" w:eastAsia="Arial" w:hAnsi="Arial"/>
                <w:sz w:val="18"/>
                <w:szCs w:val="18"/>
                <w:color w:val="auto"/>
              </w:rPr>
              <w:t>280.00</w:t>
            </w:r>
          </w:p>
        </w:tc>
        <w:tc>
          <w:tcPr>
            <w:tcW w:w="156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2"/>
              </w:rPr>
              <w:t>Apr. 25, 2019</w:t>
            </w:r>
          </w:p>
        </w:tc>
        <w:tc>
          <w:tcPr>
            <w:tcW w:w="16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83"/>
              </w:rPr>
              <w:t>Yes</w:t>
            </w:r>
          </w:p>
        </w:tc>
        <w:tc>
          <w:tcPr>
            <w:tcW w:w="0" w:type="dxa"/>
            <w:vAlign w:val="bottom"/>
          </w:tcPr>
          <w:p>
            <w:pPr>
              <w:spacing w:after="0"/>
              <w:rPr>
                <w:sz w:val="1"/>
                <w:szCs w:val="1"/>
                <w:color w:val="auto"/>
              </w:rPr>
            </w:pPr>
          </w:p>
        </w:tc>
      </w:tr>
      <w:tr>
        <w:trPr>
          <w:trHeight w:val="122"/>
        </w:trPr>
        <w:tc>
          <w:tcPr>
            <w:tcW w:w="184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18"/>
                <w:szCs w:val="18"/>
                <w:color w:val="auto"/>
                <w:w w:val="90"/>
              </w:rPr>
              <w:t>equipment</w:t>
            </w:r>
          </w:p>
        </w:tc>
        <w:tc>
          <w:tcPr>
            <w:tcW w:w="1660" w:type="dxa"/>
            <w:vAlign w:val="bottom"/>
            <w:tcBorders>
              <w:right w:val="single" w:sz="8" w:color="auto"/>
            </w:tcBorders>
            <w:vMerge w:val="continue"/>
          </w:tcPr>
          <w:p>
            <w:pPr>
              <w:spacing w:after="0"/>
              <w:rPr>
                <w:sz w:val="10"/>
                <w:szCs w:val="10"/>
                <w:color w:val="auto"/>
              </w:rPr>
            </w:pPr>
          </w:p>
        </w:tc>
        <w:tc>
          <w:tcPr>
            <w:tcW w:w="1680" w:type="dxa"/>
            <w:vAlign w:val="bottom"/>
            <w:tcBorders>
              <w:right w:val="single" w:sz="8" w:color="auto"/>
            </w:tcBorders>
            <w:vMerge w:val="continue"/>
          </w:tcPr>
          <w:p>
            <w:pPr>
              <w:spacing w:after="0"/>
              <w:rPr>
                <w:sz w:val="10"/>
                <w:szCs w:val="10"/>
                <w:color w:val="auto"/>
              </w:rPr>
            </w:pPr>
          </w:p>
        </w:tc>
        <w:tc>
          <w:tcPr>
            <w:tcW w:w="1680" w:type="dxa"/>
            <w:vAlign w:val="bottom"/>
            <w:tcBorders>
              <w:right w:val="single" w:sz="8" w:color="auto"/>
            </w:tcBorders>
            <w:vMerge w:val="continue"/>
          </w:tcPr>
          <w:p>
            <w:pPr>
              <w:spacing w:after="0"/>
              <w:rPr>
                <w:sz w:val="10"/>
                <w:szCs w:val="10"/>
                <w:color w:val="auto"/>
              </w:rPr>
            </w:pPr>
          </w:p>
        </w:tc>
        <w:tc>
          <w:tcPr>
            <w:tcW w:w="1560" w:type="dxa"/>
            <w:vAlign w:val="bottom"/>
            <w:tcBorders>
              <w:right w:val="single" w:sz="8" w:color="auto"/>
            </w:tcBorders>
            <w:vMerge w:val="continue"/>
          </w:tcPr>
          <w:p>
            <w:pPr>
              <w:spacing w:after="0"/>
              <w:rPr>
                <w:sz w:val="10"/>
                <w:szCs w:val="10"/>
                <w:color w:val="auto"/>
              </w:rPr>
            </w:pPr>
          </w:p>
        </w:tc>
        <w:tc>
          <w:tcPr>
            <w:tcW w:w="1680" w:type="dxa"/>
            <w:vAlign w:val="bottom"/>
            <w:tcBorders>
              <w:right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15"/>
        </w:trPr>
        <w:tc>
          <w:tcPr>
            <w:tcW w:w="1840" w:type="dxa"/>
            <w:vAlign w:val="bottom"/>
            <w:tcBorders>
              <w:left w:val="single" w:sz="8" w:color="auto"/>
              <w:bottom w:val="single" w:sz="8" w:color="auto"/>
              <w:right w:val="single" w:sz="8" w:color="auto"/>
            </w:tcBorders>
            <w:vMerge w:val="continue"/>
          </w:tcPr>
          <w:p>
            <w:pPr>
              <w:spacing w:after="0"/>
              <w:rPr>
                <w:sz w:val="10"/>
                <w:szCs w:val="10"/>
                <w:color w:val="auto"/>
              </w:rPr>
            </w:pPr>
          </w:p>
        </w:tc>
        <w:tc>
          <w:tcPr>
            <w:tcW w:w="1660" w:type="dxa"/>
            <w:vAlign w:val="bottom"/>
            <w:tcBorders>
              <w:bottom w:val="single" w:sz="8" w:color="auto"/>
              <w:right w:val="single" w:sz="8" w:color="auto"/>
            </w:tcBorders>
          </w:tcPr>
          <w:p>
            <w:pPr>
              <w:spacing w:after="0"/>
              <w:rPr>
                <w:sz w:val="10"/>
                <w:szCs w:val="10"/>
                <w:color w:val="auto"/>
              </w:rPr>
            </w:pPr>
          </w:p>
        </w:tc>
        <w:tc>
          <w:tcPr>
            <w:tcW w:w="1680" w:type="dxa"/>
            <w:vAlign w:val="bottom"/>
            <w:tcBorders>
              <w:bottom w:val="single" w:sz="8" w:color="auto"/>
              <w:right w:val="single" w:sz="8" w:color="auto"/>
            </w:tcBorders>
          </w:tcPr>
          <w:p>
            <w:pPr>
              <w:spacing w:after="0"/>
              <w:rPr>
                <w:sz w:val="10"/>
                <w:szCs w:val="10"/>
                <w:color w:val="auto"/>
              </w:rPr>
            </w:pPr>
          </w:p>
        </w:tc>
        <w:tc>
          <w:tcPr>
            <w:tcW w:w="1680" w:type="dxa"/>
            <w:vAlign w:val="bottom"/>
            <w:tcBorders>
              <w:bottom w:val="single" w:sz="8" w:color="auto"/>
              <w:right w:val="single" w:sz="8" w:color="auto"/>
            </w:tcBorders>
          </w:tcPr>
          <w:p>
            <w:pPr>
              <w:spacing w:after="0"/>
              <w:rPr>
                <w:sz w:val="10"/>
                <w:szCs w:val="10"/>
                <w:color w:val="auto"/>
              </w:rPr>
            </w:pPr>
          </w:p>
        </w:tc>
        <w:tc>
          <w:tcPr>
            <w:tcW w:w="1560" w:type="dxa"/>
            <w:vAlign w:val="bottom"/>
            <w:tcBorders>
              <w:bottom w:val="single" w:sz="8" w:color="auto"/>
              <w:right w:val="single" w:sz="8" w:color="auto"/>
            </w:tcBorders>
          </w:tcPr>
          <w:p>
            <w:pPr>
              <w:spacing w:after="0"/>
              <w:rPr>
                <w:sz w:val="10"/>
                <w:szCs w:val="10"/>
                <w:color w:val="auto"/>
              </w:rPr>
            </w:pPr>
          </w:p>
        </w:tc>
        <w:tc>
          <w:tcPr>
            <w:tcW w:w="1680" w:type="dxa"/>
            <w:vAlign w:val="bottom"/>
            <w:tcBorders>
              <w:bottom w:val="single" w:sz="8" w:color="auto"/>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202"/>
        </w:trPr>
        <w:tc>
          <w:tcPr>
            <w:tcW w:w="1840" w:type="dxa"/>
            <w:vAlign w:val="bottom"/>
            <w:tcBorders>
              <w:left w:val="single" w:sz="8" w:color="auto"/>
              <w:right w:val="single" w:sz="8" w:color="auto"/>
            </w:tcBorders>
          </w:tcPr>
          <w:p>
            <w:pPr>
              <w:jc w:val="center"/>
              <w:spacing w:after="0" w:line="201" w:lineRule="exact"/>
              <w:rPr>
                <w:sz w:val="20"/>
                <w:szCs w:val="20"/>
                <w:color w:val="auto"/>
              </w:rPr>
            </w:pPr>
            <w:r>
              <w:rPr>
                <w:rFonts w:ascii="Arial" w:cs="Arial" w:eastAsia="Arial" w:hAnsi="Arial"/>
                <w:sz w:val="18"/>
                <w:szCs w:val="18"/>
                <w:color w:val="auto"/>
                <w:w w:val="92"/>
              </w:rPr>
              <w:t>Single-wafer cleaning</w:t>
            </w:r>
          </w:p>
        </w:tc>
        <w:tc>
          <w:tcPr>
            <w:tcW w:w="166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2"/>
              </w:rPr>
              <w:t>Ultra C348</w:t>
            </w:r>
          </w:p>
        </w:tc>
        <w:tc>
          <w:tcPr>
            <w:tcW w:w="16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9"/>
              </w:rPr>
              <w:t>1</w:t>
            </w:r>
          </w:p>
        </w:tc>
        <w:tc>
          <w:tcPr>
            <w:tcW w:w="1680" w:type="dxa"/>
            <w:vAlign w:val="bottom"/>
            <w:tcBorders>
              <w:right w:val="single" w:sz="8" w:color="auto"/>
            </w:tcBorders>
            <w:vMerge w:val="restart"/>
          </w:tcPr>
          <w:p>
            <w:pPr>
              <w:jc w:val="right"/>
              <w:spacing w:after="0"/>
              <w:rPr>
                <w:sz w:val="20"/>
                <w:szCs w:val="20"/>
                <w:color w:val="auto"/>
              </w:rPr>
            </w:pPr>
            <w:r>
              <w:rPr>
                <w:rFonts w:ascii="Arial" w:cs="Arial" w:eastAsia="Arial" w:hAnsi="Arial"/>
                <w:sz w:val="18"/>
                <w:szCs w:val="18"/>
                <w:color w:val="auto"/>
              </w:rPr>
              <w:t>320.00</w:t>
            </w:r>
          </w:p>
        </w:tc>
        <w:tc>
          <w:tcPr>
            <w:tcW w:w="156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0"/>
              </w:rPr>
              <w:t>Jul.1, 2020</w:t>
            </w:r>
          </w:p>
        </w:tc>
        <w:tc>
          <w:tcPr>
            <w:tcW w:w="16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5"/>
              </w:rPr>
              <w:t>No</w:t>
            </w:r>
          </w:p>
        </w:tc>
        <w:tc>
          <w:tcPr>
            <w:tcW w:w="0" w:type="dxa"/>
            <w:vAlign w:val="bottom"/>
          </w:tcPr>
          <w:p>
            <w:pPr>
              <w:spacing w:after="0"/>
              <w:rPr>
                <w:sz w:val="1"/>
                <w:szCs w:val="1"/>
                <w:color w:val="auto"/>
              </w:rPr>
            </w:pPr>
          </w:p>
        </w:tc>
      </w:tr>
      <w:tr>
        <w:trPr>
          <w:trHeight w:val="122"/>
        </w:trPr>
        <w:tc>
          <w:tcPr>
            <w:tcW w:w="184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18"/>
                <w:szCs w:val="18"/>
                <w:color w:val="auto"/>
                <w:w w:val="90"/>
              </w:rPr>
              <w:t>equipment</w:t>
            </w:r>
          </w:p>
        </w:tc>
        <w:tc>
          <w:tcPr>
            <w:tcW w:w="1660" w:type="dxa"/>
            <w:vAlign w:val="bottom"/>
            <w:tcBorders>
              <w:right w:val="single" w:sz="8" w:color="auto"/>
            </w:tcBorders>
            <w:vMerge w:val="continue"/>
          </w:tcPr>
          <w:p>
            <w:pPr>
              <w:spacing w:after="0"/>
              <w:rPr>
                <w:sz w:val="10"/>
                <w:szCs w:val="10"/>
                <w:color w:val="auto"/>
              </w:rPr>
            </w:pPr>
          </w:p>
        </w:tc>
        <w:tc>
          <w:tcPr>
            <w:tcW w:w="1680" w:type="dxa"/>
            <w:vAlign w:val="bottom"/>
            <w:tcBorders>
              <w:right w:val="single" w:sz="8" w:color="auto"/>
            </w:tcBorders>
            <w:vMerge w:val="continue"/>
          </w:tcPr>
          <w:p>
            <w:pPr>
              <w:spacing w:after="0"/>
              <w:rPr>
                <w:sz w:val="10"/>
                <w:szCs w:val="10"/>
                <w:color w:val="auto"/>
              </w:rPr>
            </w:pPr>
          </w:p>
        </w:tc>
        <w:tc>
          <w:tcPr>
            <w:tcW w:w="1680" w:type="dxa"/>
            <w:vAlign w:val="bottom"/>
            <w:tcBorders>
              <w:right w:val="single" w:sz="8" w:color="auto"/>
            </w:tcBorders>
            <w:vMerge w:val="continue"/>
          </w:tcPr>
          <w:p>
            <w:pPr>
              <w:spacing w:after="0"/>
              <w:rPr>
                <w:sz w:val="10"/>
                <w:szCs w:val="10"/>
                <w:color w:val="auto"/>
              </w:rPr>
            </w:pPr>
          </w:p>
        </w:tc>
        <w:tc>
          <w:tcPr>
            <w:tcW w:w="1560" w:type="dxa"/>
            <w:vAlign w:val="bottom"/>
            <w:tcBorders>
              <w:right w:val="single" w:sz="8" w:color="auto"/>
            </w:tcBorders>
            <w:vMerge w:val="continue"/>
          </w:tcPr>
          <w:p>
            <w:pPr>
              <w:spacing w:after="0"/>
              <w:rPr>
                <w:sz w:val="10"/>
                <w:szCs w:val="10"/>
                <w:color w:val="auto"/>
              </w:rPr>
            </w:pPr>
          </w:p>
        </w:tc>
        <w:tc>
          <w:tcPr>
            <w:tcW w:w="1680" w:type="dxa"/>
            <w:vAlign w:val="bottom"/>
            <w:tcBorders>
              <w:right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15"/>
        </w:trPr>
        <w:tc>
          <w:tcPr>
            <w:tcW w:w="1840" w:type="dxa"/>
            <w:vAlign w:val="bottom"/>
            <w:tcBorders>
              <w:left w:val="single" w:sz="8" w:color="auto"/>
              <w:bottom w:val="single" w:sz="8" w:color="auto"/>
              <w:right w:val="single" w:sz="8" w:color="auto"/>
            </w:tcBorders>
            <w:vMerge w:val="continue"/>
          </w:tcPr>
          <w:p>
            <w:pPr>
              <w:spacing w:after="0"/>
              <w:rPr>
                <w:sz w:val="10"/>
                <w:szCs w:val="10"/>
                <w:color w:val="auto"/>
              </w:rPr>
            </w:pPr>
          </w:p>
        </w:tc>
        <w:tc>
          <w:tcPr>
            <w:tcW w:w="1660" w:type="dxa"/>
            <w:vAlign w:val="bottom"/>
            <w:tcBorders>
              <w:bottom w:val="single" w:sz="8" w:color="auto"/>
              <w:right w:val="single" w:sz="8" w:color="auto"/>
            </w:tcBorders>
          </w:tcPr>
          <w:p>
            <w:pPr>
              <w:spacing w:after="0"/>
              <w:rPr>
                <w:sz w:val="10"/>
                <w:szCs w:val="10"/>
                <w:color w:val="auto"/>
              </w:rPr>
            </w:pPr>
          </w:p>
        </w:tc>
        <w:tc>
          <w:tcPr>
            <w:tcW w:w="1680" w:type="dxa"/>
            <w:vAlign w:val="bottom"/>
            <w:tcBorders>
              <w:bottom w:val="single" w:sz="8" w:color="auto"/>
              <w:right w:val="single" w:sz="8" w:color="auto"/>
            </w:tcBorders>
          </w:tcPr>
          <w:p>
            <w:pPr>
              <w:spacing w:after="0"/>
              <w:rPr>
                <w:sz w:val="10"/>
                <w:szCs w:val="10"/>
                <w:color w:val="auto"/>
              </w:rPr>
            </w:pPr>
          </w:p>
        </w:tc>
        <w:tc>
          <w:tcPr>
            <w:tcW w:w="1680" w:type="dxa"/>
            <w:vAlign w:val="bottom"/>
            <w:tcBorders>
              <w:bottom w:val="single" w:sz="8" w:color="auto"/>
              <w:right w:val="single" w:sz="8" w:color="auto"/>
            </w:tcBorders>
          </w:tcPr>
          <w:p>
            <w:pPr>
              <w:spacing w:after="0"/>
              <w:rPr>
                <w:sz w:val="10"/>
                <w:szCs w:val="10"/>
                <w:color w:val="auto"/>
              </w:rPr>
            </w:pPr>
          </w:p>
        </w:tc>
        <w:tc>
          <w:tcPr>
            <w:tcW w:w="1560" w:type="dxa"/>
            <w:vAlign w:val="bottom"/>
            <w:tcBorders>
              <w:bottom w:val="single" w:sz="8" w:color="auto"/>
              <w:right w:val="single" w:sz="8" w:color="auto"/>
            </w:tcBorders>
          </w:tcPr>
          <w:p>
            <w:pPr>
              <w:spacing w:after="0"/>
              <w:rPr>
                <w:sz w:val="10"/>
                <w:szCs w:val="10"/>
                <w:color w:val="auto"/>
              </w:rPr>
            </w:pPr>
          </w:p>
        </w:tc>
        <w:tc>
          <w:tcPr>
            <w:tcW w:w="1680" w:type="dxa"/>
            <w:vAlign w:val="bottom"/>
            <w:tcBorders>
              <w:bottom w:val="single" w:sz="8" w:color="auto"/>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The “2 sets of equipment” purchased in 2019 as referred to in the Short-sell Report, may come from the purchase plan under which 2 sets of equipment were negotiated between the Issuer and SMSC in one year, but the timing of delivery and thus revenue recognition for the two sets of equipment occurred in different years.</w:t>
      </w:r>
    </w:p>
    <w:p>
      <w:pPr>
        <w:spacing w:after="0" w:line="207"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(iii) Difference between Sales to Direct Customers and Final Customers in 2018</w:t>
      </w:r>
    </w:p>
    <w:p>
      <w:pPr>
        <w:spacing w:after="0" w:line="256"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The Issuer has clarified in the Reply to the Letter of First Round Review-related Inquiries “the reasons and the commercial rationality for Yangtze Memory and Huahong Group to purchase from the Issuer not only directly but also through Charter Base International and ACMR.” Products under some sales orders in 2018 were sold by the Issuer to Yangtze Memory and Huahong Group through Charter Base International and ACMR. With respect to such sales orders, the Issuer disclosed the sales by treating Charter Base International and ACMR as direct customers, while treating Yangtze Memory and Huahong Group as the final customers.</w:t>
      </w:r>
    </w:p>
    <w:p>
      <w:pPr>
        <w:spacing w:after="0" w:line="386"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8-4-1-74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78" w:name="page79"/>
    <w:bookmarkEnd w:id="78"/>
    <w:p>
      <w:pPr>
        <w:ind w:firstLine="324"/>
        <w:spacing w:after="0" w:line="251" w:lineRule="auto"/>
        <w:rPr>
          <w:sz w:val="20"/>
          <w:szCs w:val="20"/>
          <w:color w:val="auto"/>
        </w:rPr>
      </w:pPr>
      <w:r>
        <w:rPr>
          <w:rFonts w:ascii="Arial" w:cs="Arial" w:eastAsia="Arial" w:hAnsi="Arial"/>
          <w:sz w:val="22"/>
          <w:szCs w:val="22"/>
          <w:color w:val="auto"/>
        </w:rPr>
        <w:t>The details of the Issuer’s sales to Yangtze Memory and Huahong Group through Charter Base International and ACMR in 2018 are as follows:</w:t>
      </w:r>
    </w:p>
    <w:p>
      <w:pPr>
        <w:spacing w:after="0" w:line="200" w:lineRule="exact"/>
        <w:rPr>
          <w:sz w:val="20"/>
          <w:szCs w:val="20"/>
          <w:color w:val="auto"/>
        </w:rPr>
      </w:pPr>
    </w:p>
    <w:tbl>
      <w:tblPr>
        <w:tblLayout w:type="fixed"/>
        <w:tblInd w:w="10" w:type="dxa"/>
        <w:tblCellMar>
          <w:top w:w="0" w:type="dxa"/>
          <w:left w:w="0" w:type="dxa"/>
          <w:bottom w:w="0" w:type="dxa"/>
          <w:right w:w="0" w:type="dxa"/>
        </w:tblCellMar>
      </w:tblPr>
      <w:tr>
        <w:trPr>
          <w:trHeight w:val="274"/>
        </w:trPr>
        <w:tc>
          <w:tcPr>
            <w:tcW w:w="46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2460" w:type="dxa"/>
            <w:vAlign w:val="bottom"/>
          </w:tcPr>
          <w:p>
            <w:pPr>
              <w:spacing w:after="0"/>
              <w:rPr>
                <w:sz w:val="23"/>
                <w:szCs w:val="23"/>
                <w:color w:val="auto"/>
              </w:rPr>
            </w:pPr>
          </w:p>
        </w:tc>
        <w:tc>
          <w:tcPr>
            <w:tcW w:w="2660" w:type="dxa"/>
            <w:vAlign w:val="bottom"/>
          </w:tcPr>
          <w:p>
            <w:pPr>
              <w:spacing w:after="0"/>
              <w:rPr>
                <w:sz w:val="23"/>
                <w:szCs w:val="23"/>
                <w:color w:val="auto"/>
              </w:rPr>
            </w:pPr>
          </w:p>
        </w:tc>
        <w:tc>
          <w:tcPr>
            <w:tcW w:w="2240" w:type="dxa"/>
            <w:vAlign w:val="bottom"/>
          </w:tcPr>
          <w:p>
            <w:pPr>
              <w:spacing w:after="0"/>
              <w:rPr>
                <w:sz w:val="23"/>
                <w:szCs w:val="23"/>
                <w:color w:val="auto"/>
              </w:rPr>
            </w:pPr>
          </w:p>
        </w:tc>
        <w:tc>
          <w:tcPr>
            <w:tcW w:w="2440" w:type="dxa"/>
            <w:vAlign w:val="bottom"/>
          </w:tcPr>
          <w:p>
            <w:pPr>
              <w:jc w:val="right"/>
              <w:spacing w:after="0"/>
              <w:rPr>
                <w:sz w:val="20"/>
                <w:szCs w:val="20"/>
                <w:color w:val="auto"/>
              </w:rPr>
            </w:pPr>
            <w:r>
              <w:rPr>
                <w:rFonts w:ascii="Arial" w:cs="Arial" w:eastAsia="Arial" w:hAnsi="Arial"/>
                <w:sz w:val="22"/>
                <w:szCs w:val="22"/>
                <w:color w:val="auto"/>
              </w:rPr>
              <w:t>Unit: RMB10,000</w:t>
            </w:r>
          </w:p>
        </w:tc>
        <w:tc>
          <w:tcPr>
            <w:tcW w:w="0" w:type="dxa"/>
            <w:vAlign w:val="bottom"/>
          </w:tcPr>
          <w:p>
            <w:pPr>
              <w:spacing w:after="0"/>
              <w:rPr>
                <w:sz w:val="1"/>
                <w:szCs w:val="1"/>
                <w:color w:val="auto"/>
              </w:rPr>
            </w:pPr>
          </w:p>
        </w:tc>
      </w:tr>
      <w:tr>
        <w:trPr>
          <w:trHeight w:val="240"/>
        </w:trPr>
        <w:tc>
          <w:tcPr>
            <w:tcW w:w="46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spacing w:after="0"/>
              <w:rPr>
                <w:sz w:val="20"/>
                <w:szCs w:val="20"/>
                <w:color w:val="auto"/>
              </w:rPr>
            </w:pPr>
          </w:p>
        </w:tc>
        <w:tc>
          <w:tcPr>
            <w:tcW w:w="2460" w:type="dxa"/>
            <w:vAlign w:val="bottom"/>
            <w:tcBorders>
              <w:bottom w:val="single" w:sz="8" w:color="auto"/>
            </w:tcBorders>
          </w:tcPr>
          <w:p>
            <w:pPr>
              <w:spacing w:after="0"/>
              <w:rPr>
                <w:sz w:val="20"/>
                <w:szCs w:val="20"/>
                <w:color w:val="auto"/>
              </w:rPr>
            </w:pPr>
          </w:p>
        </w:tc>
        <w:tc>
          <w:tcPr>
            <w:tcW w:w="2660" w:type="dxa"/>
            <w:vAlign w:val="bottom"/>
            <w:tcBorders>
              <w:bottom w:val="single" w:sz="8" w:color="auto"/>
            </w:tcBorders>
          </w:tcPr>
          <w:p>
            <w:pPr>
              <w:spacing w:after="0"/>
              <w:rPr>
                <w:sz w:val="20"/>
                <w:szCs w:val="20"/>
                <w:color w:val="auto"/>
              </w:rPr>
            </w:pPr>
          </w:p>
        </w:tc>
        <w:tc>
          <w:tcPr>
            <w:tcW w:w="2240" w:type="dxa"/>
            <w:vAlign w:val="bottom"/>
            <w:tcBorders>
              <w:bottom w:val="single" w:sz="8" w:color="auto"/>
            </w:tcBorders>
          </w:tcPr>
          <w:p>
            <w:pPr>
              <w:spacing w:after="0"/>
              <w:rPr>
                <w:sz w:val="20"/>
                <w:szCs w:val="20"/>
                <w:color w:val="auto"/>
              </w:rPr>
            </w:pPr>
          </w:p>
        </w:tc>
        <w:tc>
          <w:tcPr>
            <w:tcW w:w="244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460" w:type="dxa"/>
            <w:vAlign w:val="bottom"/>
            <w:tcBorders>
              <w:left w:val="single" w:sz="8" w:color="auto"/>
            </w:tcBorders>
          </w:tcPr>
          <w:p>
            <w:pPr>
              <w:spacing w:after="0"/>
              <w:rPr>
                <w:sz w:val="17"/>
                <w:szCs w:val="17"/>
                <w:color w:val="auto"/>
              </w:rPr>
            </w:pPr>
          </w:p>
        </w:tc>
        <w:tc>
          <w:tcPr>
            <w:tcW w:w="980" w:type="dxa"/>
            <w:vAlign w:val="bottom"/>
            <w:tcBorders>
              <w:right w:val="single" w:sz="8" w:color="auto"/>
            </w:tcBorders>
            <w:vMerge w:val="restart"/>
          </w:tcPr>
          <w:p>
            <w:pPr>
              <w:ind w:left="80"/>
              <w:spacing w:after="0"/>
              <w:rPr>
                <w:sz w:val="20"/>
                <w:szCs w:val="20"/>
                <w:color w:val="auto"/>
              </w:rPr>
            </w:pPr>
            <w:r>
              <w:rPr>
                <w:rFonts w:ascii="Arial" w:cs="Arial" w:eastAsia="Arial" w:hAnsi="Arial"/>
                <w:sz w:val="18"/>
                <w:szCs w:val="18"/>
                <w:b w:val="1"/>
                <w:bCs w:val="1"/>
                <w:color w:val="auto"/>
              </w:rPr>
              <w:t>Year</w:t>
            </w:r>
          </w:p>
        </w:tc>
        <w:tc>
          <w:tcPr>
            <w:tcW w:w="2460" w:type="dxa"/>
            <w:vAlign w:val="bottom"/>
            <w:tcBorders>
              <w:right w:val="single" w:sz="8" w:color="auto"/>
            </w:tcBorders>
          </w:tcPr>
          <w:p>
            <w:pPr>
              <w:jc w:val="center"/>
              <w:spacing w:after="0" w:line="198" w:lineRule="exact"/>
              <w:rPr>
                <w:sz w:val="20"/>
                <w:szCs w:val="20"/>
                <w:color w:val="auto"/>
              </w:rPr>
            </w:pPr>
            <w:r>
              <w:rPr>
                <w:rFonts w:ascii="Arial" w:cs="Arial" w:eastAsia="Arial" w:hAnsi="Arial"/>
                <w:sz w:val="18"/>
                <w:szCs w:val="18"/>
                <w:b w:val="1"/>
                <w:bCs w:val="1"/>
                <w:color w:val="auto"/>
                <w:w w:val="88"/>
              </w:rPr>
              <w:t>Product</w:t>
            </w:r>
          </w:p>
        </w:tc>
        <w:tc>
          <w:tcPr>
            <w:tcW w:w="2660" w:type="dxa"/>
            <w:vAlign w:val="bottom"/>
            <w:tcBorders>
              <w:right w:val="single" w:sz="8" w:color="auto"/>
            </w:tcBorders>
          </w:tcPr>
          <w:p>
            <w:pPr>
              <w:jc w:val="center"/>
              <w:spacing w:after="0" w:line="198" w:lineRule="exact"/>
              <w:rPr>
                <w:sz w:val="20"/>
                <w:szCs w:val="20"/>
                <w:color w:val="auto"/>
              </w:rPr>
            </w:pPr>
            <w:r>
              <w:rPr>
                <w:rFonts w:ascii="Arial" w:cs="Arial" w:eastAsia="Arial" w:hAnsi="Arial"/>
                <w:sz w:val="18"/>
                <w:szCs w:val="18"/>
                <w:b w:val="1"/>
                <w:bCs w:val="1"/>
                <w:color w:val="auto"/>
                <w:w w:val="91"/>
              </w:rPr>
              <w:t>Name of final</w:t>
            </w:r>
          </w:p>
        </w:tc>
        <w:tc>
          <w:tcPr>
            <w:tcW w:w="2240" w:type="dxa"/>
            <w:vAlign w:val="bottom"/>
            <w:tcBorders>
              <w:right w:val="single" w:sz="8" w:color="auto"/>
            </w:tcBorders>
          </w:tcPr>
          <w:p>
            <w:pPr>
              <w:jc w:val="center"/>
              <w:spacing w:after="0" w:line="198" w:lineRule="exact"/>
              <w:rPr>
                <w:sz w:val="20"/>
                <w:szCs w:val="20"/>
                <w:color w:val="auto"/>
              </w:rPr>
            </w:pPr>
            <w:r>
              <w:rPr>
                <w:rFonts w:ascii="Arial" w:cs="Arial" w:eastAsia="Arial" w:hAnsi="Arial"/>
                <w:sz w:val="18"/>
                <w:szCs w:val="18"/>
                <w:b w:val="1"/>
                <w:bCs w:val="1"/>
                <w:color w:val="auto"/>
                <w:w w:val="91"/>
              </w:rPr>
              <w:t>Name of direct</w:t>
            </w:r>
          </w:p>
        </w:tc>
        <w:tc>
          <w:tcPr>
            <w:tcW w:w="2440" w:type="dxa"/>
            <w:vAlign w:val="bottom"/>
            <w:tcBorders>
              <w:right w:val="single" w:sz="8" w:color="auto"/>
            </w:tcBorders>
          </w:tcPr>
          <w:p>
            <w:pPr>
              <w:jc w:val="right"/>
              <w:ind w:right="587"/>
              <w:spacing w:after="0" w:line="198" w:lineRule="exact"/>
              <w:rPr>
                <w:sz w:val="20"/>
                <w:szCs w:val="20"/>
                <w:color w:val="auto"/>
              </w:rPr>
            </w:pPr>
            <w:r>
              <w:rPr>
                <w:rFonts w:ascii="Arial" w:cs="Arial" w:eastAsia="Arial" w:hAnsi="Arial"/>
                <w:sz w:val="18"/>
                <w:szCs w:val="18"/>
                <w:b w:val="1"/>
                <w:bCs w:val="1"/>
                <w:color w:val="auto"/>
              </w:rPr>
              <w:t>Sales revenue</w:t>
            </w:r>
          </w:p>
        </w:tc>
        <w:tc>
          <w:tcPr>
            <w:tcW w:w="0" w:type="dxa"/>
            <w:vAlign w:val="bottom"/>
          </w:tcPr>
          <w:p>
            <w:pPr>
              <w:spacing w:after="0"/>
              <w:rPr>
                <w:sz w:val="1"/>
                <w:szCs w:val="1"/>
                <w:color w:val="auto"/>
              </w:rPr>
            </w:pPr>
          </w:p>
        </w:tc>
      </w:tr>
      <w:tr>
        <w:trPr>
          <w:trHeight w:val="126"/>
        </w:trPr>
        <w:tc>
          <w:tcPr>
            <w:tcW w:w="460" w:type="dxa"/>
            <w:vAlign w:val="bottom"/>
            <w:tcBorders>
              <w:left w:val="single" w:sz="8" w:color="auto"/>
            </w:tcBorders>
          </w:tcPr>
          <w:p>
            <w:pPr>
              <w:spacing w:after="0"/>
              <w:rPr>
                <w:sz w:val="10"/>
                <w:szCs w:val="10"/>
                <w:color w:val="auto"/>
              </w:rPr>
            </w:pPr>
          </w:p>
        </w:tc>
        <w:tc>
          <w:tcPr>
            <w:tcW w:w="980" w:type="dxa"/>
            <w:vAlign w:val="bottom"/>
            <w:tcBorders>
              <w:right w:val="single" w:sz="8" w:color="auto"/>
            </w:tcBorders>
            <w:vMerge w:val="continue"/>
          </w:tcPr>
          <w:p>
            <w:pPr>
              <w:spacing w:after="0"/>
              <w:rPr>
                <w:sz w:val="10"/>
                <w:szCs w:val="10"/>
                <w:color w:val="auto"/>
              </w:rPr>
            </w:pPr>
          </w:p>
        </w:tc>
        <w:tc>
          <w:tcPr>
            <w:tcW w:w="246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b w:val="1"/>
                <w:bCs w:val="1"/>
                <w:color w:val="auto"/>
                <w:w w:val="87"/>
              </w:rPr>
              <w:t>classification</w:t>
            </w:r>
          </w:p>
        </w:tc>
        <w:tc>
          <w:tcPr>
            <w:tcW w:w="266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b w:val="1"/>
                <w:bCs w:val="1"/>
                <w:color w:val="auto"/>
                <w:w w:val="88"/>
              </w:rPr>
              <w:t>customer</w:t>
            </w:r>
          </w:p>
        </w:tc>
        <w:tc>
          <w:tcPr>
            <w:tcW w:w="224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b w:val="1"/>
                <w:bCs w:val="1"/>
                <w:color w:val="auto"/>
                <w:w w:val="86"/>
              </w:rPr>
              <w:t>customer</w:t>
            </w:r>
          </w:p>
        </w:tc>
        <w:tc>
          <w:tcPr>
            <w:tcW w:w="2440" w:type="dxa"/>
            <w:vAlign w:val="bottom"/>
            <w:tcBorders>
              <w:right w:val="single" w:sz="8" w:color="auto"/>
            </w:tcBorders>
            <w:vMerge w:val="restart"/>
          </w:tcPr>
          <w:p>
            <w:pPr>
              <w:jc w:val="right"/>
              <w:ind w:right="847"/>
              <w:spacing w:after="0"/>
              <w:rPr>
                <w:sz w:val="20"/>
                <w:szCs w:val="20"/>
                <w:color w:val="auto"/>
              </w:rPr>
            </w:pPr>
            <w:r>
              <w:rPr>
                <w:rFonts w:ascii="Arial" w:cs="Arial" w:eastAsia="Arial" w:hAnsi="Arial"/>
                <w:sz w:val="18"/>
                <w:szCs w:val="18"/>
                <w:b w:val="1"/>
                <w:bCs w:val="1"/>
                <w:color w:val="auto"/>
              </w:rPr>
              <w:t>amount</w:t>
            </w:r>
          </w:p>
        </w:tc>
        <w:tc>
          <w:tcPr>
            <w:tcW w:w="0" w:type="dxa"/>
            <w:vAlign w:val="bottom"/>
          </w:tcPr>
          <w:p>
            <w:pPr>
              <w:spacing w:after="0"/>
              <w:rPr>
                <w:sz w:val="1"/>
                <w:szCs w:val="1"/>
                <w:color w:val="auto"/>
              </w:rPr>
            </w:pPr>
          </w:p>
        </w:tc>
      </w:tr>
      <w:tr>
        <w:trPr>
          <w:trHeight w:val="115"/>
        </w:trPr>
        <w:tc>
          <w:tcPr>
            <w:tcW w:w="460" w:type="dxa"/>
            <w:vAlign w:val="bottom"/>
            <w:tcBorders>
              <w:left w:val="single" w:sz="8" w:color="auto"/>
              <w:bottom w:val="single" w:sz="8" w:color="auto"/>
            </w:tcBorders>
          </w:tcPr>
          <w:p>
            <w:pPr>
              <w:spacing w:after="0"/>
              <w:rPr>
                <w:sz w:val="10"/>
                <w:szCs w:val="10"/>
                <w:color w:val="auto"/>
              </w:rPr>
            </w:pPr>
          </w:p>
        </w:tc>
        <w:tc>
          <w:tcPr>
            <w:tcW w:w="980" w:type="dxa"/>
            <w:vAlign w:val="bottom"/>
            <w:tcBorders>
              <w:bottom w:val="single" w:sz="8" w:color="auto"/>
              <w:right w:val="single" w:sz="8" w:color="auto"/>
            </w:tcBorders>
          </w:tcPr>
          <w:p>
            <w:pPr>
              <w:spacing w:after="0"/>
              <w:rPr>
                <w:sz w:val="10"/>
                <w:szCs w:val="10"/>
                <w:color w:val="auto"/>
              </w:rPr>
            </w:pPr>
          </w:p>
        </w:tc>
        <w:tc>
          <w:tcPr>
            <w:tcW w:w="2460" w:type="dxa"/>
            <w:vAlign w:val="bottom"/>
            <w:tcBorders>
              <w:bottom w:val="single" w:sz="8" w:color="auto"/>
              <w:right w:val="single" w:sz="8" w:color="auto"/>
            </w:tcBorders>
            <w:vMerge w:val="continue"/>
          </w:tcPr>
          <w:p>
            <w:pPr>
              <w:spacing w:after="0"/>
              <w:rPr>
                <w:sz w:val="10"/>
                <w:szCs w:val="10"/>
                <w:color w:val="auto"/>
              </w:rPr>
            </w:pPr>
          </w:p>
        </w:tc>
        <w:tc>
          <w:tcPr>
            <w:tcW w:w="2660" w:type="dxa"/>
            <w:vAlign w:val="bottom"/>
            <w:tcBorders>
              <w:bottom w:val="single" w:sz="8" w:color="auto"/>
              <w:right w:val="single" w:sz="8" w:color="auto"/>
            </w:tcBorders>
            <w:vMerge w:val="continue"/>
          </w:tcPr>
          <w:p>
            <w:pPr>
              <w:spacing w:after="0"/>
              <w:rPr>
                <w:sz w:val="10"/>
                <w:szCs w:val="10"/>
                <w:color w:val="auto"/>
              </w:rPr>
            </w:pPr>
          </w:p>
        </w:tc>
        <w:tc>
          <w:tcPr>
            <w:tcW w:w="2240" w:type="dxa"/>
            <w:vAlign w:val="bottom"/>
            <w:tcBorders>
              <w:bottom w:val="single" w:sz="8" w:color="auto"/>
              <w:right w:val="single" w:sz="8" w:color="auto"/>
            </w:tcBorders>
            <w:vMerge w:val="continue"/>
          </w:tcPr>
          <w:p>
            <w:pPr>
              <w:spacing w:after="0"/>
              <w:rPr>
                <w:sz w:val="10"/>
                <w:szCs w:val="10"/>
                <w:color w:val="auto"/>
              </w:rPr>
            </w:pPr>
          </w:p>
        </w:tc>
        <w:tc>
          <w:tcPr>
            <w:tcW w:w="2440" w:type="dxa"/>
            <w:vAlign w:val="bottom"/>
            <w:tcBorders>
              <w:bottom w:val="single" w:sz="8" w:color="auto"/>
              <w:right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23"/>
        </w:trPr>
        <w:tc>
          <w:tcPr>
            <w:tcW w:w="460" w:type="dxa"/>
            <w:vAlign w:val="bottom"/>
            <w:tcBorders>
              <w:left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4"/>
              </w:rPr>
              <w:t>2018</w:t>
            </w:r>
          </w:p>
        </w:tc>
        <w:tc>
          <w:tcPr>
            <w:tcW w:w="980" w:type="dxa"/>
            <w:vAlign w:val="bottom"/>
            <w:tcBorders>
              <w:bottom w:val="single" w:sz="8" w:color="auto"/>
              <w:right w:val="single" w:sz="8" w:color="auto"/>
            </w:tcBorders>
          </w:tcPr>
          <w:p>
            <w:pPr>
              <w:spacing w:after="0"/>
              <w:rPr>
                <w:sz w:val="19"/>
                <w:szCs w:val="19"/>
                <w:color w:val="auto"/>
              </w:rPr>
            </w:pPr>
          </w:p>
        </w:tc>
        <w:tc>
          <w:tcPr>
            <w:tcW w:w="246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w w:val="92"/>
              </w:rPr>
              <w:t>Single-wafer cleaning equipment</w:t>
            </w:r>
          </w:p>
        </w:tc>
        <w:tc>
          <w:tcPr>
            <w:tcW w:w="266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Huahong Group</w:t>
            </w:r>
          </w:p>
        </w:tc>
        <w:tc>
          <w:tcPr>
            <w:tcW w:w="224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Charter Base International</w:t>
            </w:r>
          </w:p>
        </w:tc>
        <w:tc>
          <w:tcPr>
            <w:tcW w:w="244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2,646.96</w:t>
            </w:r>
          </w:p>
        </w:tc>
        <w:tc>
          <w:tcPr>
            <w:tcW w:w="0" w:type="dxa"/>
            <w:vAlign w:val="bottom"/>
          </w:tcPr>
          <w:p>
            <w:pPr>
              <w:spacing w:after="0"/>
              <w:rPr>
                <w:sz w:val="1"/>
                <w:szCs w:val="1"/>
                <w:color w:val="auto"/>
              </w:rPr>
            </w:pPr>
          </w:p>
        </w:tc>
      </w:tr>
      <w:tr>
        <w:trPr>
          <w:trHeight w:val="223"/>
        </w:trPr>
        <w:tc>
          <w:tcPr>
            <w:tcW w:w="460" w:type="dxa"/>
            <w:vAlign w:val="bottom"/>
            <w:tcBorders>
              <w:left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4"/>
              </w:rPr>
              <w:t>2018</w:t>
            </w:r>
          </w:p>
        </w:tc>
        <w:tc>
          <w:tcPr>
            <w:tcW w:w="980" w:type="dxa"/>
            <w:vAlign w:val="bottom"/>
            <w:tcBorders>
              <w:bottom w:val="single" w:sz="8" w:color="auto"/>
              <w:right w:val="single" w:sz="8" w:color="auto"/>
            </w:tcBorders>
          </w:tcPr>
          <w:p>
            <w:pPr>
              <w:spacing w:after="0"/>
              <w:rPr>
                <w:sz w:val="19"/>
                <w:szCs w:val="19"/>
                <w:color w:val="auto"/>
              </w:rPr>
            </w:pPr>
          </w:p>
        </w:tc>
        <w:tc>
          <w:tcPr>
            <w:tcW w:w="246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w w:val="92"/>
              </w:rPr>
              <w:t>Single-wafer cleaning equipment</w:t>
            </w:r>
          </w:p>
        </w:tc>
        <w:tc>
          <w:tcPr>
            <w:tcW w:w="266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Yangtze Memory</w:t>
            </w:r>
          </w:p>
        </w:tc>
        <w:tc>
          <w:tcPr>
            <w:tcW w:w="224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ACMR</w:t>
            </w:r>
          </w:p>
        </w:tc>
        <w:tc>
          <w:tcPr>
            <w:tcW w:w="244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2,992.42</w:t>
            </w:r>
          </w:p>
        </w:tc>
        <w:tc>
          <w:tcPr>
            <w:tcW w:w="0" w:type="dxa"/>
            <w:vAlign w:val="bottom"/>
          </w:tcPr>
          <w:p>
            <w:pPr>
              <w:spacing w:after="0"/>
              <w:rPr>
                <w:sz w:val="1"/>
                <w:szCs w:val="1"/>
                <w:color w:val="auto"/>
              </w:rPr>
            </w:pPr>
          </w:p>
        </w:tc>
      </w:tr>
      <w:tr>
        <w:trPr>
          <w:trHeight w:val="223"/>
        </w:trPr>
        <w:tc>
          <w:tcPr>
            <w:tcW w:w="460" w:type="dxa"/>
            <w:vAlign w:val="bottom"/>
            <w:tcBorders>
              <w:left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4"/>
              </w:rPr>
              <w:t>2018</w:t>
            </w:r>
          </w:p>
        </w:tc>
        <w:tc>
          <w:tcPr>
            <w:tcW w:w="980" w:type="dxa"/>
            <w:vAlign w:val="bottom"/>
            <w:tcBorders>
              <w:bottom w:val="single" w:sz="8" w:color="auto"/>
              <w:right w:val="single" w:sz="8" w:color="auto"/>
            </w:tcBorders>
          </w:tcPr>
          <w:p>
            <w:pPr>
              <w:spacing w:after="0"/>
              <w:rPr>
                <w:sz w:val="19"/>
                <w:szCs w:val="19"/>
                <w:color w:val="auto"/>
              </w:rPr>
            </w:pPr>
          </w:p>
        </w:tc>
        <w:tc>
          <w:tcPr>
            <w:tcW w:w="246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w w:val="92"/>
              </w:rPr>
              <w:t>Single-wafer cleaning equipment</w:t>
            </w:r>
          </w:p>
        </w:tc>
        <w:tc>
          <w:tcPr>
            <w:tcW w:w="266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Yangtze Memory</w:t>
            </w:r>
          </w:p>
        </w:tc>
        <w:tc>
          <w:tcPr>
            <w:tcW w:w="224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ACMR</w:t>
            </w:r>
          </w:p>
        </w:tc>
        <w:tc>
          <w:tcPr>
            <w:tcW w:w="244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3,089.51</w:t>
            </w:r>
          </w:p>
        </w:tc>
        <w:tc>
          <w:tcPr>
            <w:tcW w:w="0" w:type="dxa"/>
            <w:vAlign w:val="bottom"/>
          </w:tcPr>
          <w:p>
            <w:pPr>
              <w:spacing w:after="0"/>
              <w:rPr>
                <w:sz w:val="1"/>
                <w:szCs w:val="1"/>
                <w:color w:val="auto"/>
              </w:rPr>
            </w:pPr>
          </w:p>
        </w:tc>
      </w:tr>
    </w:tbl>
    <w:p>
      <w:pPr>
        <w:spacing w:after="0" w:line="222" w:lineRule="exact"/>
        <w:rPr>
          <w:sz w:val="20"/>
          <w:szCs w:val="20"/>
          <w:color w:val="auto"/>
        </w:rPr>
      </w:pPr>
    </w:p>
    <w:p>
      <w:pPr>
        <w:jc w:val="both"/>
        <w:ind w:right="20" w:firstLine="324"/>
        <w:spacing w:after="0" w:line="250" w:lineRule="auto"/>
        <w:rPr>
          <w:sz w:val="20"/>
          <w:szCs w:val="20"/>
          <w:color w:val="auto"/>
        </w:rPr>
      </w:pPr>
      <w:r>
        <w:rPr>
          <w:rFonts w:ascii="Arial" w:cs="Arial" w:eastAsia="Arial" w:hAnsi="Arial"/>
          <w:sz w:val="22"/>
          <w:szCs w:val="22"/>
          <w:color w:val="auto"/>
        </w:rPr>
        <w:t>Therefore, it is reasonable for the difference between the sales data disclosed for the top five customers and that for the top five final customers as to the sales revenue from Yangtze Memory and Huahong Group in 2018.</w:t>
      </w:r>
    </w:p>
    <w:p>
      <w:pPr>
        <w:spacing w:after="0" w:line="196" w:lineRule="exact"/>
        <w:rPr>
          <w:sz w:val="20"/>
          <w:szCs w:val="20"/>
          <w:color w:val="auto"/>
        </w:rPr>
      </w:pPr>
    </w:p>
    <w:p>
      <w:pPr>
        <w:ind w:left="340"/>
        <w:spacing w:after="0"/>
        <w:rPr>
          <w:sz w:val="20"/>
          <w:szCs w:val="20"/>
          <w:color w:val="auto"/>
        </w:rPr>
      </w:pPr>
      <w:r>
        <w:rPr>
          <w:rFonts w:ascii="Arial" w:cs="Arial" w:eastAsia="Arial" w:hAnsi="Arial"/>
          <w:sz w:val="22"/>
          <w:szCs w:val="22"/>
          <w:b w:val="1"/>
          <w:bCs w:val="1"/>
          <w:color w:val="auto"/>
        </w:rPr>
        <w:t>(iv) Clarification as to Acting as Own “agent”</w:t>
      </w:r>
    </w:p>
    <w:p>
      <w:pPr>
        <w:spacing w:after="0" w:line="246"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color w:val="auto"/>
        </w:rPr>
        <w:t>No customer acts as its own “agent.” The Company has made disclosure and clarification in “Section VII. X. (I) Recurrent Related-Party Transactions” of the Prospectus and “Q15.1” in the Reply to the Letter of First Round Review-related Inquiries, as detailed below:</w:t>
      </w:r>
    </w:p>
    <w:p>
      <w:pPr>
        <w:spacing w:after="0" w:line="197" w:lineRule="exact"/>
        <w:rPr>
          <w:sz w:val="20"/>
          <w:szCs w:val="20"/>
          <w:color w:val="auto"/>
        </w:rPr>
      </w:pPr>
    </w:p>
    <w:p>
      <w:pPr>
        <w:jc w:val="both"/>
        <w:ind w:firstLine="332"/>
        <w:spacing w:after="0" w:line="275" w:lineRule="auto"/>
        <w:tabs>
          <w:tab w:leader="none" w:pos="516" w:val="left"/>
        </w:tabs>
        <w:numPr>
          <w:ilvl w:val="0"/>
          <w:numId w:val="86"/>
        </w:numPr>
        <w:rPr>
          <w:rFonts w:ascii="Arial" w:cs="Arial" w:eastAsia="Arial" w:hAnsi="Arial"/>
          <w:sz w:val="17"/>
          <w:szCs w:val="17"/>
          <w:color w:val="auto"/>
        </w:rPr>
      </w:pPr>
      <w:r>
        <w:rPr>
          <w:rFonts w:ascii="Arial" w:cs="Arial" w:eastAsia="Arial" w:hAnsi="Arial"/>
          <w:sz w:val="17"/>
          <w:szCs w:val="17"/>
          <w:color w:val="auto"/>
        </w:rPr>
        <w:t>The reasons why Yangtze Memory purchases both directly from the Issuer and indirectly through ACMR lie in the following: The Company sold products through ACMR because ACMR was a U.S. listed company with a higher profile. When some customers initially conducted business with the Company, they requested to sign contracts with ACMR to ensure contract performance. In the early stage of cooperation with the Company, Yangtze Memory requested to sign the sales contract directly with ACMR. After many transactions, Yangtze Memory recognized the Company’s products and contract performance capability, and thereafter signed sales contracts directly with the Company.</w:t>
      </w:r>
    </w:p>
    <w:p>
      <w:pPr>
        <w:spacing w:after="0" w:line="203"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In the sales by the Issuer to the final customers through ACMR, the difference between the price of products sold by the Issuer to ACMR and the price sold to the final customers by ACMR represented the cost incurred by ACMR to undertake the orders, which is reasonable.</w:t>
      </w:r>
    </w:p>
    <w:p>
      <w:pPr>
        <w:spacing w:after="0" w:line="19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In sum, Yangtze Memory did not act as its own “agent.”</w:t>
      </w:r>
    </w:p>
    <w:p>
      <w:pPr>
        <w:spacing w:after="0" w:line="252" w:lineRule="exact"/>
        <w:rPr>
          <w:sz w:val="20"/>
          <w:szCs w:val="20"/>
          <w:color w:val="auto"/>
        </w:rPr>
      </w:pPr>
    </w:p>
    <w:p>
      <w:pPr>
        <w:jc w:val="both"/>
        <w:ind w:firstLine="332"/>
        <w:spacing w:after="0" w:line="259" w:lineRule="auto"/>
        <w:tabs>
          <w:tab w:leader="none" w:pos="524" w:val="left"/>
        </w:tabs>
        <w:numPr>
          <w:ilvl w:val="0"/>
          <w:numId w:val="87"/>
        </w:numPr>
        <w:rPr>
          <w:rFonts w:ascii="Arial" w:cs="Arial" w:eastAsia="Arial" w:hAnsi="Arial"/>
          <w:sz w:val="18"/>
          <w:szCs w:val="18"/>
          <w:color w:val="auto"/>
        </w:rPr>
      </w:pPr>
      <w:r>
        <w:rPr>
          <w:rFonts w:ascii="Arial" w:cs="Arial" w:eastAsia="Arial" w:hAnsi="Arial"/>
          <w:sz w:val="18"/>
          <w:szCs w:val="18"/>
          <w:color w:val="auto"/>
        </w:rPr>
        <w:t>Before 2018, CleanChip HK, the subsidiary of the Issuer, was not established. Most of the Issuer’s export business was carried out through the import and export service provider, Charter Base International. Specifically, the products would first be sold to Charter Base International, which would, after going through customs procedures for the products, sell the products to the final customers at the same price. The Company would pay to Charter Base International the export agency fees.</w:t>
      </w:r>
    </w:p>
    <w:p>
      <w:pPr>
        <w:spacing w:after="0" w:line="214" w:lineRule="exact"/>
        <w:rPr>
          <w:sz w:val="20"/>
          <w:szCs w:val="20"/>
          <w:color w:val="auto"/>
        </w:rPr>
      </w:pPr>
    </w:p>
    <w:p>
      <w:pPr>
        <w:ind w:right="20" w:firstLine="324"/>
        <w:spacing w:after="0" w:line="277" w:lineRule="auto"/>
        <w:rPr>
          <w:sz w:val="20"/>
          <w:szCs w:val="20"/>
          <w:color w:val="auto"/>
        </w:rPr>
      </w:pPr>
      <w:r>
        <w:rPr>
          <w:rFonts w:ascii="Arial" w:cs="Arial" w:eastAsia="Arial" w:hAnsi="Arial"/>
          <w:sz w:val="18"/>
          <w:szCs w:val="18"/>
          <w:color w:val="auto"/>
        </w:rPr>
        <w:t>After 2018, CleanChip HK was officially established and put into operation. The Issuer’s export business was conducted through CleanChip HK, and the Company ceased to conduct the export agency business with Charter Base International.</w:t>
      </w:r>
    </w:p>
    <w:p>
      <w:pPr>
        <w:spacing w:after="0" w:line="19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In sum, Huahong Group was not acting as its own “agent.”</w:t>
      </w:r>
    </w:p>
    <w:p>
      <w:pPr>
        <w:spacing w:after="0" w:line="252" w:lineRule="exact"/>
        <w:rPr>
          <w:sz w:val="20"/>
          <w:szCs w:val="20"/>
          <w:color w:val="auto"/>
        </w:rPr>
      </w:pPr>
    </w:p>
    <w:p>
      <w:pPr>
        <w:ind w:left="340"/>
        <w:spacing w:after="0"/>
        <w:rPr>
          <w:sz w:val="20"/>
          <w:szCs w:val="20"/>
          <w:color w:val="auto"/>
        </w:rPr>
      </w:pPr>
      <w:r>
        <w:rPr>
          <w:rFonts w:ascii="Arial" w:cs="Arial" w:eastAsia="Arial" w:hAnsi="Arial"/>
          <w:sz w:val="18"/>
          <w:szCs w:val="18"/>
          <w:color w:val="auto"/>
        </w:rPr>
        <w:t>JCAP mistakenly interpreted the sales mode of the Company when reviewing the relevant information.</w:t>
      </w:r>
    </w:p>
    <w:p>
      <w:pPr>
        <w:spacing w:after="0" w:line="239" w:lineRule="exact"/>
        <w:rPr>
          <w:sz w:val="20"/>
          <w:szCs w:val="20"/>
          <w:color w:val="auto"/>
        </w:rPr>
      </w:pPr>
    </w:p>
    <w:p>
      <w:pPr>
        <w:ind w:left="600" w:hanging="268"/>
        <w:spacing w:after="0"/>
        <w:tabs>
          <w:tab w:leader="none" w:pos="600" w:val="left"/>
        </w:tabs>
        <w:numPr>
          <w:ilvl w:val="0"/>
          <w:numId w:val="88"/>
        </w:numPr>
        <w:rPr>
          <w:rFonts w:ascii="Arial" w:cs="Arial" w:eastAsia="Arial" w:hAnsi="Arial"/>
          <w:sz w:val="22"/>
          <w:szCs w:val="22"/>
          <w:b w:val="1"/>
          <w:bCs w:val="1"/>
          <w:color w:val="auto"/>
        </w:rPr>
      </w:pPr>
      <w:r>
        <w:rPr>
          <w:rFonts w:ascii="Arial" w:cs="Arial" w:eastAsia="Arial" w:hAnsi="Arial"/>
          <w:sz w:val="22"/>
          <w:szCs w:val="22"/>
          <w:b w:val="1"/>
          <w:bCs w:val="1"/>
          <w:color w:val="auto"/>
        </w:rPr>
        <w:t>Verification Procedures and Opinions</w:t>
      </w:r>
    </w:p>
    <w:p>
      <w:pPr>
        <w:spacing w:after="0" w:line="233" w:lineRule="exact"/>
        <w:rPr>
          <w:rFonts w:ascii="Arial" w:cs="Arial" w:eastAsia="Arial" w:hAnsi="Arial"/>
          <w:sz w:val="22"/>
          <w:szCs w:val="22"/>
          <w:b w:val="1"/>
          <w:bCs w:val="1"/>
          <w:color w:val="auto"/>
        </w:rPr>
      </w:pPr>
    </w:p>
    <w:p>
      <w:pPr>
        <w:ind w:left="340"/>
        <w:spacing w:after="0"/>
        <w:rPr>
          <w:rFonts w:ascii="Arial" w:cs="Arial" w:eastAsia="Arial" w:hAnsi="Arial"/>
          <w:sz w:val="22"/>
          <w:szCs w:val="22"/>
          <w:b w:val="1"/>
          <w:bCs w:val="1"/>
          <w:color w:val="auto"/>
        </w:rPr>
      </w:pPr>
      <w:r>
        <w:rPr>
          <w:rFonts w:ascii="Arial" w:cs="Arial" w:eastAsia="Arial" w:hAnsi="Arial"/>
          <w:sz w:val="22"/>
          <w:szCs w:val="22"/>
          <w:b w:val="1"/>
          <w:bCs w:val="1"/>
          <w:color w:val="auto"/>
        </w:rPr>
        <w:t>(i) Verification Procedures</w:t>
      </w:r>
    </w:p>
    <w:p>
      <w:pPr>
        <w:spacing w:after="0" w:line="246" w:lineRule="exact"/>
        <w:rPr>
          <w:sz w:val="20"/>
          <w:szCs w:val="20"/>
          <w:color w:val="auto"/>
        </w:rPr>
      </w:pPr>
    </w:p>
    <w:p>
      <w:pPr>
        <w:ind w:left="340"/>
        <w:spacing w:after="0"/>
        <w:rPr>
          <w:sz w:val="20"/>
          <w:szCs w:val="20"/>
          <w:color w:val="auto"/>
        </w:rPr>
      </w:pPr>
      <w:r>
        <w:rPr>
          <w:rFonts w:ascii="Arial" w:cs="Arial" w:eastAsia="Arial" w:hAnsi="Arial"/>
          <w:sz w:val="18"/>
          <w:szCs w:val="18"/>
          <w:color w:val="auto"/>
        </w:rPr>
        <w:t>Before the release of the Short-sell Report, the Sponsor performed the following verification procedures:</w:t>
      </w: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8-4-1-75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79" w:name="page80"/>
    <w:bookmarkEnd w:id="79"/>
    <w:p>
      <w:pPr>
        <w:jc w:val="both"/>
        <w:ind w:firstLine="332"/>
        <w:spacing w:after="0" w:line="241" w:lineRule="auto"/>
        <w:tabs>
          <w:tab w:leader="none" w:pos="557" w:val="left"/>
        </w:tabs>
        <w:numPr>
          <w:ilvl w:val="0"/>
          <w:numId w:val="89"/>
        </w:numPr>
        <w:rPr>
          <w:rFonts w:ascii="Arial" w:cs="Arial" w:eastAsia="Arial" w:hAnsi="Arial"/>
          <w:sz w:val="22"/>
          <w:szCs w:val="22"/>
          <w:color w:val="auto"/>
        </w:rPr>
      </w:pPr>
      <w:r>
        <w:rPr>
          <w:rFonts w:ascii="Arial" w:cs="Arial" w:eastAsia="Arial" w:hAnsi="Arial"/>
          <w:sz w:val="22"/>
          <w:szCs w:val="22"/>
          <w:color w:val="auto"/>
        </w:rPr>
        <w:t>Having access to the sales details and relevant sales contracts and checking the EX-warehouse records, customer receipt records, acceptance forms and relevant sales collection records of relevant sales products to verify the authenticity of sales revenue;</w:t>
      </w:r>
    </w:p>
    <w:p>
      <w:pPr>
        <w:spacing w:after="0" w:line="217" w:lineRule="exact"/>
        <w:rPr>
          <w:rFonts w:ascii="Arial" w:cs="Arial" w:eastAsia="Arial" w:hAnsi="Arial"/>
          <w:sz w:val="22"/>
          <w:szCs w:val="22"/>
          <w:color w:val="auto"/>
        </w:rPr>
      </w:pPr>
    </w:p>
    <w:p>
      <w:pPr>
        <w:ind w:left="520" w:hanging="188"/>
        <w:spacing w:after="0"/>
        <w:tabs>
          <w:tab w:leader="none" w:pos="520" w:val="left"/>
        </w:tabs>
        <w:numPr>
          <w:ilvl w:val="0"/>
          <w:numId w:val="89"/>
        </w:numPr>
        <w:rPr>
          <w:rFonts w:ascii="Arial" w:cs="Arial" w:eastAsia="Arial" w:hAnsi="Arial"/>
          <w:sz w:val="18"/>
          <w:szCs w:val="18"/>
          <w:color w:val="auto"/>
        </w:rPr>
      </w:pPr>
      <w:r>
        <w:rPr>
          <w:rFonts w:ascii="Arial" w:cs="Arial" w:eastAsia="Arial" w:hAnsi="Arial"/>
          <w:sz w:val="18"/>
          <w:szCs w:val="18"/>
          <w:color w:val="auto"/>
        </w:rPr>
        <w:t>Checking the sales mode of the Issuer during the Reporting Period through interviews;</w:t>
      </w:r>
    </w:p>
    <w:p>
      <w:pPr>
        <w:spacing w:after="0" w:line="252" w:lineRule="exact"/>
        <w:rPr>
          <w:rFonts w:ascii="Arial" w:cs="Arial" w:eastAsia="Arial" w:hAnsi="Arial"/>
          <w:sz w:val="18"/>
          <w:szCs w:val="18"/>
          <w:color w:val="auto"/>
        </w:rPr>
      </w:pPr>
    </w:p>
    <w:p>
      <w:pPr>
        <w:ind w:left="520" w:hanging="188"/>
        <w:spacing w:after="0"/>
        <w:tabs>
          <w:tab w:leader="none" w:pos="520" w:val="left"/>
        </w:tabs>
        <w:numPr>
          <w:ilvl w:val="0"/>
          <w:numId w:val="89"/>
        </w:numPr>
        <w:rPr>
          <w:rFonts w:ascii="Arial" w:cs="Arial" w:eastAsia="Arial" w:hAnsi="Arial"/>
          <w:sz w:val="18"/>
          <w:szCs w:val="18"/>
          <w:color w:val="auto"/>
        </w:rPr>
      </w:pPr>
      <w:r>
        <w:rPr>
          <w:rFonts w:ascii="Arial" w:cs="Arial" w:eastAsia="Arial" w:hAnsi="Arial"/>
          <w:sz w:val="18"/>
          <w:szCs w:val="18"/>
          <w:color w:val="auto"/>
        </w:rPr>
        <w:t>Seeking confirmation on the income and accounts receivable from key customers by sending letters; and</w:t>
      </w:r>
    </w:p>
    <w:p>
      <w:pPr>
        <w:spacing w:after="0" w:line="252" w:lineRule="exact"/>
        <w:rPr>
          <w:rFonts w:ascii="Arial" w:cs="Arial" w:eastAsia="Arial" w:hAnsi="Arial"/>
          <w:sz w:val="18"/>
          <w:szCs w:val="18"/>
          <w:color w:val="auto"/>
        </w:rPr>
      </w:pPr>
    </w:p>
    <w:p>
      <w:pPr>
        <w:ind w:left="520" w:hanging="188"/>
        <w:spacing w:after="0"/>
        <w:tabs>
          <w:tab w:leader="none" w:pos="520" w:val="left"/>
        </w:tabs>
        <w:numPr>
          <w:ilvl w:val="0"/>
          <w:numId w:val="89"/>
        </w:numPr>
        <w:rPr>
          <w:rFonts w:ascii="Arial" w:cs="Arial" w:eastAsia="Arial" w:hAnsi="Arial"/>
          <w:sz w:val="18"/>
          <w:szCs w:val="18"/>
          <w:color w:val="auto"/>
        </w:rPr>
      </w:pPr>
      <w:r>
        <w:rPr>
          <w:rFonts w:ascii="Arial" w:cs="Arial" w:eastAsia="Arial" w:hAnsi="Arial"/>
          <w:sz w:val="18"/>
          <w:szCs w:val="18"/>
          <w:color w:val="auto"/>
        </w:rPr>
        <w:t>Interviewing customers to understand their business relationship with the Issuer.</w:t>
      </w:r>
    </w:p>
    <w:p>
      <w:pPr>
        <w:spacing w:after="0" w:line="252"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After the release of the Short-sell Report, the Sponsor performed the following further procedures with respect to the sales revenue:</w:t>
      </w:r>
    </w:p>
    <w:p>
      <w:pPr>
        <w:spacing w:after="0" w:line="252" w:lineRule="exact"/>
        <w:rPr>
          <w:sz w:val="20"/>
          <w:szCs w:val="20"/>
          <w:color w:val="auto"/>
        </w:rPr>
      </w:pPr>
    </w:p>
    <w:p>
      <w:pPr>
        <w:ind w:left="520" w:hanging="188"/>
        <w:spacing w:after="0"/>
        <w:tabs>
          <w:tab w:leader="none" w:pos="520" w:val="left"/>
        </w:tabs>
        <w:numPr>
          <w:ilvl w:val="0"/>
          <w:numId w:val="90"/>
        </w:numPr>
        <w:rPr>
          <w:rFonts w:ascii="Arial" w:cs="Arial" w:eastAsia="Arial" w:hAnsi="Arial"/>
          <w:sz w:val="18"/>
          <w:szCs w:val="18"/>
          <w:color w:val="auto"/>
        </w:rPr>
      </w:pPr>
      <w:r>
        <w:rPr>
          <w:rFonts w:ascii="Arial" w:cs="Arial" w:eastAsia="Arial" w:hAnsi="Arial"/>
          <w:sz w:val="18"/>
          <w:szCs w:val="18"/>
          <w:color w:val="auto"/>
        </w:rPr>
        <w:t>Reviewing the sales contracts and acceptance forms of SMIC to reexamine the accuracy of the Company’s revenue from SMIC; and</w:t>
      </w:r>
    </w:p>
    <w:p>
      <w:pPr>
        <w:spacing w:after="0" w:line="244" w:lineRule="exact"/>
        <w:rPr>
          <w:rFonts w:ascii="Arial" w:cs="Arial" w:eastAsia="Arial" w:hAnsi="Arial"/>
          <w:sz w:val="18"/>
          <w:szCs w:val="18"/>
          <w:color w:val="auto"/>
        </w:rPr>
      </w:pPr>
    </w:p>
    <w:p>
      <w:pPr>
        <w:ind w:left="560" w:hanging="228"/>
        <w:spacing w:after="0"/>
        <w:tabs>
          <w:tab w:leader="none" w:pos="560" w:val="left"/>
        </w:tabs>
        <w:numPr>
          <w:ilvl w:val="0"/>
          <w:numId w:val="90"/>
        </w:numPr>
        <w:rPr>
          <w:rFonts w:ascii="Arial" w:cs="Arial" w:eastAsia="Arial" w:hAnsi="Arial"/>
          <w:sz w:val="19"/>
          <w:szCs w:val="19"/>
          <w:color w:val="auto"/>
        </w:rPr>
      </w:pPr>
      <w:r>
        <w:rPr>
          <w:rFonts w:ascii="Arial" w:cs="Arial" w:eastAsia="Arial" w:hAnsi="Arial"/>
          <w:sz w:val="19"/>
          <w:szCs w:val="19"/>
          <w:color w:val="auto"/>
        </w:rPr>
        <w:t>Reviewing the sales contracts and acceptance forms of Huahong Group and Yangtze Memory to reexamine the accuracy of</w:t>
      </w:r>
    </w:p>
    <w:p>
      <w:pPr>
        <w:spacing w:after="0" w:line="43" w:lineRule="exact"/>
        <w:rPr>
          <w:sz w:val="20"/>
          <w:szCs w:val="20"/>
          <w:color w:val="auto"/>
        </w:rPr>
      </w:pPr>
    </w:p>
    <w:p>
      <w:pPr>
        <w:spacing w:after="0"/>
        <w:rPr>
          <w:sz w:val="20"/>
          <w:szCs w:val="20"/>
          <w:color w:val="auto"/>
        </w:rPr>
      </w:pPr>
      <w:r>
        <w:rPr>
          <w:rFonts w:ascii="Arial" w:cs="Arial" w:eastAsia="Arial" w:hAnsi="Arial"/>
          <w:sz w:val="22"/>
          <w:szCs w:val="22"/>
          <w:color w:val="auto"/>
        </w:rPr>
        <w:t>revenue from Huahong Group and Yangtze Memory.</w:t>
      </w:r>
    </w:p>
    <w:p>
      <w:pPr>
        <w:spacing w:after="0" w:line="209" w:lineRule="exact"/>
        <w:rPr>
          <w:sz w:val="20"/>
          <w:szCs w:val="20"/>
          <w:color w:val="auto"/>
        </w:rPr>
      </w:pPr>
    </w:p>
    <w:p>
      <w:pPr>
        <w:ind w:left="340"/>
        <w:spacing w:after="0"/>
        <w:rPr>
          <w:sz w:val="20"/>
          <w:szCs w:val="20"/>
          <w:color w:val="auto"/>
        </w:rPr>
      </w:pPr>
      <w:r>
        <w:rPr>
          <w:rFonts w:ascii="Arial" w:cs="Arial" w:eastAsia="Arial" w:hAnsi="Arial"/>
          <w:sz w:val="22"/>
          <w:szCs w:val="22"/>
          <w:b w:val="1"/>
          <w:bCs w:val="1"/>
          <w:color w:val="auto"/>
        </w:rPr>
        <w:t>(ii) Verification Opinions</w:t>
      </w:r>
    </w:p>
    <w:p>
      <w:pPr>
        <w:spacing w:after="0" w:line="239" w:lineRule="exact"/>
        <w:rPr>
          <w:sz w:val="20"/>
          <w:szCs w:val="20"/>
          <w:color w:val="auto"/>
        </w:rPr>
      </w:pPr>
    </w:p>
    <w:p>
      <w:pPr>
        <w:ind w:left="340"/>
        <w:spacing w:after="0"/>
        <w:rPr>
          <w:sz w:val="20"/>
          <w:szCs w:val="20"/>
          <w:color w:val="auto"/>
        </w:rPr>
      </w:pPr>
      <w:r>
        <w:rPr>
          <w:rFonts w:ascii="Arial" w:cs="Arial" w:eastAsia="Arial" w:hAnsi="Arial"/>
          <w:sz w:val="22"/>
          <w:szCs w:val="22"/>
          <w:color w:val="auto"/>
        </w:rPr>
        <w:t>Upon verification, the Sponsor opines that:</w:t>
      </w:r>
    </w:p>
    <w:p>
      <w:pPr>
        <w:spacing w:after="0" w:line="233" w:lineRule="exact"/>
        <w:rPr>
          <w:sz w:val="20"/>
          <w:szCs w:val="20"/>
          <w:color w:val="auto"/>
        </w:rPr>
      </w:pPr>
    </w:p>
    <w:p>
      <w:pPr>
        <w:ind w:left="540" w:hanging="208"/>
        <w:spacing w:after="0"/>
        <w:tabs>
          <w:tab w:leader="none" w:pos="540" w:val="left"/>
        </w:tabs>
        <w:numPr>
          <w:ilvl w:val="0"/>
          <w:numId w:val="91"/>
        </w:numPr>
        <w:rPr>
          <w:rFonts w:ascii="Arial" w:cs="Arial" w:eastAsia="Arial" w:hAnsi="Arial"/>
          <w:sz w:val="22"/>
          <w:szCs w:val="22"/>
          <w:color w:val="auto"/>
        </w:rPr>
      </w:pPr>
      <w:r>
        <w:rPr>
          <w:rFonts w:ascii="Arial" w:cs="Arial" w:eastAsia="Arial" w:hAnsi="Arial"/>
          <w:sz w:val="22"/>
          <w:szCs w:val="22"/>
          <w:color w:val="auto"/>
        </w:rPr>
        <w:t>During the Reporting Period, the sales revenue amount of the Issuer is true and accurate.</w:t>
      </w:r>
    </w:p>
    <w:p>
      <w:pPr>
        <w:spacing w:after="0" w:line="233" w:lineRule="exact"/>
        <w:rPr>
          <w:rFonts w:ascii="Arial" w:cs="Arial" w:eastAsia="Arial" w:hAnsi="Arial"/>
          <w:sz w:val="22"/>
          <w:szCs w:val="22"/>
          <w:color w:val="auto"/>
        </w:rPr>
      </w:pPr>
    </w:p>
    <w:p>
      <w:pPr>
        <w:ind w:right="20" w:firstLine="332"/>
        <w:spacing w:after="0" w:line="250" w:lineRule="auto"/>
        <w:tabs>
          <w:tab w:leader="none" w:pos="548" w:val="left"/>
        </w:tabs>
        <w:numPr>
          <w:ilvl w:val="0"/>
          <w:numId w:val="91"/>
        </w:numPr>
        <w:rPr>
          <w:rFonts w:ascii="Arial" w:cs="Arial" w:eastAsia="Arial" w:hAnsi="Arial"/>
          <w:sz w:val="22"/>
          <w:szCs w:val="22"/>
          <w:color w:val="auto"/>
        </w:rPr>
      </w:pPr>
      <w:r>
        <w:rPr>
          <w:rFonts w:ascii="Arial" w:cs="Arial" w:eastAsia="Arial" w:hAnsi="Arial"/>
          <w:sz w:val="22"/>
          <w:szCs w:val="22"/>
          <w:color w:val="auto"/>
        </w:rPr>
        <w:t>It is reasonable for the difference between the sales data disclosed for the top five customers and that for the top five final customers as to the sales revenue from Yangtze Memory and Huahong Group in 2018.</w:t>
      </w:r>
    </w:p>
    <w:p>
      <w:pPr>
        <w:spacing w:after="0" w:line="196" w:lineRule="exact"/>
        <w:rPr>
          <w:sz w:val="20"/>
          <w:szCs w:val="20"/>
          <w:color w:val="auto"/>
        </w:rPr>
      </w:pPr>
    </w:p>
    <w:p>
      <w:pPr>
        <w:ind w:left="340" w:right="680" w:hanging="8"/>
        <w:spacing w:after="0" w:line="463" w:lineRule="auto"/>
        <w:tabs>
          <w:tab w:leader="none" w:pos="556" w:val="left"/>
        </w:tabs>
        <w:numPr>
          <w:ilvl w:val="0"/>
          <w:numId w:val="92"/>
        </w:numPr>
        <w:rPr>
          <w:rFonts w:ascii="Arial" w:cs="Arial" w:eastAsia="Arial" w:hAnsi="Arial"/>
          <w:sz w:val="22"/>
          <w:szCs w:val="22"/>
          <w:b w:val="1"/>
          <w:bCs w:val="1"/>
          <w:color w:val="auto"/>
        </w:rPr>
      </w:pPr>
      <w:r>
        <w:rPr>
          <w:rFonts w:ascii="Arial" w:cs="Arial" w:eastAsia="Arial" w:hAnsi="Arial"/>
          <w:sz w:val="22"/>
          <w:szCs w:val="22"/>
          <w:b w:val="1"/>
          <w:bCs w:val="1"/>
          <w:color w:val="auto"/>
        </w:rPr>
        <w:t>Other Challenge 8: About R&amp;D Expenses (Index of Verification in Response to the Short-sell Report, No. 24) Challenge in the Short-sell Report (Short-sell Report, p.29):</w:t>
      </w:r>
    </w:p>
    <w:p>
      <w:pPr>
        <w:spacing w:after="0" w:line="2" w:lineRule="exact"/>
        <w:rPr>
          <w:sz w:val="20"/>
          <w:szCs w:val="20"/>
          <w:color w:val="auto"/>
        </w:rPr>
      </w:pPr>
    </w:p>
    <w:p>
      <w:pPr>
        <w:jc w:val="both"/>
        <w:ind w:firstLine="324"/>
        <w:spacing w:after="0" w:line="250" w:lineRule="auto"/>
        <w:rPr>
          <w:sz w:val="20"/>
          <w:szCs w:val="20"/>
          <w:color w:val="auto"/>
        </w:rPr>
      </w:pPr>
      <w:r>
        <w:rPr>
          <w:rFonts w:ascii="Arial" w:cs="Arial" w:eastAsia="Arial" w:hAnsi="Arial"/>
          <w:sz w:val="22"/>
          <w:szCs w:val="22"/>
          <w:color w:val="auto"/>
        </w:rPr>
        <w:t>“We think most of the $12.9 mln spent on R&amp;D is actually a cost of goods sold. Our interviews indicate that a big chunk of R&amp;D activity consists of customizing and building machines for sale.”</w:t>
      </w:r>
    </w:p>
    <w:p>
      <w:pPr>
        <w:spacing w:after="0" w:line="196" w:lineRule="exact"/>
        <w:rPr>
          <w:sz w:val="20"/>
          <w:szCs w:val="20"/>
          <w:color w:val="auto"/>
        </w:rPr>
      </w:pPr>
    </w:p>
    <w:p>
      <w:pPr>
        <w:ind w:left="340"/>
        <w:spacing w:after="0"/>
        <w:rPr>
          <w:sz w:val="20"/>
          <w:szCs w:val="20"/>
          <w:color w:val="auto"/>
        </w:rPr>
      </w:pPr>
      <w:r>
        <w:rPr>
          <w:rFonts w:ascii="Arial" w:cs="Arial" w:eastAsia="Arial" w:hAnsi="Arial"/>
          <w:sz w:val="22"/>
          <w:szCs w:val="22"/>
          <w:b w:val="1"/>
          <w:bCs w:val="1"/>
          <w:color w:val="auto"/>
        </w:rPr>
        <w:t>Response:</w:t>
      </w:r>
    </w:p>
    <w:p>
      <w:pPr>
        <w:spacing w:after="0" w:line="233" w:lineRule="exact"/>
        <w:rPr>
          <w:sz w:val="20"/>
          <w:szCs w:val="20"/>
          <w:color w:val="auto"/>
        </w:rPr>
      </w:pPr>
    </w:p>
    <w:p>
      <w:pPr>
        <w:ind w:left="340"/>
        <w:spacing w:after="0"/>
        <w:rPr>
          <w:sz w:val="20"/>
          <w:szCs w:val="20"/>
          <w:color w:val="auto"/>
        </w:rPr>
      </w:pPr>
      <w:r>
        <w:rPr>
          <w:rFonts w:ascii="Arial" w:cs="Arial" w:eastAsia="Arial" w:hAnsi="Arial"/>
          <w:sz w:val="22"/>
          <w:szCs w:val="22"/>
          <w:b w:val="1"/>
          <w:bCs w:val="1"/>
          <w:color w:val="auto"/>
        </w:rPr>
        <w:t>I. Clarification by the Issuer</w:t>
      </w:r>
    </w:p>
    <w:p>
      <w:pPr>
        <w:spacing w:after="0" w:line="246"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The Company’s R&amp;D expenses are all generated by actual R&amp;D activities; the Company has accurately grouped the R&amp;D expenses and production costs, and the Company has not included production costs into the R&amp;D expenses. Relevant disclosures and clarifications have been made by the Company in “Q26.2” in the Reply to the Letter of First Round Review-related Inquiries and “Q3” in the Reply to the Letter of Second Round Review-related Inquiries.</w:t>
      </w:r>
    </w:p>
    <w:p>
      <w:pPr>
        <w:spacing w:after="0" w:line="385"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8-4-1-76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80" w:name="page81"/>
    <w:bookmarkEnd w:id="80"/>
    <w:p>
      <w:pPr>
        <w:ind w:left="340"/>
        <w:spacing w:after="0"/>
        <w:rPr>
          <w:sz w:val="20"/>
          <w:szCs w:val="20"/>
          <w:color w:val="auto"/>
        </w:rPr>
      </w:pPr>
      <w:r>
        <w:rPr>
          <w:rFonts w:ascii="Arial" w:cs="Arial" w:eastAsia="Arial" w:hAnsi="Arial"/>
          <w:sz w:val="22"/>
          <w:szCs w:val="22"/>
          <w:b w:val="1"/>
          <w:bCs w:val="1"/>
          <w:color w:val="auto"/>
        </w:rPr>
        <w:t>(i) Investment of R&amp;D Expenses by the Company</w:t>
      </w:r>
    </w:p>
    <w:p>
      <w:pPr>
        <w:spacing w:after="0" w:line="247" w:lineRule="exact"/>
        <w:rPr>
          <w:sz w:val="20"/>
          <w:szCs w:val="20"/>
          <w:color w:val="auto"/>
        </w:rPr>
      </w:pPr>
    </w:p>
    <w:p>
      <w:pPr>
        <w:jc w:val="both"/>
        <w:ind w:firstLine="324"/>
        <w:spacing w:after="0" w:line="296" w:lineRule="auto"/>
        <w:rPr>
          <w:sz w:val="20"/>
          <w:szCs w:val="20"/>
          <w:color w:val="auto"/>
        </w:rPr>
      </w:pPr>
      <w:r>
        <w:rPr>
          <w:rFonts w:ascii="Arial" w:cs="Arial" w:eastAsia="Arial" w:hAnsi="Arial"/>
          <w:sz w:val="16"/>
          <w:szCs w:val="16"/>
          <w:color w:val="auto"/>
        </w:rPr>
        <w:t>The Company has always attached great importance to the research and development of new products and new technologies, and has established an innovation mechanism and innovation system to encourage the R&amp;D team to develop products suitable for market demand, and to promote the integration of scientific research, development, production and market. During the Reporting Period, the Company successfully developed new products, such as single wafer wet bench combined cleaning equipment, wet bench cleaning equipment, back-end advanced packaging and electroplating equipment, front-end copper interconnection electroplating equipment, front-end brushing equipment, and vertical furnace tube equipment.</w:t>
      </w:r>
    </w:p>
    <w:p>
      <w:pPr>
        <w:spacing w:after="0" w:line="188" w:lineRule="exact"/>
        <w:rPr>
          <w:sz w:val="20"/>
          <w:szCs w:val="20"/>
          <w:color w:val="auto"/>
        </w:rPr>
      </w:pPr>
    </w:p>
    <w:p>
      <w:pPr>
        <w:ind w:left="340"/>
        <w:spacing w:after="0"/>
        <w:rPr>
          <w:sz w:val="20"/>
          <w:szCs w:val="20"/>
          <w:color w:val="auto"/>
        </w:rPr>
      </w:pPr>
      <w:r>
        <w:rPr>
          <w:rFonts w:ascii="Arial" w:cs="Arial" w:eastAsia="Arial" w:hAnsi="Arial"/>
          <w:sz w:val="18"/>
          <w:szCs w:val="18"/>
          <w:color w:val="auto"/>
        </w:rPr>
        <w:t>During the Reporting Period, the Company’s R&amp;D expenses were as follows:</w:t>
      </w:r>
    </w:p>
    <w:p>
      <w:pPr>
        <w:spacing w:after="0" w:line="245" w:lineRule="exact"/>
        <w:rPr>
          <w:sz w:val="20"/>
          <w:szCs w:val="20"/>
          <w:color w:val="auto"/>
        </w:rPr>
      </w:pPr>
    </w:p>
    <w:p>
      <w:pPr>
        <w:jc w:val="right"/>
        <w:spacing w:after="0"/>
        <w:rPr>
          <w:sz w:val="20"/>
          <w:szCs w:val="20"/>
          <w:color w:val="auto"/>
        </w:rPr>
      </w:pPr>
      <w:r>
        <w:rPr>
          <w:rFonts w:ascii="Arial" w:cs="Arial" w:eastAsia="Arial" w:hAnsi="Arial"/>
          <w:sz w:val="22"/>
          <w:szCs w:val="22"/>
          <w:color w:val="auto"/>
        </w:rPr>
        <w:t>Unit: RMB10,000</w:t>
      </w:r>
    </w:p>
    <w:p>
      <w:pPr>
        <w:spacing w:after="0" w:line="234" w:lineRule="exact"/>
        <w:rPr>
          <w:sz w:val="20"/>
          <w:szCs w:val="20"/>
          <w:color w:val="auto"/>
        </w:rPr>
      </w:pPr>
    </w:p>
    <w:tbl>
      <w:tblPr>
        <w:tblLayout w:type="fixed"/>
        <w:tblInd w:w="10" w:type="dxa"/>
        <w:tblCellMar>
          <w:top w:w="0" w:type="dxa"/>
          <w:left w:w="0" w:type="dxa"/>
          <w:bottom w:w="0" w:type="dxa"/>
          <w:right w:w="0" w:type="dxa"/>
        </w:tblCellMar>
      </w:tblPr>
      <w:tr>
        <w:trPr>
          <w:trHeight w:val="250"/>
        </w:trPr>
        <w:tc>
          <w:tcPr>
            <w:tcW w:w="3180" w:type="dxa"/>
            <w:vAlign w:val="bottom"/>
            <w:tcBorders>
              <w:top w:val="single" w:sz="8" w:color="auto"/>
              <w:left w:val="single" w:sz="8" w:color="auto"/>
              <w:bottom w:val="single" w:sz="8" w:color="auto"/>
              <w:right w:val="single" w:sz="8" w:color="auto"/>
            </w:tcBorders>
            <w:vMerge w:val="restart"/>
          </w:tcPr>
          <w:p>
            <w:pPr>
              <w:ind w:left="1420"/>
              <w:spacing w:after="0"/>
              <w:rPr>
                <w:sz w:val="20"/>
                <w:szCs w:val="20"/>
                <w:color w:val="auto"/>
              </w:rPr>
            </w:pPr>
            <w:r>
              <w:rPr>
                <w:rFonts w:ascii="Arial" w:cs="Arial" w:eastAsia="Arial" w:hAnsi="Arial"/>
                <w:sz w:val="18"/>
                <w:szCs w:val="18"/>
                <w:b w:val="1"/>
                <w:bCs w:val="1"/>
                <w:color w:val="auto"/>
              </w:rPr>
              <w:t>Item</w:t>
            </w:r>
          </w:p>
        </w:tc>
        <w:tc>
          <w:tcPr>
            <w:tcW w:w="2020" w:type="dxa"/>
            <w:vAlign w:val="bottom"/>
            <w:tcBorders>
              <w:top w:val="single" w:sz="8" w:color="auto"/>
              <w:bottom w:val="single" w:sz="8" w:color="auto"/>
              <w:right w:val="single" w:sz="8" w:color="auto"/>
            </w:tcBorders>
            <w:gridSpan w:val="2"/>
          </w:tcPr>
          <w:p>
            <w:pPr>
              <w:jc w:val="right"/>
              <w:ind w:right="370"/>
              <w:spacing w:after="0"/>
              <w:rPr>
                <w:sz w:val="20"/>
                <w:szCs w:val="20"/>
                <w:color w:val="auto"/>
              </w:rPr>
            </w:pPr>
            <w:r>
              <w:rPr>
                <w:rFonts w:ascii="Arial" w:cs="Arial" w:eastAsia="Arial" w:hAnsi="Arial"/>
                <w:sz w:val="18"/>
                <w:szCs w:val="18"/>
                <w:b w:val="1"/>
                <w:bCs w:val="1"/>
                <w:color w:val="auto"/>
              </w:rPr>
              <w:t>Jan.-Jun. 2020</w:t>
            </w:r>
          </w:p>
        </w:tc>
        <w:tc>
          <w:tcPr>
            <w:tcW w:w="2040" w:type="dxa"/>
            <w:vAlign w:val="bottom"/>
            <w:tcBorders>
              <w:top w:val="single" w:sz="8" w:color="auto"/>
              <w:bottom w:val="single" w:sz="8" w:color="auto"/>
              <w:right w:val="single" w:sz="8" w:color="auto"/>
            </w:tcBorders>
            <w:gridSpan w:val="2"/>
          </w:tcPr>
          <w:p>
            <w:pPr>
              <w:jc w:val="right"/>
              <w:ind w:right="770"/>
              <w:spacing w:after="0"/>
              <w:rPr>
                <w:sz w:val="20"/>
                <w:szCs w:val="20"/>
                <w:color w:val="auto"/>
              </w:rPr>
            </w:pPr>
            <w:r>
              <w:rPr>
                <w:rFonts w:ascii="Arial" w:cs="Arial" w:eastAsia="Arial" w:hAnsi="Arial"/>
                <w:sz w:val="18"/>
                <w:szCs w:val="18"/>
                <w:b w:val="1"/>
                <w:bCs w:val="1"/>
                <w:color w:val="auto"/>
              </w:rPr>
              <w:t>2019</w:t>
            </w:r>
          </w:p>
        </w:tc>
        <w:tc>
          <w:tcPr>
            <w:tcW w:w="2000" w:type="dxa"/>
            <w:vAlign w:val="bottom"/>
            <w:tcBorders>
              <w:top w:val="single" w:sz="8" w:color="auto"/>
              <w:bottom w:val="single" w:sz="8" w:color="auto"/>
              <w:right w:val="single" w:sz="8" w:color="auto"/>
            </w:tcBorders>
            <w:gridSpan w:val="2"/>
          </w:tcPr>
          <w:p>
            <w:pPr>
              <w:jc w:val="right"/>
              <w:ind w:right="750"/>
              <w:spacing w:after="0"/>
              <w:rPr>
                <w:sz w:val="20"/>
                <w:szCs w:val="20"/>
                <w:color w:val="auto"/>
              </w:rPr>
            </w:pPr>
            <w:r>
              <w:rPr>
                <w:rFonts w:ascii="Arial" w:cs="Arial" w:eastAsia="Arial" w:hAnsi="Arial"/>
                <w:sz w:val="18"/>
                <w:szCs w:val="18"/>
                <w:b w:val="1"/>
                <w:bCs w:val="1"/>
                <w:color w:val="auto"/>
              </w:rPr>
              <w:t>2018</w:t>
            </w:r>
          </w:p>
        </w:tc>
        <w:tc>
          <w:tcPr>
            <w:tcW w:w="2000" w:type="dxa"/>
            <w:vAlign w:val="bottom"/>
            <w:tcBorders>
              <w:top w:val="single" w:sz="8" w:color="auto"/>
              <w:bottom w:val="single" w:sz="8" w:color="auto"/>
              <w:right w:val="single" w:sz="8" w:color="auto"/>
            </w:tcBorders>
            <w:gridSpan w:val="2"/>
          </w:tcPr>
          <w:p>
            <w:pPr>
              <w:jc w:val="right"/>
              <w:ind w:right="750"/>
              <w:spacing w:after="0"/>
              <w:rPr>
                <w:sz w:val="20"/>
                <w:szCs w:val="20"/>
                <w:color w:val="auto"/>
              </w:rPr>
            </w:pPr>
            <w:r>
              <w:rPr>
                <w:rFonts w:ascii="Arial" w:cs="Arial" w:eastAsia="Arial" w:hAnsi="Arial"/>
                <w:sz w:val="18"/>
                <w:szCs w:val="18"/>
                <w:b w:val="1"/>
                <w:bCs w:val="1"/>
                <w:color w:val="auto"/>
              </w:rPr>
              <w:t>2017</w:t>
            </w:r>
          </w:p>
        </w:tc>
        <w:tc>
          <w:tcPr>
            <w:tcW w:w="0" w:type="dxa"/>
            <w:vAlign w:val="bottom"/>
          </w:tcPr>
          <w:p>
            <w:pPr>
              <w:spacing w:after="0"/>
              <w:rPr>
                <w:sz w:val="1"/>
                <w:szCs w:val="1"/>
                <w:color w:val="auto"/>
              </w:rPr>
            </w:pPr>
          </w:p>
        </w:tc>
      </w:tr>
      <w:tr>
        <w:trPr>
          <w:trHeight w:val="95"/>
        </w:trPr>
        <w:tc>
          <w:tcPr>
            <w:tcW w:w="3180" w:type="dxa"/>
            <w:vAlign w:val="bottom"/>
            <w:tcBorders>
              <w:left w:val="single" w:sz="8" w:color="auto"/>
              <w:right w:val="single" w:sz="8" w:color="auto"/>
            </w:tcBorders>
            <w:vMerge w:val="continue"/>
          </w:tcPr>
          <w:p>
            <w:pPr>
              <w:spacing w:after="0"/>
              <w:rPr>
                <w:sz w:val="8"/>
                <w:szCs w:val="8"/>
                <w:color w:val="auto"/>
              </w:rPr>
            </w:pPr>
          </w:p>
        </w:tc>
        <w:tc>
          <w:tcPr>
            <w:tcW w:w="1020" w:type="dxa"/>
            <w:vAlign w:val="bottom"/>
            <w:tcBorders>
              <w:right w:val="single" w:sz="8" w:color="auto"/>
            </w:tcBorders>
            <w:vMerge w:val="restart"/>
          </w:tcPr>
          <w:p>
            <w:pPr>
              <w:jc w:val="right"/>
              <w:ind w:right="130"/>
              <w:spacing w:after="0"/>
              <w:rPr>
                <w:sz w:val="20"/>
                <w:szCs w:val="20"/>
                <w:color w:val="auto"/>
              </w:rPr>
            </w:pPr>
            <w:r>
              <w:rPr>
                <w:rFonts w:ascii="Arial" w:cs="Arial" w:eastAsia="Arial" w:hAnsi="Arial"/>
                <w:sz w:val="18"/>
                <w:szCs w:val="18"/>
                <w:b w:val="1"/>
                <w:bCs w:val="1"/>
                <w:color w:val="auto"/>
              </w:rPr>
              <w:t>Amount</w:t>
            </w:r>
          </w:p>
        </w:tc>
        <w:tc>
          <w:tcPr>
            <w:tcW w:w="1000" w:type="dxa"/>
            <w:vAlign w:val="bottom"/>
            <w:tcBorders>
              <w:right w:val="single" w:sz="8" w:color="auto"/>
            </w:tcBorders>
            <w:vMerge w:val="restart"/>
          </w:tcPr>
          <w:p>
            <w:pPr>
              <w:jc w:val="right"/>
              <w:ind w:right="10"/>
              <w:spacing w:after="0"/>
              <w:rPr>
                <w:sz w:val="20"/>
                <w:szCs w:val="20"/>
                <w:color w:val="auto"/>
              </w:rPr>
            </w:pPr>
            <w:r>
              <w:rPr>
                <w:rFonts w:ascii="Arial" w:cs="Arial" w:eastAsia="Arial" w:hAnsi="Arial"/>
                <w:sz w:val="18"/>
                <w:szCs w:val="18"/>
                <w:b w:val="1"/>
                <w:bCs w:val="1"/>
                <w:color w:val="auto"/>
                <w:w w:val="95"/>
              </w:rPr>
              <w:t>Proportion</w:t>
            </w:r>
          </w:p>
        </w:tc>
        <w:tc>
          <w:tcPr>
            <w:tcW w:w="1020" w:type="dxa"/>
            <w:vAlign w:val="bottom"/>
            <w:tcBorders>
              <w:right w:val="single" w:sz="8" w:color="auto"/>
            </w:tcBorders>
            <w:vMerge w:val="restart"/>
          </w:tcPr>
          <w:p>
            <w:pPr>
              <w:jc w:val="right"/>
              <w:ind w:right="110"/>
              <w:spacing w:after="0"/>
              <w:rPr>
                <w:sz w:val="20"/>
                <w:szCs w:val="20"/>
                <w:color w:val="auto"/>
              </w:rPr>
            </w:pPr>
            <w:r>
              <w:rPr>
                <w:rFonts w:ascii="Arial" w:cs="Arial" w:eastAsia="Arial" w:hAnsi="Arial"/>
                <w:sz w:val="18"/>
                <w:szCs w:val="18"/>
                <w:b w:val="1"/>
                <w:bCs w:val="1"/>
                <w:color w:val="auto"/>
              </w:rPr>
              <w:t>Amount</w:t>
            </w:r>
          </w:p>
        </w:tc>
        <w:tc>
          <w:tcPr>
            <w:tcW w:w="1020" w:type="dxa"/>
            <w:vAlign w:val="bottom"/>
            <w:tcBorders>
              <w:right w:val="single" w:sz="8" w:color="auto"/>
            </w:tcBorders>
            <w:vMerge w:val="restart"/>
          </w:tcPr>
          <w:p>
            <w:pPr>
              <w:jc w:val="right"/>
              <w:ind w:right="10"/>
              <w:spacing w:after="0"/>
              <w:rPr>
                <w:sz w:val="20"/>
                <w:szCs w:val="20"/>
                <w:color w:val="auto"/>
              </w:rPr>
            </w:pPr>
            <w:r>
              <w:rPr>
                <w:rFonts w:ascii="Arial" w:cs="Arial" w:eastAsia="Arial" w:hAnsi="Arial"/>
                <w:sz w:val="18"/>
                <w:szCs w:val="18"/>
                <w:b w:val="1"/>
                <w:bCs w:val="1"/>
                <w:color w:val="auto"/>
                <w:w w:val="97"/>
              </w:rPr>
              <w:t>Proportion</w:t>
            </w:r>
          </w:p>
        </w:tc>
        <w:tc>
          <w:tcPr>
            <w:tcW w:w="1000" w:type="dxa"/>
            <w:vAlign w:val="bottom"/>
            <w:tcBorders>
              <w:right w:val="single" w:sz="8" w:color="auto"/>
            </w:tcBorders>
            <w:vMerge w:val="restart"/>
          </w:tcPr>
          <w:p>
            <w:pPr>
              <w:jc w:val="right"/>
              <w:ind w:right="110"/>
              <w:spacing w:after="0"/>
              <w:rPr>
                <w:sz w:val="20"/>
                <w:szCs w:val="20"/>
                <w:color w:val="auto"/>
              </w:rPr>
            </w:pPr>
            <w:r>
              <w:rPr>
                <w:rFonts w:ascii="Arial" w:cs="Arial" w:eastAsia="Arial" w:hAnsi="Arial"/>
                <w:sz w:val="18"/>
                <w:szCs w:val="18"/>
                <w:b w:val="1"/>
                <w:bCs w:val="1"/>
                <w:color w:val="auto"/>
              </w:rPr>
              <w:t>Amount</w:t>
            </w:r>
          </w:p>
        </w:tc>
        <w:tc>
          <w:tcPr>
            <w:tcW w:w="1000" w:type="dxa"/>
            <w:vAlign w:val="bottom"/>
            <w:tcBorders>
              <w:right w:val="single" w:sz="8" w:color="auto"/>
            </w:tcBorders>
            <w:vMerge w:val="restart"/>
          </w:tcPr>
          <w:p>
            <w:pPr>
              <w:jc w:val="right"/>
              <w:spacing w:after="0"/>
              <w:rPr>
                <w:sz w:val="20"/>
                <w:szCs w:val="20"/>
                <w:color w:val="auto"/>
              </w:rPr>
            </w:pPr>
            <w:r>
              <w:rPr>
                <w:rFonts w:ascii="Arial" w:cs="Arial" w:eastAsia="Arial" w:hAnsi="Arial"/>
                <w:sz w:val="18"/>
                <w:szCs w:val="18"/>
                <w:b w:val="1"/>
                <w:bCs w:val="1"/>
                <w:color w:val="auto"/>
                <w:w w:val="97"/>
              </w:rPr>
              <w:t>Proportion</w:t>
            </w:r>
          </w:p>
        </w:tc>
        <w:tc>
          <w:tcPr>
            <w:tcW w:w="1000" w:type="dxa"/>
            <w:vAlign w:val="bottom"/>
            <w:tcBorders>
              <w:right w:val="single" w:sz="8" w:color="auto"/>
            </w:tcBorders>
            <w:vMerge w:val="restart"/>
          </w:tcPr>
          <w:p>
            <w:pPr>
              <w:jc w:val="right"/>
              <w:ind w:right="110"/>
              <w:spacing w:after="0"/>
              <w:rPr>
                <w:sz w:val="20"/>
                <w:szCs w:val="20"/>
                <w:color w:val="auto"/>
              </w:rPr>
            </w:pPr>
            <w:r>
              <w:rPr>
                <w:rFonts w:ascii="Arial" w:cs="Arial" w:eastAsia="Arial" w:hAnsi="Arial"/>
                <w:sz w:val="18"/>
                <w:szCs w:val="18"/>
                <w:b w:val="1"/>
                <w:bCs w:val="1"/>
                <w:color w:val="auto"/>
              </w:rPr>
              <w:t>Amount</w:t>
            </w:r>
          </w:p>
        </w:tc>
        <w:tc>
          <w:tcPr>
            <w:tcW w:w="1000" w:type="dxa"/>
            <w:vAlign w:val="bottom"/>
            <w:tcBorders>
              <w:right w:val="single" w:sz="8" w:color="auto"/>
            </w:tcBorders>
            <w:vMerge w:val="restart"/>
          </w:tcPr>
          <w:p>
            <w:pPr>
              <w:jc w:val="right"/>
              <w:spacing w:after="0"/>
              <w:rPr>
                <w:sz w:val="20"/>
                <w:szCs w:val="20"/>
                <w:color w:val="auto"/>
              </w:rPr>
            </w:pPr>
            <w:r>
              <w:rPr>
                <w:rFonts w:ascii="Arial" w:cs="Arial" w:eastAsia="Arial" w:hAnsi="Arial"/>
                <w:sz w:val="18"/>
                <w:szCs w:val="18"/>
                <w:b w:val="1"/>
                <w:bCs w:val="1"/>
                <w:color w:val="auto"/>
                <w:w w:val="97"/>
              </w:rPr>
              <w:t>Proportion</w:t>
            </w:r>
          </w:p>
        </w:tc>
        <w:tc>
          <w:tcPr>
            <w:tcW w:w="0" w:type="dxa"/>
            <w:vAlign w:val="bottom"/>
          </w:tcPr>
          <w:p>
            <w:pPr>
              <w:spacing w:after="0"/>
              <w:rPr>
                <w:sz w:val="1"/>
                <w:szCs w:val="1"/>
                <w:color w:val="auto"/>
              </w:rPr>
            </w:pPr>
          </w:p>
        </w:tc>
      </w:tr>
      <w:tr>
        <w:trPr>
          <w:trHeight w:val="128"/>
        </w:trPr>
        <w:tc>
          <w:tcPr>
            <w:tcW w:w="3180" w:type="dxa"/>
            <w:vAlign w:val="bottom"/>
            <w:tcBorders>
              <w:left w:val="single" w:sz="8" w:color="auto"/>
              <w:bottom w:val="single" w:sz="8" w:color="auto"/>
              <w:right w:val="single" w:sz="8" w:color="auto"/>
            </w:tcBorders>
          </w:tcPr>
          <w:p>
            <w:pPr>
              <w:spacing w:after="0"/>
              <w:rPr>
                <w:sz w:val="11"/>
                <w:szCs w:val="11"/>
                <w:color w:val="auto"/>
              </w:rPr>
            </w:pPr>
          </w:p>
        </w:tc>
        <w:tc>
          <w:tcPr>
            <w:tcW w:w="1020" w:type="dxa"/>
            <w:vAlign w:val="bottom"/>
            <w:tcBorders>
              <w:bottom w:val="single" w:sz="8" w:color="auto"/>
              <w:right w:val="single" w:sz="8" w:color="auto"/>
            </w:tcBorders>
            <w:vMerge w:val="continue"/>
          </w:tcPr>
          <w:p>
            <w:pPr>
              <w:spacing w:after="0"/>
              <w:rPr>
                <w:sz w:val="11"/>
                <w:szCs w:val="11"/>
                <w:color w:val="auto"/>
              </w:rPr>
            </w:pPr>
          </w:p>
        </w:tc>
        <w:tc>
          <w:tcPr>
            <w:tcW w:w="1000" w:type="dxa"/>
            <w:vAlign w:val="bottom"/>
            <w:tcBorders>
              <w:bottom w:val="single" w:sz="8" w:color="auto"/>
              <w:right w:val="single" w:sz="8" w:color="auto"/>
            </w:tcBorders>
            <w:vMerge w:val="continue"/>
          </w:tcPr>
          <w:p>
            <w:pPr>
              <w:spacing w:after="0"/>
              <w:rPr>
                <w:sz w:val="11"/>
                <w:szCs w:val="11"/>
                <w:color w:val="auto"/>
              </w:rPr>
            </w:pPr>
          </w:p>
        </w:tc>
        <w:tc>
          <w:tcPr>
            <w:tcW w:w="1020" w:type="dxa"/>
            <w:vAlign w:val="bottom"/>
            <w:tcBorders>
              <w:bottom w:val="single" w:sz="8" w:color="auto"/>
              <w:right w:val="single" w:sz="8" w:color="auto"/>
            </w:tcBorders>
            <w:vMerge w:val="continue"/>
          </w:tcPr>
          <w:p>
            <w:pPr>
              <w:spacing w:after="0"/>
              <w:rPr>
                <w:sz w:val="11"/>
                <w:szCs w:val="11"/>
                <w:color w:val="auto"/>
              </w:rPr>
            </w:pPr>
          </w:p>
        </w:tc>
        <w:tc>
          <w:tcPr>
            <w:tcW w:w="1020" w:type="dxa"/>
            <w:vAlign w:val="bottom"/>
            <w:tcBorders>
              <w:bottom w:val="single" w:sz="8" w:color="auto"/>
              <w:right w:val="single" w:sz="8" w:color="auto"/>
            </w:tcBorders>
            <w:vMerge w:val="continue"/>
          </w:tcPr>
          <w:p>
            <w:pPr>
              <w:spacing w:after="0"/>
              <w:rPr>
                <w:sz w:val="11"/>
                <w:szCs w:val="11"/>
                <w:color w:val="auto"/>
              </w:rPr>
            </w:pPr>
          </w:p>
        </w:tc>
        <w:tc>
          <w:tcPr>
            <w:tcW w:w="1000" w:type="dxa"/>
            <w:vAlign w:val="bottom"/>
            <w:tcBorders>
              <w:bottom w:val="single" w:sz="8" w:color="auto"/>
              <w:right w:val="single" w:sz="8" w:color="auto"/>
            </w:tcBorders>
            <w:vMerge w:val="continue"/>
          </w:tcPr>
          <w:p>
            <w:pPr>
              <w:spacing w:after="0"/>
              <w:rPr>
                <w:sz w:val="11"/>
                <w:szCs w:val="11"/>
                <w:color w:val="auto"/>
              </w:rPr>
            </w:pPr>
          </w:p>
        </w:tc>
        <w:tc>
          <w:tcPr>
            <w:tcW w:w="1000" w:type="dxa"/>
            <w:vAlign w:val="bottom"/>
            <w:tcBorders>
              <w:bottom w:val="single" w:sz="8" w:color="auto"/>
              <w:right w:val="single" w:sz="8" w:color="auto"/>
            </w:tcBorders>
            <w:vMerge w:val="continue"/>
          </w:tcPr>
          <w:p>
            <w:pPr>
              <w:spacing w:after="0"/>
              <w:rPr>
                <w:sz w:val="11"/>
                <w:szCs w:val="11"/>
                <w:color w:val="auto"/>
              </w:rPr>
            </w:pPr>
          </w:p>
        </w:tc>
        <w:tc>
          <w:tcPr>
            <w:tcW w:w="1000" w:type="dxa"/>
            <w:vAlign w:val="bottom"/>
            <w:tcBorders>
              <w:bottom w:val="single" w:sz="8" w:color="auto"/>
              <w:right w:val="single" w:sz="8" w:color="auto"/>
            </w:tcBorders>
            <w:vMerge w:val="continue"/>
          </w:tcPr>
          <w:p>
            <w:pPr>
              <w:spacing w:after="0"/>
              <w:rPr>
                <w:sz w:val="11"/>
                <w:szCs w:val="11"/>
                <w:color w:val="auto"/>
              </w:rPr>
            </w:pPr>
          </w:p>
        </w:tc>
        <w:tc>
          <w:tcPr>
            <w:tcW w:w="1000" w:type="dxa"/>
            <w:vAlign w:val="bottom"/>
            <w:tcBorders>
              <w:bottom w:val="single" w:sz="8" w:color="auto"/>
              <w:right w:val="single" w:sz="8" w:color="auto"/>
            </w:tcBorders>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223"/>
        </w:trPr>
        <w:tc>
          <w:tcPr>
            <w:tcW w:w="31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Employee benefits</w:t>
            </w:r>
          </w:p>
        </w:tc>
        <w:tc>
          <w:tcPr>
            <w:tcW w:w="102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2,602.47</w:t>
            </w:r>
          </w:p>
        </w:tc>
        <w:tc>
          <w:tcPr>
            <w:tcW w:w="100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45.86%</w:t>
            </w:r>
          </w:p>
        </w:tc>
        <w:tc>
          <w:tcPr>
            <w:tcW w:w="102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4,731.41</w:t>
            </w:r>
          </w:p>
        </w:tc>
        <w:tc>
          <w:tcPr>
            <w:tcW w:w="102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47.66%</w:t>
            </w:r>
          </w:p>
        </w:tc>
        <w:tc>
          <w:tcPr>
            <w:tcW w:w="100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3,020.84</w:t>
            </w:r>
          </w:p>
        </w:tc>
        <w:tc>
          <w:tcPr>
            <w:tcW w:w="100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38.04%</w:t>
            </w:r>
          </w:p>
        </w:tc>
        <w:tc>
          <w:tcPr>
            <w:tcW w:w="100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1,633.14</w:t>
            </w:r>
          </w:p>
        </w:tc>
        <w:tc>
          <w:tcPr>
            <w:tcW w:w="100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31.30%</w:t>
            </w:r>
          </w:p>
        </w:tc>
        <w:tc>
          <w:tcPr>
            <w:tcW w:w="0" w:type="dxa"/>
            <w:vAlign w:val="bottom"/>
          </w:tcPr>
          <w:p>
            <w:pPr>
              <w:spacing w:after="0"/>
              <w:rPr>
                <w:sz w:val="1"/>
                <w:szCs w:val="1"/>
                <w:color w:val="auto"/>
              </w:rPr>
            </w:pPr>
          </w:p>
        </w:tc>
      </w:tr>
      <w:tr>
        <w:trPr>
          <w:trHeight w:val="223"/>
        </w:trPr>
        <w:tc>
          <w:tcPr>
            <w:tcW w:w="31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Material consumption</w:t>
            </w:r>
          </w:p>
        </w:tc>
        <w:tc>
          <w:tcPr>
            <w:tcW w:w="102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1,874.79</w:t>
            </w:r>
          </w:p>
        </w:tc>
        <w:tc>
          <w:tcPr>
            <w:tcW w:w="100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33.04%</w:t>
            </w:r>
          </w:p>
        </w:tc>
        <w:tc>
          <w:tcPr>
            <w:tcW w:w="102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2,664.11</w:t>
            </w:r>
          </w:p>
        </w:tc>
        <w:tc>
          <w:tcPr>
            <w:tcW w:w="102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26.84%</w:t>
            </w:r>
          </w:p>
        </w:tc>
        <w:tc>
          <w:tcPr>
            <w:tcW w:w="100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2,007.19</w:t>
            </w:r>
          </w:p>
        </w:tc>
        <w:tc>
          <w:tcPr>
            <w:tcW w:w="100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25.27%</w:t>
            </w:r>
          </w:p>
        </w:tc>
        <w:tc>
          <w:tcPr>
            <w:tcW w:w="100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2,063.33</w:t>
            </w:r>
          </w:p>
        </w:tc>
        <w:tc>
          <w:tcPr>
            <w:tcW w:w="100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39.55%</w:t>
            </w:r>
          </w:p>
        </w:tc>
        <w:tc>
          <w:tcPr>
            <w:tcW w:w="0" w:type="dxa"/>
            <w:vAlign w:val="bottom"/>
          </w:tcPr>
          <w:p>
            <w:pPr>
              <w:spacing w:after="0"/>
              <w:rPr>
                <w:sz w:val="1"/>
                <w:szCs w:val="1"/>
                <w:color w:val="auto"/>
              </w:rPr>
            </w:pPr>
          </w:p>
        </w:tc>
      </w:tr>
      <w:tr>
        <w:trPr>
          <w:trHeight w:val="223"/>
        </w:trPr>
        <w:tc>
          <w:tcPr>
            <w:tcW w:w="31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Share-based payment</w:t>
            </w:r>
          </w:p>
        </w:tc>
        <w:tc>
          <w:tcPr>
            <w:tcW w:w="102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263.92</w:t>
            </w:r>
          </w:p>
        </w:tc>
        <w:tc>
          <w:tcPr>
            <w:tcW w:w="100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4.65%</w:t>
            </w:r>
          </w:p>
        </w:tc>
        <w:tc>
          <w:tcPr>
            <w:tcW w:w="102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752.70</w:t>
            </w:r>
          </w:p>
        </w:tc>
        <w:tc>
          <w:tcPr>
            <w:tcW w:w="102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7.58%</w:t>
            </w:r>
          </w:p>
        </w:tc>
        <w:tc>
          <w:tcPr>
            <w:tcW w:w="100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168.81</w:t>
            </w:r>
          </w:p>
        </w:tc>
        <w:tc>
          <w:tcPr>
            <w:tcW w:w="100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2.13%</w:t>
            </w:r>
          </w:p>
        </w:tc>
        <w:tc>
          <w:tcPr>
            <w:tcW w:w="100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33.44</w:t>
            </w:r>
          </w:p>
        </w:tc>
        <w:tc>
          <w:tcPr>
            <w:tcW w:w="100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0.64%</w:t>
            </w:r>
          </w:p>
        </w:tc>
        <w:tc>
          <w:tcPr>
            <w:tcW w:w="0" w:type="dxa"/>
            <w:vAlign w:val="bottom"/>
          </w:tcPr>
          <w:p>
            <w:pPr>
              <w:spacing w:after="0"/>
              <w:rPr>
                <w:sz w:val="1"/>
                <w:szCs w:val="1"/>
                <w:color w:val="auto"/>
              </w:rPr>
            </w:pPr>
          </w:p>
        </w:tc>
      </w:tr>
      <w:tr>
        <w:trPr>
          <w:trHeight w:val="223"/>
        </w:trPr>
        <w:tc>
          <w:tcPr>
            <w:tcW w:w="31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Travel expenses</w:t>
            </w:r>
          </w:p>
        </w:tc>
        <w:tc>
          <w:tcPr>
            <w:tcW w:w="102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260.74</w:t>
            </w:r>
          </w:p>
        </w:tc>
        <w:tc>
          <w:tcPr>
            <w:tcW w:w="100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4.59%</w:t>
            </w:r>
          </w:p>
        </w:tc>
        <w:tc>
          <w:tcPr>
            <w:tcW w:w="102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582.91</w:t>
            </w:r>
          </w:p>
        </w:tc>
        <w:tc>
          <w:tcPr>
            <w:tcW w:w="102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5.87%</w:t>
            </w:r>
          </w:p>
        </w:tc>
        <w:tc>
          <w:tcPr>
            <w:tcW w:w="100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420.73</w:t>
            </w:r>
          </w:p>
        </w:tc>
        <w:tc>
          <w:tcPr>
            <w:tcW w:w="100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5.30%</w:t>
            </w:r>
          </w:p>
        </w:tc>
        <w:tc>
          <w:tcPr>
            <w:tcW w:w="100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289.27</w:t>
            </w:r>
          </w:p>
        </w:tc>
        <w:tc>
          <w:tcPr>
            <w:tcW w:w="100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5.54%</w:t>
            </w:r>
          </w:p>
        </w:tc>
        <w:tc>
          <w:tcPr>
            <w:tcW w:w="0" w:type="dxa"/>
            <w:vAlign w:val="bottom"/>
          </w:tcPr>
          <w:p>
            <w:pPr>
              <w:spacing w:after="0"/>
              <w:rPr>
                <w:sz w:val="1"/>
                <w:szCs w:val="1"/>
                <w:color w:val="auto"/>
              </w:rPr>
            </w:pPr>
          </w:p>
        </w:tc>
      </w:tr>
      <w:tr>
        <w:trPr>
          <w:trHeight w:val="223"/>
        </w:trPr>
        <w:tc>
          <w:tcPr>
            <w:tcW w:w="31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Depreciation and amortization</w:t>
            </w:r>
          </w:p>
        </w:tc>
        <w:tc>
          <w:tcPr>
            <w:tcW w:w="102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144.83</w:t>
            </w:r>
          </w:p>
        </w:tc>
        <w:tc>
          <w:tcPr>
            <w:tcW w:w="100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2.55%</w:t>
            </w:r>
          </w:p>
        </w:tc>
        <w:tc>
          <w:tcPr>
            <w:tcW w:w="102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267.96</w:t>
            </w:r>
          </w:p>
        </w:tc>
        <w:tc>
          <w:tcPr>
            <w:tcW w:w="102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2.70%</w:t>
            </w:r>
          </w:p>
        </w:tc>
        <w:tc>
          <w:tcPr>
            <w:tcW w:w="100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216.89</w:t>
            </w:r>
          </w:p>
        </w:tc>
        <w:tc>
          <w:tcPr>
            <w:tcW w:w="100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2.73%</w:t>
            </w:r>
          </w:p>
        </w:tc>
        <w:tc>
          <w:tcPr>
            <w:tcW w:w="100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201.08</w:t>
            </w:r>
          </w:p>
        </w:tc>
        <w:tc>
          <w:tcPr>
            <w:tcW w:w="100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3.85%</w:t>
            </w:r>
          </w:p>
        </w:tc>
        <w:tc>
          <w:tcPr>
            <w:tcW w:w="0" w:type="dxa"/>
            <w:vAlign w:val="bottom"/>
          </w:tcPr>
          <w:p>
            <w:pPr>
              <w:spacing w:after="0"/>
              <w:rPr>
                <w:sz w:val="1"/>
                <w:szCs w:val="1"/>
                <w:color w:val="auto"/>
              </w:rPr>
            </w:pPr>
          </w:p>
        </w:tc>
      </w:tr>
      <w:tr>
        <w:trPr>
          <w:trHeight w:val="223"/>
        </w:trPr>
        <w:tc>
          <w:tcPr>
            <w:tcW w:w="31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Rental expenses</w:t>
            </w:r>
          </w:p>
        </w:tc>
        <w:tc>
          <w:tcPr>
            <w:tcW w:w="102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102.84</w:t>
            </w:r>
          </w:p>
        </w:tc>
        <w:tc>
          <w:tcPr>
            <w:tcW w:w="100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1.81%</w:t>
            </w:r>
          </w:p>
        </w:tc>
        <w:tc>
          <w:tcPr>
            <w:tcW w:w="102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236.03</w:t>
            </w:r>
          </w:p>
        </w:tc>
        <w:tc>
          <w:tcPr>
            <w:tcW w:w="102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2.38%</w:t>
            </w:r>
          </w:p>
        </w:tc>
        <w:tc>
          <w:tcPr>
            <w:tcW w:w="100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224.50</w:t>
            </w:r>
          </w:p>
        </w:tc>
        <w:tc>
          <w:tcPr>
            <w:tcW w:w="100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2.83%</w:t>
            </w:r>
          </w:p>
        </w:tc>
        <w:tc>
          <w:tcPr>
            <w:tcW w:w="100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149.53</w:t>
            </w:r>
          </w:p>
        </w:tc>
        <w:tc>
          <w:tcPr>
            <w:tcW w:w="100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2.87%</w:t>
            </w:r>
          </w:p>
        </w:tc>
        <w:tc>
          <w:tcPr>
            <w:tcW w:w="0" w:type="dxa"/>
            <w:vAlign w:val="bottom"/>
          </w:tcPr>
          <w:p>
            <w:pPr>
              <w:spacing w:after="0"/>
              <w:rPr>
                <w:sz w:val="1"/>
                <w:szCs w:val="1"/>
                <w:color w:val="auto"/>
              </w:rPr>
            </w:pPr>
          </w:p>
        </w:tc>
      </w:tr>
      <w:tr>
        <w:trPr>
          <w:trHeight w:val="223"/>
        </w:trPr>
        <w:tc>
          <w:tcPr>
            <w:tcW w:w="31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Service charge</w:t>
            </w:r>
          </w:p>
        </w:tc>
        <w:tc>
          <w:tcPr>
            <w:tcW w:w="102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108.40</w:t>
            </w:r>
          </w:p>
        </w:tc>
        <w:tc>
          <w:tcPr>
            <w:tcW w:w="100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1.91%</w:t>
            </w:r>
          </w:p>
        </w:tc>
        <w:tc>
          <w:tcPr>
            <w:tcW w:w="102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215.74</w:t>
            </w:r>
          </w:p>
        </w:tc>
        <w:tc>
          <w:tcPr>
            <w:tcW w:w="102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2.17%</w:t>
            </w:r>
          </w:p>
        </w:tc>
        <w:tc>
          <w:tcPr>
            <w:tcW w:w="100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106.33</w:t>
            </w:r>
          </w:p>
        </w:tc>
        <w:tc>
          <w:tcPr>
            <w:tcW w:w="100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1.34%</w:t>
            </w:r>
          </w:p>
        </w:tc>
        <w:tc>
          <w:tcPr>
            <w:tcW w:w="100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112.04</w:t>
            </w:r>
          </w:p>
        </w:tc>
        <w:tc>
          <w:tcPr>
            <w:tcW w:w="100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2.15%</w:t>
            </w:r>
          </w:p>
        </w:tc>
        <w:tc>
          <w:tcPr>
            <w:tcW w:w="0" w:type="dxa"/>
            <w:vAlign w:val="bottom"/>
          </w:tcPr>
          <w:p>
            <w:pPr>
              <w:spacing w:after="0"/>
              <w:rPr>
                <w:sz w:val="1"/>
                <w:szCs w:val="1"/>
                <w:color w:val="auto"/>
              </w:rPr>
            </w:pPr>
          </w:p>
        </w:tc>
      </w:tr>
      <w:tr>
        <w:trPr>
          <w:trHeight w:val="223"/>
        </w:trPr>
        <w:tc>
          <w:tcPr>
            <w:tcW w:w="31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Test and development expenses</w:t>
            </w:r>
          </w:p>
        </w:tc>
        <w:tc>
          <w:tcPr>
            <w:tcW w:w="102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0.00%</w:t>
            </w:r>
          </w:p>
        </w:tc>
        <w:tc>
          <w:tcPr>
            <w:tcW w:w="102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50.93</w:t>
            </w:r>
          </w:p>
        </w:tc>
        <w:tc>
          <w:tcPr>
            <w:tcW w:w="102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0.51%</w:t>
            </w:r>
          </w:p>
        </w:tc>
        <w:tc>
          <w:tcPr>
            <w:tcW w:w="100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1,566.36</w:t>
            </w:r>
          </w:p>
        </w:tc>
        <w:tc>
          <w:tcPr>
            <w:tcW w:w="100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19.72%</w:t>
            </w:r>
          </w:p>
        </w:tc>
        <w:tc>
          <w:tcPr>
            <w:tcW w:w="100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435.24</w:t>
            </w:r>
          </w:p>
        </w:tc>
        <w:tc>
          <w:tcPr>
            <w:tcW w:w="100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8.34%</w:t>
            </w:r>
          </w:p>
        </w:tc>
        <w:tc>
          <w:tcPr>
            <w:tcW w:w="0" w:type="dxa"/>
            <w:vAlign w:val="bottom"/>
          </w:tcPr>
          <w:p>
            <w:pPr>
              <w:spacing w:after="0"/>
              <w:rPr>
                <w:sz w:val="1"/>
                <w:szCs w:val="1"/>
                <w:color w:val="auto"/>
              </w:rPr>
            </w:pPr>
          </w:p>
        </w:tc>
      </w:tr>
      <w:tr>
        <w:trPr>
          <w:trHeight w:val="223"/>
        </w:trPr>
        <w:tc>
          <w:tcPr>
            <w:tcW w:w="31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other expenses</w:t>
            </w:r>
          </w:p>
        </w:tc>
        <w:tc>
          <w:tcPr>
            <w:tcW w:w="102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316.90</w:t>
            </w:r>
          </w:p>
        </w:tc>
        <w:tc>
          <w:tcPr>
            <w:tcW w:w="100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5.58%</w:t>
            </w:r>
          </w:p>
        </w:tc>
        <w:tc>
          <w:tcPr>
            <w:tcW w:w="102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425.01</w:t>
            </w:r>
          </w:p>
        </w:tc>
        <w:tc>
          <w:tcPr>
            <w:tcW w:w="102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4.28%</w:t>
            </w:r>
          </w:p>
        </w:tc>
        <w:tc>
          <w:tcPr>
            <w:tcW w:w="100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209.84</w:t>
            </w:r>
          </w:p>
        </w:tc>
        <w:tc>
          <w:tcPr>
            <w:tcW w:w="100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2.64%</w:t>
            </w:r>
          </w:p>
        </w:tc>
        <w:tc>
          <w:tcPr>
            <w:tcW w:w="100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300.17</w:t>
            </w:r>
          </w:p>
        </w:tc>
        <w:tc>
          <w:tcPr>
            <w:tcW w:w="100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5.75%</w:t>
            </w:r>
          </w:p>
        </w:tc>
        <w:tc>
          <w:tcPr>
            <w:tcW w:w="0" w:type="dxa"/>
            <w:vAlign w:val="bottom"/>
          </w:tcPr>
          <w:p>
            <w:pPr>
              <w:spacing w:after="0"/>
              <w:rPr>
                <w:sz w:val="1"/>
                <w:szCs w:val="1"/>
                <w:color w:val="auto"/>
              </w:rPr>
            </w:pPr>
          </w:p>
        </w:tc>
      </w:tr>
      <w:tr>
        <w:trPr>
          <w:trHeight w:val="223"/>
        </w:trPr>
        <w:tc>
          <w:tcPr>
            <w:tcW w:w="3180" w:type="dxa"/>
            <w:vAlign w:val="bottom"/>
            <w:tcBorders>
              <w:left w:val="single" w:sz="8" w:color="auto"/>
              <w:bottom w:val="single" w:sz="8" w:color="auto"/>
              <w:right w:val="single" w:sz="8" w:color="auto"/>
            </w:tcBorders>
          </w:tcPr>
          <w:p>
            <w:pPr>
              <w:ind w:left="1400"/>
              <w:spacing w:after="0"/>
              <w:rPr>
                <w:sz w:val="20"/>
                <w:szCs w:val="20"/>
                <w:color w:val="auto"/>
              </w:rPr>
            </w:pPr>
            <w:r>
              <w:rPr>
                <w:rFonts w:ascii="Arial" w:cs="Arial" w:eastAsia="Arial" w:hAnsi="Arial"/>
                <w:sz w:val="18"/>
                <w:szCs w:val="18"/>
                <w:b w:val="1"/>
                <w:bCs w:val="1"/>
                <w:color w:val="auto"/>
              </w:rPr>
              <w:t>Total</w:t>
            </w:r>
          </w:p>
        </w:tc>
        <w:tc>
          <w:tcPr>
            <w:tcW w:w="102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b w:val="1"/>
                <w:bCs w:val="1"/>
                <w:color w:val="auto"/>
              </w:rPr>
              <w:t>5,674.90</w:t>
            </w:r>
          </w:p>
        </w:tc>
        <w:tc>
          <w:tcPr>
            <w:tcW w:w="100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b w:val="1"/>
                <w:bCs w:val="1"/>
                <w:color w:val="auto"/>
              </w:rPr>
              <w:t>100.00%</w:t>
            </w:r>
          </w:p>
        </w:tc>
        <w:tc>
          <w:tcPr>
            <w:tcW w:w="102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b w:val="1"/>
                <w:bCs w:val="1"/>
                <w:color w:val="auto"/>
              </w:rPr>
              <w:t>9,926.80</w:t>
            </w:r>
          </w:p>
        </w:tc>
        <w:tc>
          <w:tcPr>
            <w:tcW w:w="102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b w:val="1"/>
                <w:bCs w:val="1"/>
                <w:color w:val="auto"/>
              </w:rPr>
              <w:t>100.00%</w:t>
            </w:r>
          </w:p>
        </w:tc>
        <w:tc>
          <w:tcPr>
            <w:tcW w:w="100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b w:val="1"/>
                <w:bCs w:val="1"/>
                <w:color w:val="auto"/>
              </w:rPr>
              <w:t>7,941.50</w:t>
            </w:r>
          </w:p>
        </w:tc>
        <w:tc>
          <w:tcPr>
            <w:tcW w:w="100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b w:val="1"/>
                <w:bCs w:val="1"/>
                <w:color w:val="auto"/>
              </w:rPr>
              <w:t>100.00%</w:t>
            </w:r>
          </w:p>
        </w:tc>
        <w:tc>
          <w:tcPr>
            <w:tcW w:w="100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b w:val="1"/>
                <w:bCs w:val="1"/>
                <w:color w:val="auto"/>
              </w:rPr>
              <w:t>5,217.24</w:t>
            </w:r>
          </w:p>
        </w:tc>
        <w:tc>
          <w:tcPr>
            <w:tcW w:w="100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b w:val="1"/>
                <w:bCs w:val="1"/>
                <w:color w:val="auto"/>
              </w:rPr>
              <w:t>100.00%</w:t>
            </w:r>
          </w:p>
        </w:tc>
        <w:tc>
          <w:tcPr>
            <w:tcW w:w="0" w:type="dxa"/>
            <w:vAlign w:val="bottom"/>
          </w:tcPr>
          <w:p>
            <w:pPr>
              <w:spacing w:after="0"/>
              <w:rPr>
                <w:sz w:val="1"/>
                <w:szCs w:val="1"/>
                <w:color w:val="auto"/>
              </w:rPr>
            </w:pPr>
          </w:p>
        </w:tc>
      </w:tr>
    </w:tbl>
    <w:p>
      <w:pPr>
        <w:spacing w:after="0" w:line="229"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During the Reporting Period, the amount of R&amp;D expenses of the Company was RMB52.1724 million, RMB79.415 million, RMB99.268 million and RMB56.749 million, accounting for 20.57%, 14.43%, 13.12% and 15.96% of operating income, respectively. The Company has invested a relatively large amount in product research and development in the early stage and continuous improvement in the later stage during the reporting period, with the R&amp;D expenses increased year by year.</w:t>
      </w:r>
    </w:p>
    <w:p>
      <w:pPr>
        <w:spacing w:after="0" w:line="38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8-4-1-77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1" w:right="339" w:bottom="1440" w:gutter="0" w:footer="0" w:header="0"/>
        </w:sectPr>
      </w:pPr>
    </w:p>
    <w:bookmarkStart w:id="81" w:name="page82"/>
    <w:bookmarkEnd w:id="81"/>
    <w:p>
      <w:pPr>
        <w:ind w:left="340"/>
        <w:spacing w:after="0"/>
        <w:rPr>
          <w:sz w:val="20"/>
          <w:szCs w:val="20"/>
          <w:color w:val="auto"/>
        </w:rPr>
      </w:pPr>
      <w:r>
        <w:rPr>
          <w:rFonts w:ascii="Arial" w:cs="Arial" w:eastAsia="Arial" w:hAnsi="Arial"/>
          <w:sz w:val="22"/>
          <w:szCs w:val="22"/>
          <w:b w:val="1"/>
          <w:bCs w:val="1"/>
          <w:color w:val="auto"/>
        </w:rPr>
        <w:t>(ii) The Company’s R&amp;D Expenses Occurred in Real Background of R&amp;D Activities</w:t>
      </w:r>
    </w:p>
    <w:p>
      <w:pPr>
        <w:spacing w:after="0" w:line="247"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The Company’s R&amp;D activities mainly cover new technologies and new products related to semiconductor special equipment and are continuous to keep improving the performance of existing products. During the Reporting Period, the Company’s R&amp;D expenses occurred in the background of actual R&amp;D activities. The corresponding R&amp;D projects and amounts are as follows:</w:t>
      </w:r>
    </w:p>
    <w:p>
      <w:pPr>
        <w:spacing w:after="0" w:line="203" w:lineRule="exact"/>
        <w:rPr>
          <w:sz w:val="20"/>
          <w:szCs w:val="20"/>
          <w:color w:val="auto"/>
        </w:rPr>
      </w:pPr>
    </w:p>
    <w:p>
      <w:pPr>
        <w:jc w:val="right"/>
        <w:spacing w:after="0"/>
        <w:rPr>
          <w:sz w:val="20"/>
          <w:szCs w:val="20"/>
          <w:color w:val="auto"/>
        </w:rPr>
      </w:pPr>
      <w:r>
        <w:rPr>
          <w:rFonts w:ascii="Arial" w:cs="Arial" w:eastAsia="Arial" w:hAnsi="Arial"/>
          <w:sz w:val="22"/>
          <w:szCs w:val="22"/>
          <w:color w:val="auto"/>
        </w:rPr>
        <w:t>Unit: RMB10,000</w:t>
      </w:r>
    </w:p>
    <w:p>
      <w:pPr>
        <w:spacing w:after="0" w:line="234" w:lineRule="exact"/>
        <w:rPr>
          <w:sz w:val="20"/>
          <w:szCs w:val="20"/>
          <w:color w:val="auto"/>
        </w:rPr>
      </w:pPr>
    </w:p>
    <w:tbl>
      <w:tblPr>
        <w:tblLayout w:type="fixed"/>
        <w:tblInd w:w="10" w:type="dxa"/>
        <w:tblCellMar>
          <w:top w:w="0" w:type="dxa"/>
          <w:left w:w="0" w:type="dxa"/>
          <w:bottom w:w="0" w:type="dxa"/>
          <w:right w:w="0" w:type="dxa"/>
        </w:tblCellMar>
      </w:tblPr>
      <w:tr>
        <w:trPr>
          <w:trHeight w:val="250"/>
        </w:trPr>
        <w:tc>
          <w:tcPr>
            <w:tcW w:w="5200" w:type="dxa"/>
            <w:vAlign w:val="bottom"/>
            <w:tcBorders>
              <w:top w:val="single" w:sz="8" w:color="auto"/>
              <w:left w:val="single" w:sz="8" w:color="auto"/>
              <w:bottom w:val="single" w:sz="8" w:color="auto"/>
              <w:right w:val="single" w:sz="8" w:color="auto"/>
            </w:tcBorders>
          </w:tcPr>
          <w:p>
            <w:pPr>
              <w:ind w:left="2320"/>
              <w:spacing w:after="0"/>
              <w:rPr>
                <w:sz w:val="20"/>
                <w:szCs w:val="20"/>
                <w:color w:val="auto"/>
              </w:rPr>
            </w:pPr>
            <w:r>
              <w:rPr>
                <w:rFonts w:ascii="Arial" w:cs="Arial" w:eastAsia="Arial" w:hAnsi="Arial"/>
                <w:sz w:val="18"/>
                <w:szCs w:val="18"/>
                <w:b w:val="1"/>
                <w:bCs w:val="1"/>
                <w:color w:val="auto"/>
              </w:rPr>
              <w:t>Project</w:t>
            </w:r>
          </w:p>
        </w:tc>
        <w:tc>
          <w:tcPr>
            <w:tcW w:w="1680" w:type="dxa"/>
            <w:vAlign w:val="bottom"/>
            <w:tcBorders>
              <w:top w:val="single" w:sz="8" w:color="auto"/>
              <w:bottom w:val="single" w:sz="8" w:color="auto"/>
              <w:right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Jan.-Jun. 2020</w:t>
            </w:r>
          </w:p>
        </w:tc>
        <w:tc>
          <w:tcPr>
            <w:tcW w:w="1460" w:type="dxa"/>
            <w:vAlign w:val="bottom"/>
            <w:tcBorders>
              <w:top w:val="single" w:sz="8" w:color="auto"/>
              <w:bottom w:val="single" w:sz="8" w:color="auto"/>
              <w:right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2019</w:t>
            </w:r>
          </w:p>
        </w:tc>
        <w:tc>
          <w:tcPr>
            <w:tcW w:w="1460" w:type="dxa"/>
            <w:vAlign w:val="bottom"/>
            <w:tcBorders>
              <w:top w:val="single" w:sz="8" w:color="auto"/>
              <w:bottom w:val="single" w:sz="8" w:color="auto"/>
              <w:right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2018</w:t>
            </w:r>
          </w:p>
        </w:tc>
        <w:tc>
          <w:tcPr>
            <w:tcW w:w="1440" w:type="dxa"/>
            <w:vAlign w:val="bottom"/>
            <w:tcBorders>
              <w:top w:val="single" w:sz="8" w:color="auto"/>
              <w:bottom w:val="single" w:sz="8" w:color="auto"/>
              <w:right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2017</w:t>
            </w:r>
          </w:p>
        </w:tc>
        <w:tc>
          <w:tcPr>
            <w:tcW w:w="0" w:type="dxa"/>
            <w:vAlign w:val="bottom"/>
          </w:tcPr>
          <w:p>
            <w:pPr>
              <w:spacing w:after="0"/>
              <w:rPr>
                <w:sz w:val="1"/>
                <w:szCs w:val="1"/>
                <w:color w:val="auto"/>
              </w:rPr>
            </w:pPr>
          </w:p>
        </w:tc>
      </w:tr>
      <w:tr>
        <w:trPr>
          <w:trHeight w:val="223"/>
        </w:trPr>
        <w:tc>
          <w:tcPr>
            <w:tcW w:w="520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SAPS cleaning technology</w:t>
            </w:r>
          </w:p>
        </w:tc>
        <w:tc>
          <w:tcPr>
            <w:tcW w:w="168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1,170.75</w:t>
            </w:r>
          </w:p>
        </w:tc>
        <w:tc>
          <w:tcPr>
            <w:tcW w:w="146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4,215.52</w:t>
            </w:r>
          </w:p>
        </w:tc>
        <w:tc>
          <w:tcPr>
            <w:tcW w:w="146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3,482.72</w:t>
            </w:r>
          </w:p>
        </w:tc>
        <w:tc>
          <w:tcPr>
            <w:tcW w:w="144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1,509.02</w:t>
            </w:r>
          </w:p>
        </w:tc>
        <w:tc>
          <w:tcPr>
            <w:tcW w:w="0" w:type="dxa"/>
            <w:vAlign w:val="bottom"/>
          </w:tcPr>
          <w:p>
            <w:pPr>
              <w:spacing w:after="0"/>
              <w:rPr>
                <w:sz w:val="1"/>
                <w:szCs w:val="1"/>
                <w:color w:val="auto"/>
              </w:rPr>
            </w:pPr>
          </w:p>
        </w:tc>
      </w:tr>
      <w:tr>
        <w:trPr>
          <w:trHeight w:val="223"/>
        </w:trPr>
        <w:tc>
          <w:tcPr>
            <w:tcW w:w="520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ECP electrochemistry electroplating technology</w:t>
            </w:r>
          </w:p>
        </w:tc>
        <w:tc>
          <w:tcPr>
            <w:tcW w:w="168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1,648.55</w:t>
            </w:r>
          </w:p>
        </w:tc>
        <w:tc>
          <w:tcPr>
            <w:tcW w:w="146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2,144.10</w:t>
            </w:r>
          </w:p>
        </w:tc>
        <w:tc>
          <w:tcPr>
            <w:tcW w:w="146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2,187.17</w:t>
            </w:r>
          </w:p>
        </w:tc>
        <w:tc>
          <w:tcPr>
            <w:tcW w:w="144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2,526.12</w:t>
            </w:r>
          </w:p>
        </w:tc>
        <w:tc>
          <w:tcPr>
            <w:tcW w:w="0" w:type="dxa"/>
            <w:vAlign w:val="bottom"/>
          </w:tcPr>
          <w:p>
            <w:pPr>
              <w:spacing w:after="0"/>
              <w:rPr>
                <w:sz w:val="1"/>
                <w:szCs w:val="1"/>
                <w:color w:val="auto"/>
              </w:rPr>
            </w:pPr>
          </w:p>
        </w:tc>
      </w:tr>
      <w:tr>
        <w:trPr>
          <w:trHeight w:val="223"/>
        </w:trPr>
        <w:tc>
          <w:tcPr>
            <w:tcW w:w="520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WET bench cleaning technology</w:t>
            </w:r>
          </w:p>
        </w:tc>
        <w:tc>
          <w:tcPr>
            <w:tcW w:w="168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783.17</w:t>
            </w:r>
          </w:p>
        </w:tc>
        <w:tc>
          <w:tcPr>
            <w:tcW w:w="146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927.15</w:t>
            </w:r>
          </w:p>
        </w:tc>
        <w:tc>
          <w:tcPr>
            <w:tcW w:w="146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208.06</w:t>
            </w:r>
          </w:p>
        </w:tc>
        <w:tc>
          <w:tcPr>
            <w:tcW w:w="144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520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Backside cleaning technology</w:t>
            </w:r>
          </w:p>
        </w:tc>
        <w:tc>
          <w:tcPr>
            <w:tcW w:w="168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345.11</w:t>
            </w:r>
          </w:p>
        </w:tc>
        <w:tc>
          <w:tcPr>
            <w:tcW w:w="146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688.98</w:t>
            </w:r>
          </w:p>
        </w:tc>
        <w:tc>
          <w:tcPr>
            <w:tcW w:w="146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325.06</w:t>
            </w:r>
          </w:p>
        </w:tc>
        <w:tc>
          <w:tcPr>
            <w:tcW w:w="144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76.50</w:t>
            </w:r>
          </w:p>
        </w:tc>
        <w:tc>
          <w:tcPr>
            <w:tcW w:w="0" w:type="dxa"/>
            <w:vAlign w:val="bottom"/>
          </w:tcPr>
          <w:p>
            <w:pPr>
              <w:spacing w:after="0"/>
              <w:rPr>
                <w:sz w:val="1"/>
                <w:szCs w:val="1"/>
                <w:color w:val="auto"/>
              </w:rPr>
            </w:pPr>
          </w:p>
        </w:tc>
      </w:tr>
      <w:tr>
        <w:trPr>
          <w:trHeight w:val="223"/>
        </w:trPr>
        <w:tc>
          <w:tcPr>
            <w:tcW w:w="520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Tahoe technology</w:t>
            </w:r>
          </w:p>
        </w:tc>
        <w:tc>
          <w:tcPr>
            <w:tcW w:w="168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161.45</w:t>
            </w:r>
          </w:p>
        </w:tc>
        <w:tc>
          <w:tcPr>
            <w:tcW w:w="146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449.17</w:t>
            </w:r>
          </w:p>
        </w:tc>
        <w:tc>
          <w:tcPr>
            <w:tcW w:w="146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253.52</w:t>
            </w:r>
          </w:p>
        </w:tc>
        <w:tc>
          <w:tcPr>
            <w:tcW w:w="144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4.61</w:t>
            </w:r>
          </w:p>
        </w:tc>
        <w:tc>
          <w:tcPr>
            <w:tcW w:w="0" w:type="dxa"/>
            <w:vAlign w:val="bottom"/>
          </w:tcPr>
          <w:p>
            <w:pPr>
              <w:spacing w:after="0"/>
              <w:rPr>
                <w:sz w:val="1"/>
                <w:szCs w:val="1"/>
                <w:color w:val="auto"/>
              </w:rPr>
            </w:pPr>
          </w:p>
        </w:tc>
      </w:tr>
      <w:tr>
        <w:trPr>
          <w:trHeight w:val="223"/>
        </w:trPr>
        <w:tc>
          <w:tcPr>
            <w:tcW w:w="520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Furnace vertical furnace tube technology</w:t>
            </w:r>
          </w:p>
        </w:tc>
        <w:tc>
          <w:tcPr>
            <w:tcW w:w="168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494.09</w:t>
            </w:r>
          </w:p>
        </w:tc>
        <w:tc>
          <w:tcPr>
            <w:tcW w:w="146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422.41</w:t>
            </w:r>
          </w:p>
        </w:tc>
        <w:tc>
          <w:tcPr>
            <w:tcW w:w="146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201.38</w:t>
            </w:r>
          </w:p>
        </w:tc>
        <w:tc>
          <w:tcPr>
            <w:tcW w:w="144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520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Backend Tools advanced packaging wet process technology</w:t>
            </w:r>
          </w:p>
        </w:tc>
        <w:tc>
          <w:tcPr>
            <w:tcW w:w="168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408.64</w:t>
            </w:r>
          </w:p>
        </w:tc>
        <w:tc>
          <w:tcPr>
            <w:tcW w:w="146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395.58</w:t>
            </w:r>
          </w:p>
        </w:tc>
        <w:tc>
          <w:tcPr>
            <w:tcW w:w="146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647.67</w:t>
            </w:r>
          </w:p>
        </w:tc>
        <w:tc>
          <w:tcPr>
            <w:tcW w:w="144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443.25</w:t>
            </w:r>
          </w:p>
        </w:tc>
        <w:tc>
          <w:tcPr>
            <w:tcW w:w="0" w:type="dxa"/>
            <w:vAlign w:val="bottom"/>
          </w:tcPr>
          <w:p>
            <w:pPr>
              <w:spacing w:after="0"/>
              <w:rPr>
                <w:sz w:val="1"/>
                <w:szCs w:val="1"/>
                <w:color w:val="auto"/>
              </w:rPr>
            </w:pPr>
          </w:p>
        </w:tc>
      </w:tr>
      <w:tr>
        <w:trPr>
          <w:trHeight w:val="223"/>
        </w:trPr>
        <w:tc>
          <w:tcPr>
            <w:tcW w:w="520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SFP stress-free polishing technology</w:t>
            </w:r>
          </w:p>
        </w:tc>
        <w:tc>
          <w:tcPr>
            <w:tcW w:w="168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243.04</w:t>
            </w:r>
          </w:p>
        </w:tc>
        <w:tc>
          <w:tcPr>
            <w:tcW w:w="146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265.23</w:t>
            </w:r>
          </w:p>
        </w:tc>
        <w:tc>
          <w:tcPr>
            <w:tcW w:w="146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270.08</w:t>
            </w:r>
          </w:p>
        </w:tc>
        <w:tc>
          <w:tcPr>
            <w:tcW w:w="144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561.36</w:t>
            </w:r>
          </w:p>
        </w:tc>
        <w:tc>
          <w:tcPr>
            <w:tcW w:w="0" w:type="dxa"/>
            <w:vAlign w:val="bottom"/>
          </w:tcPr>
          <w:p>
            <w:pPr>
              <w:spacing w:after="0"/>
              <w:rPr>
                <w:sz w:val="1"/>
                <w:szCs w:val="1"/>
                <w:color w:val="auto"/>
              </w:rPr>
            </w:pPr>
          </w:p>
        </w:tc>
      </w:tr>
      <w:tr>
        <w:trPr>
          <w:trHeight w:val="223"/>
        </w:trPr>
        <w:tc>
          <w:tcPr>
            <w:tcW w:w="520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TEBO cleaning technology</w:t>
            </w:r>
          </w:p>
        </w:tc>
        <w:tc>
          <w:tcPr>
            <w:tcW w:w="168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286.01</w:t>
            </w:r>
          </w:p>
        </w:tc>
        <w:tc>
          <w:tcPr>
            <w:tcW w:w="146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259.69</w:t>
            </w:r>
          </w:p>
        </w:tc>
        <w:tc>
          <w:tcPr>
            <w:tcW w:w="146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329.10</w:t>
            </w:r>
          </w:p>
        </w:tc>
        <w:tc>
          <w:tcPr>
            <w:tcW w:w="144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96.39</w:t>
            </w:r>
          </w:p>
        </w:tc>
        <w:tc>
          <w:tcPr>
            <w:tcW w:w="0" w:type="dxa"/>
            <w:vAlign w:val="bottom"/>
          </w:tcPr>
          <w:p>
            <w:pPr>
              <w:spacing w:after="0"/>
              <w:rPr>
                <w:sz w:val="1"/>
                <w:szCs w:val="1"/>
                <w:color w:val="auto"/>
              </w:rPr>
            </w:pPr>
          </w:p>
        </w:tc>
      </w:tr>
      <w:tr>
        <w:trPr>
          <w:trHeight w:val="202"/>
        </w:trPr>
        <w:tc>
          <w:tcPr>
            <w:tcW w:w="5200" w:type="dxa"/>
            <w:vAlign w:val="bottom"/>
            <w:tcBorders>
              <w:left w:val="single" w:sz="8" w:color="auto"/>
              <w:right w:val="single" w:sz="8" w:color="auto"/>
            </w:tcBorders>
          </w:tcPr>
          <w:p>
            <w:pPr>
              <w:ind w:left="40"/>
              <w:spacing w:after="0" w:line="201" w:lineRule="exact"/>
              <w:rPr>
                <w:sz w:val="20"/>
                <w:szCs w:val="20"/>
                <w:color w:val="auto"/>
              </w:rPr>
            </w:pPr>
            <w:r>
              <w:rPr>
                <w:rFonts w:ascii="Arial" w:cs="Arial" w:eastAsia="Arial" w:hAnsi="Arial"/>
                <w:sz w:val="18"/>
                <w:szCs w:val="18"/>
                <w:color w:val="auto"/>
                <w:w w:val="92"/>
              </w:rPr>
              <w:t>Development and industrialization of polytetrafluoroethylene chamber</w:t>
            </w:r>
          </w:p>
        </w:tc>
        <w:tc>
          <w:tcPr>
            <w:tcW w:w="1680" w:type="dxa"/>
            <w:vAlign w:val="bottom"/>
            <w:tcBorders>
              <w:right w:val="single" w:sz="8" w:color="auto"/>
            </w:tcBorders>
            <w:vMerge w:val="restart"/>
          </w:tcPr>
          <w:p>
            <w:pPr>
              <w:jc w:val="right"/>
              <w:spacing w:after="0"/>
              <w:rPr>
                <w:sz w:val="20"/>
                <w:szCs w:val="20"/>
                <w:color w:val="auto"/>
              </w:rPr>
            </w:pPr>
            <w:r>
              <w:rPr>
                <w:rFonts w:ascii="Arial" w:cs="Arial" w:eastAsia="Arial" w:hAnsi="Arial"/>
                <w:sz w:val="18"/>
                <w:szCs w:val="18"/>
                <w:color w:val="auto"/>
              </w:rPr>
              <w:t>9.20</w:t>
            </w:r>
          </w:p>
        </w:tc>
        <w:tc>
          <w:tcPr>
            <w:tcW w:w="1460" w:type="dxa"/>
            <w:vAlign w:val="bottom"/>
            <w:tcBorders>
              <w:right w:val="single" w:sz="8" w:color="auto"/>
            </w:tcBorders>
            <w:vMerge w:val="restart"/>
          </w:tcPr>
          <w:p>
            <w:pPr>
              <w:jc w:val="right"/>
              <w:spacing w:after="0"/>
              <w:rPr>
                <w:sz w:val="20"/>
                <w:szCs w:val="20"/>
                <w:color w:val="auto"/>
              </w:rPr>
            </w:pPr>
            <w:r>
              <w:rPr>
                <w:rFonts w:ascii="Arial" w:cs="Arial" w:eastAsia="Arial" w:hAnsi="Arial"/>
                <w:sz w:val="18"/>
                <w:szCs w:val="18"/>
                <w:color w:val="auto"/>
              </w:rPr>
              <w:t>28.13</w:t>
            </w:r>
          </w:p>
        </w:tc>
        <w:tc>
          <w:tcPr>
            <w:tcW w:w="1460" w:type="dxa"/>
            <w:vAlign w:val="bottom"/>
            <w:tcBorders>
              <w:right w:val="single" w:sz="8" w:color="auto"/>
            </w:tcBorders>
            <w:vMerge w:val="restart"/>
          </w:tcPr>
          <w:p>
            <w:pPr>
              <w:jc w:val="right"/>
              <w:spacing w:after="0"/>
              <w:rPr>
                <w:sz w:val="20"/>
                <w:szCs w:val="20"/>
                <w:color w:val="auto"/>
              </w:rPr>
            </w:pPr>
            <w:r>
              <w:rPr>
                <w:rFonts w:ascii="Arial" w:cs="Arial" w:eastAsia="Arial" w:hAnsi="Arial"/>
                <w:sz w:val="18"/>
                <w:szCs w:val="18"/>
                <w:color w:val="auto"/>
              </w:rPr>
              <w:t>13.94</w:t>
            </w:r>
          </w:p>
        </w:tc>
        <w:tc>
          <w:tcPr>
            <w:tcW w:w="1440" w:type="dxa"/>
            <w:vAlign w:val="bottom"/>
            <w:tcBorders>
              <w:right w:val="single" w:sz="8" w:color="auto"/>
            </w:tcBorders>
            <w:vMerge w:val="restart"/>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22"/>
        </w:trPr>
        <w:tc>
          <w:tcPr>
            <w:tcW w:w="5200" w:type="dxa"/>
            <w:vAlign w:val="bottom"/>
            <w:tcBorders>
              <w:left w:val="single" w:sz="8" w:color="auto"/>
              <w:right w:val="single" w:sz="8" w:color="auto"/>
            </w:tcBorders>
            <w:vMerge w:val="restart"/>
          </w:tcPr>
          <w:p>
            <w:pPr>
              <w:ind w:left="40"/>
              <w:spacing w:after="0"/>
              <w:rPr>
                <w:sz w:val="20"/>
                <w:szCs w:val="20"/>
                <w:color w:val="auto"/>
              </w:rPr>
            </w:pPr>
            <w:r>
              <w:rPr>
                <w:rFonts w:ascii="Arial" w:cs="Arial" w:eastAsia="Arial" w:hAnsi="Arial"/>
                <w:sz w:val="18"/>
                <w:szCs w:val="18"/>
                <w:color w:val="auto"/>
              </w:rPr>
              <w:t>manufacturing process for semiconductor equipment</w:t>
            </w:r>
          </w:p>
        </w:tc>
        <w:tc>
          <w:tcPr>
            <w:tcW w:w="1680" w:type="dxa"/>
            <w:vAlign w:val="bottom"/>
            <w:tcBorders>
              <w:right w:val="single" w:sz="8" w:color="auto"/>
            </w:tcBorders>
            <w:vMerge w:val="continue"/>
          </w:tcPr>
          <w:p>
            <w:pPr>
              <w:spacing w:after="0"/>
              <w:rPr>
                <w:sz w:val="10"/>
                <w:szCs w:val="10"/>
                <w:color w:val="auto"/>
              </w:rPr>
            </w:pPr>
          </w:p>
        </w:tc>
        <w:tc>
          <w:tcPr>
            <w:tcW w:w="1460" w:type="dxa"/>
            <w:vAlign w:val="bottom"/>
            <w:tcBorders>
              <w:right w:val="single" w:sz="8" w:color="auto"/>
            </w:tcBorders>
            <w:vMerge w:val="continue"/>
          </w:tcPr>
          <w:p>
            <w:pPr>
              <w:spacing w:after="0"/>
              <w:rPr>
                <w:sz w:val="10"/>
                <w:szCs w:val="10"/>
                <w:color w:val="auto"/>
              </w:rPr>
            </w:pPr>
          </w:p>
        </w:tc>
        <w:tc>
          <w:tcPr>
            <w:tcW w:w="1460" w:type="dxa"/>
            <w:vAlign w:val="bottom"/>
            <w:tcBorders>
              <w:right w:val="single" w:sz="8" w:color="auto"/>
            </w:tcBorders>
            <w:vMerge w:val="continue"/>
          </w:tcPr>
          <w:p>
            <w:pPr>
              <w:spacing w:after="0"/>
              <w:rPr>
                <w:sz w:val="10"/>
                <w:szCs w:val="10"/>
                <w:color w:val="auto"/>
              </w:rPr>
            </w:pPr>
          </w:p>
        </w:tc>
        <w:tc>
          <w:tcPr>
            <w:tcW w:w="1440" w:type="dxa"/>
            <w:vAlign w:val="bottom"/>
            <w:tcBorders>
              <w:right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15"/>
        </w:trPr>
        <w:tc>
          <w:tcPr>
            <w:tcW w:w="5200" w:type="dxa"/>
            <w:vAlign w:val="bottom"/>
            <w:tcBorders>
              <w:left w:val="single" w:sz="8" w:color="auto"/>
              <w:bottom w:val="single" w:sz="8" w:color="auto"/>
              <w:right w:val="single" w:sz="8" w:color="auto"/>
            </w:tcBorders>
            <w:vMerge w:val="continue"/>
          </w:tcPr>
          <w:p>
            <w:pPr>
              <w:spacing w:after="0"/>
              <w:rPr>
                <w:sz w:val="10"/>
                <w:szCs w:val="10"/>
                <w:color w:val="auto"/>
              </w:rPr>
            </w:pPr>
          </w:p>
        </w:tc>
        <w:tc>
          <w:tcPr>
            <w:tcW w:w="1680" w:type="dxa"/>
            <w:vAlign w:val="bottom"/>
            <w:tcBorders>
              <w:bottom w:val="single" w:sz="8" w:color="auto"/>
              <w:right w:val="single" w:sz="8" w:color="auto"/>
            </w:tcBorders>
          </w:tcPr>
          <w:p>
            <w:pPr>
              <w:spacing w:after="0"/>
              <w:rPr>
                <w:sz w:val="10"/>
                <w:szCs w:val="10"/>
                <w:color w:val="auto"/>
              </w:rPr>
            </w:pPr>
          </w:p>
        </w:tc>
        <w:tc>
          <w:tcPr>
            <w:tcW w:w="1460" w:type="dxa"/>
            <w:vAlign w:val="bottom"/>
            <w:tcBorders>
              <w:bottom w:val="single" w:sz="8" w:color="auto"/>
              <w:right w:val="single" w:sz="8" w:color="auto"/>
            </w:tcBorders>
          </w:tcPr>
          <w:p>
            <w:pPr>
              <w:spacing w:after="0"/>
              <w:rPr>
                <w:sz w:val="10"/>
                <w:szCs w:val="10"/>
                <w:color w:val="auto"/>
              </w:rPr>
            </w:pPr>
          </w:p>
        </w:tc>
        <w:tc>
          <w:tcPr>
            <w:tcW w:w="1460" w:type="dxa"/>
            <w:vAlign w:val="bottom"/>
            <w:tcBorders>
              <w:bottom w:val="single" w:sz="8" w:color="auto"/>
              <w:right w:val="single" w:sz="8" w:color="auto"/>
            </w:tcBorders>
          </w:tcPr>
          <w:p>
            <w:pPr>
              <w:spacing w:after="0"/>
              <w:rPr>
                <w:sz w:val="10"/>
                <w:szCs w:val="10"/>
                <w:color w:val="auto"/>
              </w:rPr>
            </w:pPr>
          </w:p>
        </w:tc>
        <w:tc>
          <w:tcPr>
            <w:tcW w:w="1440" w:type="dxa"/>
            <w:vAlign w:val="bottom"/>
            <w:tcBorders>
              <w:bottom w:val="single" w:sz="8" w:color="auto"/>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223"/>
        </w:trPr>
        <w:tc>
          <w:tcPr>
            <w:tcW w:w="520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Other</w:t>
            </w:r>
          </w:p>
        </w:tc>
        <w:tc>
          <w:tcPr>
            <w:tcW w:w="168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124.90</w:t>
            </w:r>
          </w:p>
        </w:tc>
        <w:tc>
          <w:tcPr>
            <w:tcW w:w="146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130.83</w:t>
            </w:r>
          </w:p>
        </w:tc>
        <w:tc>
          <w:tcPr>
            <w:tcW w:w="146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22.79</w:t>
            </w:r>
          </w:p>
        </w:tc>
        <w:tc>
          <w:tcPr>
            <w:tcW w:w="144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5200" w:type="dxa"/>
            <w:vAlign w:val="bottom"/>
            <w:tcBorders>
              <w:left w:val="single" w:sz="8" w:color="auto"/>
              <w:bottom w:val="single" w:sz="8" w:color="auto"/>
              <w:right w:val="single" w:sz="8" w:color="auto"/>
            </w:tcBorders>
          </w:tcPr>
          <w:p>
            <w:pPr>
              <w:ind w:left="2400"/>
              <w:spacing w:after="0"/>
              <w:rPr>
                <w:sz w:val="20"/>
                <w:szCs w:val="20"/>
                <w:color w:val="auto"/>
              </w:rPr>
            </w:pPr>
            <w:r>
              <w:rPr>
                <w:rFonts w:ascii="Arial" w:cs="Arial" w:eastAsia="Arial" w:hAnsi="Arial"/>
                <w:sz w:val="18"/>
                <w:szCs w:val="18"/>
                <w:b w:val="1"/>
                <w:bCs w:val="1"/>
                <w:color w:val="auto"/>
              </w:rPr>
              <w:t>Total</w:t>
            </w:r>
          </w:p>
        </w:tc>
        <w:tc>
          <w:tcPr>
            <w:tcW w:w="168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5,674.90</w:t>
            </w:r>
          </w:p>
        </w:tc>
        <w:tc>
          <w:tcPr>
            <w:tcW w:w="146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b w:val="1"/>
                <w:bCs w:val="1"/>
                <w:color w:val="auto"/>
              </w:rPr>
              <w:t>9,926.80</w:t>
            </w:r>
          </w:p>
        </w:tc>
        <w:tc>
          <w:tcPr>
            <w:tcW w:w="146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b w:val="1"/>
                <w:bCs w:val="1"/>
                <w:color w:val="auto"/>
              </w:rPr>
              <w:t>7,941.50</w:t>
            </w:r>
          </w:p>
        </w:tc>
        <w:tc>
          <w:tcPr>
            <w:tcW w:w="144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b w:val="1"/>
                <w:bCs w:val="1"/>
                <w:color w:val="auto"/>
              </w:rPr>
              <w:t>5,217.24</w:t>
            </w:r>
          </w:p>
        </w:tc>
        <w:tc>
          <w:tcPr>
            <w:tcW w:w="0" w:type="dxa"/>
            <w:vAlign w:val="bottom"/>
          </w:tcPr>
          <w:p>
            <w:pPr>
              <w:spacing w:after="0"/>
              <w:rPr>
                <w:sz w:val="1"/>
                <w:szCs w:val="1"/>
                <w:color w:val="auto"/>
              </w:rPr>
            </w:pPr>
          </w:p>
        </w:tc>
      </w:tr>
    </w:tbl>
    <w:p>
      <w:pPr>
        <w:spacing w:after="0" w:line="216" w:lineRule="exact"/>
        <w:rPr>
          <w:sz w:val="20"/>
          <w:szCs w:val="20"/>
          <w:color w:val="auto"/>
        </w:rPr>
      </w:pPr>
    </w:p>
    <w:p>
      <w:pPr>
        <w:ind w:left="340"/>
        <w:spacing w:after="0"/>
        <w:rPr>
          <w:sz w:val="20"/>
          <w:szCs w:val="20"/>
          <w:color w:val="auto"/>
        </w:rPr>
      </w:pPr>
      <w:r>
        <w:rPr>
          <w:rFonts w:ascii="Arial" w:cs="Arial" w:eastAsia="Arial" w:hAnsi="Arial"/>
          <w:sz w:val="22"/>
          <w:szCs w:val="22"/>
          <w:b w:val="1"/>
          <w:bCs w:val="1"/>
          <w:color w:val="auto"/>
        </w:rPr>
        <w:t>(iii) The Company’s R&amp;D Expenses and Production Costs are Accurately Grouped</w:t>
      </w:r>
    </w:p>
    <w:p>
      <w:pPr>
        <w:spacing w:after="0" w:line="239" w:lineRule="exact"/>
        <w:rPr>
          <w:sz w:val="20"/>
          <w:szCs w:val="20"/>
          <w:color w:val="auto"/>
        </w:rPr>
      </w:pPr>
    </w:p>
    <w:p>
      <w:pPr>
        <w:jc w:val="both"/>
        <w:ind w:right="20" w:firstLine="324"/>
        <w:spacing w:after="0" w:line="250" w:lineRule="auto"/>
        <w:rPr>
          <w:sz w:val="20"/>
          <w:szCs w:val="20"/>
          <w:color w:val="auto"/>
        </w:rPr>
      </w:pPr>
      <w:r>
        <w:rPr>
          <w:rFonts w:ascii="Arial" w:cs="Arial" w:eastAsia="Arial" w:hAnsi="Arial"/>
          <w:sz w:val="22"/>
          <w:szCs w:val="22"/>
          <w:color w:val="auto"/>
        </w:rPr>
        <w:t>During the Reporting Period, the Company differentiated the resources input of R&amp;D activities and production activities, and carried out different accounting treatments, as follows:</w:t>
      </w:r>
    </w:p>
    <w:p>
      <w:pPr>
        <w:spacing w:after="0" w:line="202" w:lineRule="exact"/>
        <w:rPr>
          <w:sz w:val="20"/>
          <w:szCs w:val="20"/>
          <w:color w:val="auto"/>
        </w:rPr>
      </w:pPr>
    </w:p>
    <w:p>
      <w:pPr>
        <w:ind w:left="340"/>
        <w:spacing w:after="0"/>
        <w:rPr>
          <w:sz w:val="20"/>
          <w:szCs w:val="20"/>
          <w:color w:val="auto"/>
        </w:rPr>
      </w:pPr>
      <w:r>
        <w:rPr>
          <w:rFonts w:ascii="Arial" w:cs="Arial" w:eastAsia="Arial" w:hAnsi="Arial"/>
          <w:sz w:val="22"/>
          <w:szCs w:val="22"/>
          <w:color w:val="auto"/>
        </w:rPr>
        <w:t>1. Direct materials</w:t>
      </w:r>
    </w:p>
    <w:p>
      <w:pPr>
        <w:spacing w:after="0" w:line="240"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7"/>
          <w:szCs w:val="17"/>
          <w:color w:val="auto"/>
        </w:rPr>
        <w:t>R&amp;D activities: The Company’s R&amp;D department applied for the materials based on the R&amp;D project demand, and received the materials corresponding to the R&amp;D project number through the ERP system after approval. The Company calculated the materials for the R&amp;D independently according to the R&amp;D project number, and included the relevant amount of materials into the R&amp;D expenses of the corresponding R&amp;D project.</w:t>
      </w: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8-4-1-78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1" w:right="339" w:bottom="1440" w:gutter="0" w:footer="0" w:header="0"/>
        </w:sectPr>
      </w:pPr>
    </w:p>
    <w:bookmarkStart w:id="82" w:name="page83"/>
    <w:bookmarkEnd w:id="82"/>
    <w:p>
      <w:pPr>
        <w:jc w:val="both"/>
        <w:ind w:right="20" w:firstLine="324"/>
        <w:spacing w:after="0" w:line="279" w:lineRule="auto"/>
        <w:rPr>
          <w:sz w:val="20"/>
          <w:szCs w:val="20"/>
          <w:color w:val="auto"/>
        </w:rPr>
      </w:pPr>
      <w:r>
        <w:rPr>
          <w:rFonts w:ascii="Arial" w:cs="Arial" w:eastAsia="Arial" w:hAnsi="Arial"/>
          <w:sz w:val="17"/>
          <w:szCs w:val="17"/>
          <w:color w:val="auto"/>
        </w:rPr>
        <w:t>Production activities: As per the Company’s production mode, it first carried out customized product design according to a customer order, and after the bill of materials (“BOM”) of a production order was determined based on the design drawing, its production department would obtain materials according to the BOM of the production order number. The materials for the Company’s production were calculated independently according to the production project number, and the relevant amounts of materials were included in the corresponding product production costs.</w:t>
      </w:r>
    </w:p>
    <w:p>
      <w:pPr>
        <w:spacing w:after="0" w:line="198" w:lineRule="exact"/>
        <w:rPr>
          <w:sz w:val="20"/>
          <w:szCs w:val="20"/>
          <w:color w:val="auto"/>
        </w:rPr>
      </w:pPr>
    </w:p>
    <w:p>
      <w:pPr>
        <w:ind w:left="340"/>
        <w:spacing w:after="0"/>
        <w:rPr>
          <w:sz w:val="20"/>
          <w:szCs w:val="20"/>
          <w:color w:val="auto"/>
        </w:rPr>
      </w:pPr>
      <w:r>
        <w:rPr>
          <w:rFonts w:ascii="Arial" w:cs="Arial" w:eastAsia="Arial" w:hAnsi="Arial"/>
          <w:sz w:val="18"/>
          <w:szCs w:val="18"/>
          <w:color w:val="auto"/>
        </w:rPr>
        <w:t>2. Employee benefits</w:t>
      </w:r>
    </w:p>
    <w:p>
      <w:pPr>
        <w:spacing w:after="0" w:line="252"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R&amp;D activities: The Company included the salaries, bonuses, allowances, subsidies, social insurances, housing provident funds and other labor costs into the employee benefits among the R&amp;D expenses, of which the salaries of R&amp;D personnel were calculated by the human resources department according to the attendance records and the evaluation of the R&amp;D department.</w:t>
      </w:r>
    </w:p>
    <w:p>
      <w:pPr>
        <w:spacing w:after="0" w:line="211"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7"/>
          <w:szCs w:val="17"/>
          <w:color w:val="auto"/>
        </w:rPr>
        <w:t>Production activities: The Company included the salaries, bonuses, allowances, subsidies, social insurances, housing provident funds and other labor costs of production personnel and workshop management personnel into the product production costs, of which the salaries of production personnel were calculated by the human resources department according to the attendance records and the evaluation of the production department.</w:t>
      </w:r>
    </w:p>
    <w:p>
      <w:pPr>
        <w:spacing w:after="0" w:line="192"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The monthly employee benefits in the form of payroll summary were reviewed by the manager of the human resources department and the general manager of the Company. The financial department calculated production costs, labor and R&amp;D expenses, and employee benefits according to the production costs and R&amp;D expenses listed in the payroll summary after review.</w:t>
      </w:r>
    </w:p>
    <w:p>
      <w:pPr>
        <w:spacing w:after="0" w:line="21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3. Other expenses</w:t>
      </w:r>
    </w:p>
    <w:p>
      <w:pPr>
        <w:spacing w:after="0" w:line="252"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Other expenses, including depreciation and amortization expenses, travel expenses, test and development expenses, rental expenses, were grouped as follows:</w:t>
      </w:r>
    </w:p>
    <w:p>
      <w:pPr>
        <w:spacing w:after="0" w:line="197" w:lineRule="exact"/>
        <w:rPr>
          <w:sz w:val="20"/>
          <w:szCs w:val="20"/>
          <w:color w:val="auto"/>
        </w:rPr>
      </w:pPr>
    </w:p>
    <w:p>
      <w:pPr>
        <w:ind w:firstLine="332"/>
        <w:spacing w:after="0" w:line="277" w:lineRule="auto"/>
        <w:tabs>
          <w:tab w:leader="none" w:pos="617" w:val="left"/>
        </w:tabs>
        <w:numPr>
          <w:ilvl w:val="0"/>
          <w:numId w:val="93"/>
        </w:numPr>
        <w:rPr>
          <w:rFonts w:ascii="Arial" w:cs="Arial" w:eastAsia="Arial" w:hAnsi="Arial"/>
          <w:sz w:val="18"/>
          <w:szCs w:val="18"/>
          <w:color w:val="auto"/>
        </w:rPr>
      </w:pPr>
      <w:r>
        <w:rPr>
          <w:rFonts w:ascii="Arial" w:cs="Arial" w:eastAsia="Arial" w:hAnsi="Arial"/>
          <w:sz w:val="18"/>
          <w:szCs w:val="18"/>
          <w:color w:val="auto"/>
        </w:rPr>
        <w:t>Depreciation and amortization expenses: Based on the use of fixed assets, the Company included the amortization expenses related to the production activities into the production costs, and those related to the R&amp;D activities into the R&amp;D expenses;</w:t>
      </w:r>
    </w:p>
    <w:p>
      <w:pPr>
        <w:spacing w:after="0" w:line="197" w:lineRule="exact"/>
        <w:rPr>
          <w:rFonts w:ascii="Arial" w:cs="Arial" w:eastAsia="Arial" w:hAnsi="Arial"/>
          <w:sz w:val="18"/>
          <w:szCs w:val="18"/>
          <w:color w:val="auto"/>
        </w:rPr>
      </w:pPr>
    </w:p>
    <w:p>
      <w:pPr>
        <w:jc w:val="both"/>
        <w:ind w:firstLine="332"/>
        <w:spacing w:after="0" w:line="259" w:lineRule="auto"/>
        <w:tabs>
          <w:tab w:leader="none" w:pos="591" w:val="left"/>
        </w:tabs>
        <w:numPr>
          <w:ilvl w:val="0"/>
          <w:numId w:val="93"/>
        </w:numPr>
        <w:rPr>
          <w:rFonts w:ascii="Arial" w:cs="Arial" w:eastAsia="Arial" w:hAnsi="Arial"/>
          <w:sz w:val="18"/>
          <w:szCs w:val="18"/>
          <w:color w:val="auto"/>
        </w:rPr>
      </w:pPr>
      <w:r>
        <w:rPr>
          <w:rFonts w:ascii="Arial" w:cs="Arial" w:eastAsia="Arial" w:hAnsi="Arial"/>
          <w:sz w:val="18"/>
          <w:szCs w:val="18"/>
          <w:color w:val="auto"/>
        </w:rPr>
        <w:t>Travel expenses: The Company has established a sound expense reimbursement system and process, clearly stipulating the approval process, the reimbursement process and the documents required for reimbursement in respect of the employees’ business trips and accommodations, based on which relevant R&amp;D expenses and productions costs were recorded by the financial staff according to the department of the employee being reimbursed and the nature of expense incurred;</w:t>
      </w:r>
    </w:p>
    <w:p>
      <w:pPr>
        <w:spacing w:after="0" w:line="213" w:lineRule="exact"/>
        <w:rPr>
          <w:rFonts w:ascii="Arial" w:cs="Arial" w:eastAsia="Arial" w:hAnsi="Arial"/>
          <w:sz w:val="18"/>
          <w:szCs w:val="18"/>
          <w:color w:val="auto"/>
        </w:rPr>
      </w:pPr>
    </w:p>
    <w:p>
      <w:pPr>
        <w:ind w:right="20" w:firstLine="332"/>
        <w:spacing w:after="0" w:line="277" w:lineRule="auto"/>
        <w:tabs>
          <w:tab w:leader="none" w:pos="581" w:val="left"/>
        </w:tabs>
        <w:numPr>
          <w:ilvl w:val="0"/>
          <w:numId w:val="93"/>
        </w:numPr>
        <w:rPr>
          <w:rFonts w:ascii="Arial" w:cs="Arial" w:eastAsia="Arial" w:hAnsi="Arial"/>
          <w:sz w:val="18"/>
          <w:szCs w:val="18"/>
          <w:color w:val="auto"/>
        </w:rPr>
      </w:pPr>
      <w:r>
        <w:rPr>
          <w:rFonts w:ascii="Arial" w:cs="Arial" w:eastAsia="Arial" w:hAnsi="Arial"/>
          <w:sz w:val="18"/>
          <w:szCs w:val="18"/>
          <w:color w:val="auto"/>
        </w:rPr>
        <w:t>Test and development expenses: The costs incurred by entrusting the downstream semiconductor manufacturing enterprise to test and evaluate new equipment developed by the Company were included into the R&amp;D expenses; and</w:t>
      </w:r>
    </w:p>
    <w:p>
      <w:pPr>
        <w:spacing w:after="0" w:line="197" w:lineRule="exact"/>
        <w:rPr>
          <w:rFonts w:ascii="Arial" w:cs="Arial" w:eastAsia="Arial" w:hAnsi="Arial"/>
          <w:sz w:val="18"/>
          <w:szCs w:val="18"/>
          <w:color w:val="auto"/>
        </w:rPr>
      </w:pPr>
    </w:p>
    <w:p>
      <w:pPr>
        <w:ind w:firstLine="332"/>
        <w:spacing w:after="0" w:line="277" w:lineRule="auto"/>
        <w:tabs>
          <w:tab w:leader="none" w:pos="624" w:val="left"/>
        </w:tabs>
        <w:numPr>
          <w:ilvl w:val="0"/>
          <w:numId w:val="93"/>
        </w:numPr>
        <w:rPr>
          <w:rFonts w:ascii="Arial" w:cs="Arial" w:eastAsia="Arial" w:hAnsi="Arial"/>
          <w:sz w:val="18"/>
          <w:szCs w:val="18"/>
          <w:color w:val="auto"/>
        </w:rPr>
      </w:pPr>
      <w:r>
        <w:rPr>
          <w:rFonts w:ascii="Arial" w:cs="Arial" w:eastAsia="Arial" w:hAnsi="Arial"/>
          <w:sz w:val="18"/>
          <w:szCs w:val="18"/>
          <w:color w:val="auto"/>
        </w:rPr>
        <w:t>Rental expenses: The Company apportioned the rental expenses according to the facility area actually used by the production and R&amp;D departments, which were included in the production costs and R&amp;D expenses, respectively.</w:t>
      </w:r>
    </w:p>
    <w:p>
      <w:pPr>
        <w:spacing w:after="0" w:line="197"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In sum, the Issuer independently grouped and calculated R&amp;D expenses and production costs according to R&amp;D activities and production activities, the division and grouping of which were reasonable and accurate.</w:t>
      </w:r>
    </w:p>
    <w:p>
      <w:pPr>
        <w:spacing w:after="0" w:line="36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8-4-1-79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83" w:name="page84"/>
    <w:bookmarkEnd w:id="83"/>
    <w:p>
      <w:pPr>
        <w:ind w:left="340"/>
        <w:spacing w:after="0"/>
        <w:rPr>
          <w:sz w:val="20"/>
          <w:szCs w:val="20"/>
          <w:color w:val="auto"/>
        </w:rPr>
      </w:pPr>
      <w:r>
        <w:rPr>
          <w:rFonts w:ascii="Arial" w:cs="Arial" w:eastAsia="Arial" w:hAnsi="Arial"/>
          <w:sz w:val="22"/>
          <w:szCs w:val="22"/>
          <w:b w:val="1"/>
          <w:bCs w:val="1"/>
          <w:color w:val="auto"/>
        </w:rPr>
        <w:t>(iv) No Products Formed by the Company’s R&amp;D Activities were Sold Externally</w:t>
      </w:r>
    </w:p>
    <w:p>
      <w:pPr>
        <w:spacing w:after="0" w:line="240" w:lineRule="exact"/>
        <w:rPr>
          <w:sz w:val="20"/>
          <w:szCs w:val="20"/>
          <w:color w:val="auto"/>
        </w:rPr>
      </w:pPr>
    </w:p>
    <w:p>
      <w:pPr>
        <w:jc w:val="both"/>
        <w:ind w:firstLine="324"/>
        <w:spacing w:after="0" w:line="238" w:lineRule="auto"/>
        <w:rPr>
          <w:sz w:val="20"/>
          <w:szCs w:val="20"/>
          <w:color w:val="auto"/>
        </w:rPr>
      </w:pPr>
      <w:r>
        <w:rPr>
          <w:rFonts w:ascii="Arial" w:cs="Arial" w:eastAsia="Arial" w:hAnsi="Arial"/>
          <w:sz w:val="22"/>
          <w:szCs w:val="22"/>
          <w:color w:val="auto"/>
        </w:rPr>
        <w:t>Through R&amp;D activities, the Company has mastered a series of new technologies, developed a number of new products and continuously improved the performance of existing products. In each reporting period, the products formed by the Company’s R&amp;D activities were mainly sample modules, and no R&amp;D prototype has been formed. No sample modules formed by the R&amp;D activities have been sold.</w:t>
      </w:r>
    </w:p>
    <w:p>
      <w:pPr>
        <w:spacing w:after="0" w:line="212" w:lineRule="exact"/>
        <w:rPr>
          <w:sz w:val="20"/>
          <w:szCs w:val="20"/>
          <w:color w:val="auto"/>
        </w:rPr>
      </w:pPr>
    </w:p>
    <w:p>
      <w:pPr>
        <w:jc w:val="both"/>
        <w:ind w:firstLine="324"/>
        <w:spacing w:after="0" w:line="238" w:lineRule="auto"/>
        <w:rPr>
          <w:sz w:val="20"/>
          <w:szCs w:val="20"/>
          <w:color w:val="auto"/>
        </w:rPr>
      </w:pPr>
      <w:r>
        <w:rPr>
          <w:rFonts w:ascii="Arial" w:cs="Arial" w:eastAsia="Arial" w:hAnsi="Arial"/>
          <w:sz w:val="22"/>
          <w:szCs w:val="22"/>
          <w:color w:val="auto"/>
        </w:rPr>
        <w:t>During the Reporting Period, sample modules would be developed by the Company in the course of R&amp;D activities according to the principle scheme and technical design of the R&amp;D project for the realization of specific new technologies or functions. The sample modules were mainly used for testing and verification to find the existing problems and defects, verify the function and performance, and continue to improve the process technology.</w:t>
      </w:r>
    </w:p>
    <w:p>
      <w:pPr>
        <w:spacing w:after="0" w:line="212" w:lineRule="exact"/>
        <w:rPr>
          <w:sz w:val="20"/>
          <w:szCs w:val="20"/>
          <w:color w:val="auto"/>
        </w:rPr>
      </w:pPr>
    </w:p>
    <w:p>
      <w:pPr>
        <w:jc w:val="both"/>
        <w:ind w:firstLine="324"/>
        <w:spacing w:after="0" w:line="238" w:lineRule="auto"/>
        <w:rPr>
          <w:sz w:val="20"/>
          <w:szCs w:val="20"/>
          <w:color w:val="auto"/>
        </w:rPr>
      </w:pPr>
      <w:r>
        <w:rPr>
          <w:rFonts w:ascii="Arial" w:cs="Arial" w:eastAsia="Arial" w:hAnsi="Arial"/>
          <w:sz w:val="22"/>
          <w:szCs w:val="22"/>
          <w:color w:val="auto"/>
        </w:rPr>
        <w:t>During the Reporting Period, the Company’s costs arising from the sale of equipment were included in the operating costs; the sample modules formed in the R&amp;D process have never been sold, the expenditures of which were included into the R&amp;D expenses, and the relevant accounting treatment was conducted according to the provisions of the accounting standards for business enterprises.</w:t>
      </w:r>
    </w:p>
    <w:p>
      <w:pPr>
        <w:spacing w:after="0" w:line="206" w:lineRule="exact"/>
        <w:rPr>
          <w:sz w:val="20"/>
          <w:szCs w:val="20"/>
          <w:color w:val="auto"/>
        </w:rPr>
      </w:pPr>
    </w:p>
    <w:p>
      <w:pPr>
        <w:ind w:left="340"/>
        <w:spacing w:after="0"/>
        <w:rPr>
          <w:sz w:val="20"/>
          <w:szCs w:val="20"/>
          <w:color w:val="auto"/>
        </w:rPr>
      </w:pPr>
      <w:r>
        <w:rPr>
          <w:rFonts w:ascii="Arial" w:cs="Arial" w:eastAsia="Arial" w:hAnsi="Arial"/>
          <w:sz w:val="22"/>
          <w:szCs w:val="22"/>
          <w:b w:val="1"/>
          <w:bCs w:val="1"/>
          <w:color w:val="auto"/>
        </w:rPr>
        <w:t>(v) The Company’s R&amp;D Achievements have been Successfully Applied</w:t>
      </w:r>
    </w:p>
    <w:p>
      <w:pPr>
        <w:spacing w:after="0" w:line="246"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In each reporting period, a series of new technologies have been formed in the Company’s R&amp;D activities, such as “SAPS megasonic cleaning technology, fully automatic wet bench phosphoric acid cleaning technology, wet bench single wafer combined cleaning technology, multi-anode electroplating technology.” The above R&amp;D achievements involve product types as follows:</w:t>
      </w:r>
    </w:p>
    <w:p>
      <w:pPr>
        <w:spacing w:after="0" w:line="203" w:lineRule="exact"/>
        <w:rPr>
          <w:sz w:val="20"/>
          <w:szCs w:val="20"/>
          <w:color w:val="auto"/>
        </w:rPr>
      </w:pPr>
    </w:p>
    <w:p>
      <w:pPr>
        <w:jc w:val="right"/>
        <w:spacing w:after="0"/>
        <w:rPr>
          <w:sz w:val="20"/>
          <w:szCs w:val="20"/>
          <w:color w:val="auto"/>
        </w:rPr>
      </w:pPr>
      <w:r>
        <w:rPr>
          <w:rFonts w:ascii="Arial" w:cs="Arial" w:eastAsia="Arial" w:hAnsi="Arial"/>
          <w:sz w:val="22"/>
          <w:szCs w:val="22"/>
          <w:color w:val="auto"/>
        </w:rPr>
        <w:t>Unit: Set, RMB10,000</w:t>
      </w:r>
    </w:p>
    <w:p>
      <w:pPr>
        <w:spacing w:after="0" w:line="234" w:lineRule="exact"/>
        <w:rPr>
          <w:sz w:val="20"/>
          <w:szCs w:val="20"/>
          <w:color w:val="auto"/>
        </w:rPr>
      </w:pPr>
    </w:p>
    <w:tbl>
      <w:tblPr>
        <w:tblLayout w:type="fixed"/>
        <w:tblInd w:w="10" w:type="dxa"/>
        <w:tblCellMar>
          <w:top w:w="0" w:type="dxa"/>
          <w:left w:w="0" w:type="dxa"/>
          <w:bottom w:w="0" w:type="dxa"/>
          <w:right w:w="0" w:type="dxa"/>
        </w:tblCellMar>
      </w:tblPr>
      <w:tr>
        <w:trPr>
          <w:trHeight w:val="250"/>
        </w:trPr>
        <w:tc>
          <w:tcPr>
            <w:tcW w:w="1620" w:type="dxa"/>
            <w:vAlign w:val="bottom"/>
            <w:tcBorders>
              <w:top w:val="single" w:sz="8" w:color="auto"/>
              <w:left w:val="single" w:sz="8" w:color="auto"/>
              <w:bottom w:val="single" w:sz="8" w:color="auto"/>
              <w:right w:val="single" w:sz="8" w:color="auto"/>
            </w:tcBorders>
            <w:vMerge w:val="restart"/>
          </w:tcPr>
          <w:p>
            <w:pPr>
              <w:jc w:val="center"/>
              <w:spacing w:after="0"/>
              <w:rPr>
                <w:sz w:val="20"/>
                <w:szCs w:val="20"/>
                <w:color w:val="auto"/>
              </w:rPr>
            </w:pPr>
            <w:r>
              <w:rPr>
                <w:rFonts w:ascii="Arial" w:cs="Arial" w:eastAsia="Arial" w:hAnsi="Arial"/>
                <w:sz w:val="18"/>
                <w:szCs w:val="18"/>
                <w:b w:val="1"/>
                <w:bCs w:val="1"/>
                <w:color w:val="auto"/>
                <w:w w:val="90"/>
              </w:rPr>
              <w:t>Product Type</w:t>
            </w:r>
          </w:p>
        </w:tc>
        <w:tc>
          <w:tcPr>
            <w:tcW w:w="2780" w:type="dxa"/>
            <w:vAlign w:val="bottom"/>
            <w:tcBorders>
              <w:top w:val="single" w:sz="8" w:color="auto"/>
              <w:bottom w:val="single" w:sz="8" w:color="auto"/>
              <w:right w:val="single" w:sz="8" w:color="auto"/>
            </w:tcBorders>
            <w:vMerge w:val="restart"/>
          </w:tcPr>
          <w:p>
            <w:pPr>
              <w:jc w:val="center"/>
              <w:spacing w:after="0"/>
              <w:rPr>
                <w:sz w:val="20"/>
                <w:szCs w:val="20"/>
                <w:color w:val="auto"/>
              </w:rPr>
            </w:pPr>
            <w:r>
              <w:rPr>
                <w:rFonts w:ascii="Arial" w:cs="Arial" w:eastAsia="Arial" w:hAnsi="Arial"/>
                <w:sz w:val="18"/>
                <w:szCs w:val="18"/>
                <w:b w:val="1"/>
                <w:bCs w:val="1"/>
                <w:color w:val="auto"/>
                <w:w w:val="91"/>
              </w:rPr>
              <w:t>R&amp;D Achievements</w:t>
            </w:r>
          </w:p>
        </w:tc>
        <w:tc>
          <w:tcPr>
            <w:tcW w:w="1960" w:type="dxa"/>
            <w:vAlign w:val="bottom"/>
            <w:tcBorders>
              <w:top w:val="single" w:sz="8" w:color="auto"/>
              <w:bottom w:val="single" w:sz="8" w:color="auto"/>
              <w:right w:val="single" w:sz="8" w:color="auto"/>
            </w:tcBorders>
            <w:vMerge w:val="restart"/>
          </w:tcPr>
          <w:p>
            <w:pPr>
              <w:jc w:val="center"/>
              <w:spacing w:after="0"/>
              <w:rPr>
                <w:sz w:val="20"/>
                <w:szCs w:val="20"/>
                <w:color w:val="auto"/>
              </w:rPr>
            </w:pPr>
            <w:r>
              <w:rPr>
                <w:rFonts w:ascii="Arial" w:cs="Arial" w:eastAsia="Arial" w:hAnsi="Arial"/>
                <w:sz w:val="18"/>
                <w:szCs w:val="18"/>
                <w:b w:val="1"/>
                <w:bCs w:val="1"/>
                <w:color w:val="auto"/>
                <w:w w:val="89"/>
              </w:rPr>
              <w:t>Key Customers</w:t>
            </w:r>
          </w:p>
        </w:tc>
        <w:tc>
          <w:tcPr>
            <w:tcW w:w="1100" w:type="dxa"/>
            <w:vAlign w:val="bottom"/>
            <w:tcBorders>
              <w:top w:val="single" w:sz="8" w:color="auto"/>
              <w:bottom w:val="single" w:sz="8" w:color="auto"/>
            </w:tcBorders>
          </w:tcPr>
          <w:p>
            <w:pPr>
              <w:spacing w:after="0"/>
              <w:rPr>
                <w:sz w:val="21"/>
                <w:szCs w:val="21"/>
                <w:color w:val="auto"/>
              </w:rPr>
            </w:pPr>
          </w:p>
        </w:tc>
        <w:tc>
          <w:tcPr>
            <w:tcW w:w="2320" w:type="dxa"/>
            <w:vAlign w:val="bottom"/>
            <w:tcBorders>
              <w:top w:val="single" w:sz="8" w:color="auto"/>
              <w:bottom w:val="single" w:sz="8" w:color="auto"/>
            </w:tcBorders>
            <w:gridSpan w:val="2"/>
          </w:tcPr>
          <w:p>
            <w:pPr>
              <w:jc w:val="right"/>
              <w:ind w:right="10"/>
              <w:spacing w:after="0"/>
              <w:rPr>
                <w:sz w:val="20"/>
                <w:szCs w:val="20"/>
                <w:color w:val="auto"/>
              </w:rPr>
            </w:pPr>
            <w:r>
              <w:rPr>
                <w:rFonts w:ascii="Arial" w:cs="Arial" w:eastAsia="Arial" w:hAnsi="Arial"/>
                <w:sz w:val="18"/>
                <w:szCs w:val="18"/>
                <w:b w:val="1"/>
                <w:bCs w:val="1"/>
                <w:color w:val="auto"/>
              </w:rPr>
              <w:t>Realized Sales Amount</w:t>
            </w:r>
          </w:p>
        </w:tc>
        <w:tc>
          <w:tcPr>
            <w:tcW w:w="1460" w:type="dxa"/>
            <w:vAlign w:val="bottom"/>
            <w:tcBorders>
              <w:top w:val="single" w:sz="8" w:color="auto"/>
              <w:bottom w:val="single" w:sz="8" w:color="auto"/>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198"/>
        </w:trPr>
        <w:tc>
          <w:tcPr>
            <w:tcW w:w="1620" w:type="dxa"/>
            <w:vAlign w:val="bottom"/>
            <w:tcBorders>
              <w:left w:val="single" w:sz="8" w:color="auto"/>
              <w:right w:val="single" w:sz="8" w:color="auto"/>
            </w:tcBorders>
            <w:vMerge w:val="continue"/>
          </w:tcPr>
          <w:p>
            <w:pPr>
              <w:spacing w:after="0"/>
              <w:rPr>
                <w:sz w:val="17"/>
                <w:szCs w:val="17"/>
                <w:color w:val="auto"/>
              </w:rPr>
            </w:pPr>
          </w:p>
        </w:tc>
        <w:tc>
          <w:tcPr>
            <w:tcW w:w="2780" w:type="dxa"/>
            <w:vAlign w:val="bottom"/>
            <w:tcBorders>
              <w:right w:val="single" w:sz="8" w:color="auto"/>
            </w:tcBorders>
            <w:vMerge w:val="continue"/>
          </w:tcPr>
          <w:p>
            <w:pPr>
              <w:spacing w:after="0"/>
              <w:rPr>
                <w:sz w:val="17"/>
                <w:szCs w:val="17"/>
                <w:color w:val="auto"/>
              </w:rPr>
            </w:pPr>
          </w:p>
        </w:tc>
        <w:tc>
          <w:tcPr>
            <w:tcW w:w="1960" w:type="dxa"/>
            <w:vAlign w:val="bottom"/>
            <w:tcBorders>
              <w:right w:val="single" w:sz="8" w:color="auto"/>
            </w:tcBorders>
            <w:vMerge w:val="continue"/>
          </w:tcPr>
          <w:p>
            <w:pPr>
              <w:spacing w:after="0"/>
              <w:rPr>
                <w:sz w:val="17"/>
                <w:szCs w:val="17"/>
                <w:color w:val="auto"/>
              </w:rPr>
            </w:pPr>
          </w:p>
        </w:tc>
        <w:tc>
          <w:tcPr>
            <w:tcW w:w="1100" w:type="dxa"/>
            <w:vAlign w:val="bottom"/>
            <w:tcBorders>
              <w:right w:val="single" w:sz="8" w:color="auto"/>
            </w:tcBorders>
          </w:tcPr>
          <w:p>
            <w:pPr>
              <w:jc w:val="right"/>
              <w:ind w:right="110"/>
              <w:spacing w:after="0" w:line="198" w:lineRule="exact"/>
              <w:rPr>
                <w:sz w:val="20"/>
                <w:szCs w:val="20"/>
                <w:color w:val="auto"/>
              </w:rPr>
            </w:pPr>
            <w:r>
              <w:rPr>
                <w:rFonts w:ascii="Arial" w:cs="Arial" w:eastAsia="Arial" w:hAnsi="Arial"/>
                <w:sz w:val="18"/>
                <w:szCs w:val="18"/>
                <w:b w:val="1"/>
                <w:bCs w:val="1"/>
                <w:color w:val="auto"/>
              </w:rPr>
              <w:t>Jan.-Jun.</w:t>
            </w:r>
          </w:p>
        </w:tc>
        <w:tc>
          <w:tcPr>
            <w:tcW w:w="1220" w:type="dxa"/>
            <w:vAlign w:val="bottom"/>
            <w:tcBorders>
              <w:right w:val="single" w:sz="8" w:color="auto"/>
            </w:tcBorders>
            <w:vMerge w:val="restart"/>
          </w:tcPr>
          <w:p>
            <w:pPr>
              <w:jc w:val="right"/>
              <w:ind w:right="350"/>
              <w:spacing w:after="0"/>
              <w:rPr>
                <w:sz w:val="20"/>
                <w:szCs w:val="20"/>
                <w:color w:val="auto"/>
              </w:rPr>
            </w:pPr>
            <w:r>
              <w:rPr>
                <w:rFonts w:ascii="Arial" w:cs="Arial" w:eastAsia="Arial" w:hAnsi="Arial"/>
                <w:sz w:val="18"/>
                <w:szCs w:val="18"/>
                <w:b w:val="1"/>
                <w:bCs w:val="1"/>
                <w:color w:val="auto"/>
              </w:rPr>
              <w:t>2019</w:t>
            </w:r>
          </w:p>
        </w:tc>
        <w:tc>
          <w:tcPr>
            <w:tcW w:w="1100" w:type="dxa"/>
            <w:vAlign w:val="bottom"/>
            <w:tcBorders>
              <w:right w:val="single" w:sz="8" w:color="auto"/>
            </w:tcBorders>
            <w:vMerge w:val="restart"/>
          </w:tcPr>
          <w:p>
            <w:pPr>
              <w:jc w:val="right"/>
              <w:ind w:right="290"/>
              <w:spacing w:after="0"/>
              <w:rPr>
                <w:sz w:val="20"/>
                <w:szCs w:val="20"/>
                <w:color w:val="auto"/>
              </w:rPr>
            </w:pPr>
            <w:r>
              <w:rPr>
                <w:rFonts w:ascii="Arial" w:cs="Arial" w:eastAsia="Arial" w:hAnsi="Arial"/>
                <w:sz w:val="18"/>
                <w:szCs w:val="18"/>
                <w:b w:val="1"/>
                <w:bCs w:val="1"/>
                <w:color w:val="auto"/>
              </w:rPr>
              <w:t>2018</w:t>
            </w:r>
          </w:p>
        </w:tc>
        <w:tc>
          <w:tcPr>
            <w:tcW w:w="1460" w:type="dxa"/>
            <w:vAlign w:val="bottom"/>
            <w:tcBorders>
              <w:right w:val="single" w:sz="8" w:color="auto"/>
            </w:tcBorders>
            <w:vMerge w:val="restart"/>
          </w:tcPr>
          <w:p>
            <w:pPr>
              <w:jc w:val="right"/>
              <w:ind w:right="470"/>
              <w:spacing w:after="0"/>
              <w:rPr>
                <w:sz w:val="20"/>
                <w:szCs w:val="20"/>
                <w:color w:val="auto"/>
              </w:rPr>
            </w:pPr>
            <w:r>
              <w:rPr>
                <w:rFonts w:ascii="Arial" w:cs="Arial" w:eastAsia="Arial" w:hAnsi="Arial"/>
                <w:sz w:val="18"/>
                <w:szCs w:val="18"/>
                <w:b w:val="1"/>
                <w:bCs w:val="1"/>
                <w:color w:val="auto"/>
              </w:rPr>
              <w:t>2017</w:t>
            </w:r>
          </w:p>
        </w:tc>
        <w:tc>
          <w:tcPr>
            <w:tcW w:w="0" w:type="dxa"/>
            <w:vAlign w:val="bottom"/>
          </w:tcPr>
          <w:p>
            <w:pPr>
              <w:spacing w:after="0"/>
              <w:rPr>
                <w:sz w:val="1"/>
                <w:szCs w:val="1"/>
                <w:color w:val="auto"/>
              </w:rPr>
            </w:pPr>
          </w:p>
        </w:tc>
      </w:tr>
      <w:tr>
        <w:trPr>
          <w:trHeight w:val="126"/>
        </w:trPr>
        <w:tc>
          <w:tcPr>
            <w:tcW w:w="1620" w:type="dxa"/>
            <w:vAlign w:val="bottom"/>
            <w:tcBorders>
              <w:left w:val="single" w:sz="8" w:color="auto"/>
              <w:right w:val="single" w:sz="8" w:color="auto"/>
            </w:tcBorders>
          </w:tcPr>
          <w:p>
            <w:pPr>
              <w:spacing w:after="0"/>
              <w:rPr>
                <w:sz w:val="10"/>
                <w:szCs w:val="10"/>
                <w:color w:val="auto"/>
              </w:rPr>
            </w:pPr>
          </w:p>
        </w:tc>
        <w:tc>
          <w:tcPr>
            <w:tcW w:w="2780" w:type="dxa"/>
            <w:vAlign w:val="bottom"/>
            <w:tcBorders>
              <w:right w:val="single" w:sz="8" w:color="auto"/>
            </w:tcBorders>
          </w:tcPr>
          <w:p>
            <w:pPr>
              <w:spacing w:after="0"/>
              <w:rPr>
                <w:sz w:val="10"/>
                <w:szCs w:val="10"/>
                <w:color w:val="auto"/>
              </w:rPr>
            </w:pPr>
          </w:p>
        </w:tc>
        <w:tc>
          <w:tcPr>
            <w:tcW w:w="1960" w:type="dxa"/>
            <w:vAlign w:val="bottom"/>
            <w:tcBorders>
              <w:right w:val="single" w:sz="8" w:color="auto"/>
            </w:tcBorders>
          </w:tcPr>
          <w:p>
            <w:pPr>
              <w:spacing w:after="0"/>
              <w:rPr>
                <w:sz w:val="10"/>
                <w:szCs w:val="10"/>
                <w:color w:val="auto"/>
              </w:rPr>
            </w:pPr>
          </w:p>
        </w:tc>
        <w:tc>
          <w:tcPr>
            <w:tcW w:w="1100" w:type="dxa"/>
            <w:vAlign w:val="bottom"/>
            <w:tcBorders>
              <w:right w:val="single" w:sz="8" w:color="auto"/>
            </w:tcBorders>
            <w:vMerge w:val="restart"/>
          </w:tcPr>
          <w:p>
            <w:pPr>
              <w:jc w:val="right"/>
              <w:ind w:right="290"/>
              <w:spacing w:after="0"/>
              <w:rPr>
                <w:sz w:val="20"/>
                <w:szCs w:val="20"/>
                <w:color w:val="auto"/>
              </w:rPr>
            </w:pPr>
            <w:r>
              <w:rPr>
                <w:rFonts w:ascii="Arial" w:cs="Arial" w:eastAsia="Arial" w:hAnsi="Arial"/>
                <w:sz w:val="18"/>
                <w:szCs w:val="18"/>
                <w:b w:val="1"/>
                <w:bCs w:val="1"/>
                <w:color w:val="auto"/>
              </w:rPr>
              <w:t>2020</w:t>
            </w:r>
          </w:p>
        </w:tc>
        <w:tc>
          <w:tcPr>
            <w:tcW w:w="1220" w:type="dxa"/>
            <w:vAlign w:val="bottom"/>
            <w:tcBorders>
              <w:right w:val="single" w:sz="8" w:color="auto"/>
            </w:tcBorders>
            <w:vMerge w:val="continue"/>
          </w:tcPr>
          <w:p>
            <w:pPr>
              <w:spacing w:after="0"/>
              <w:rPr>
                <w:sz w:val="10"/>
                <w:szCs w:val="10"/>
                <w:color w:val="auto"/>
              </w:rPr>
            </w:pPr>
          </w:p>
        </w:tc>
        <w:tc>
          <w:tcPr>
            <w:tcW w:w="1100" w:type="dxa"/>
            <w:vAlign w:val="bottom"/>
            <w:tcBorders>
              <w:right w:val="single" w:sz="8" w:color="auto"/>
            </w:tcBorders>
            <w:vMerge w:val="continue"/>
          </w:tcPr>
          <w:p>
            <w:pPr>
              <w:spacing w:after="0"/>
              <w:rPr>
                <w:sz w:val="10"/>
                <w:szCs w:val="10"/>
                <w:color w:val="auto"/>
              </w:rPr>
            </w:pPr>
          </w:p>
        </w:tc>
        <w:tc>
          <w:tcPr>
            <w:tcW w:w="1460" w:type="dxa"/>
            <w:vAlign w:val="bottom"/>
            <w:tcBorders>
              <w:right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15"/>
        </w:trPr>
        <w:tc>
          <w:tcPr>
            <w:tcW w:w="1620" w:type="dxa"/>
            <w:vAlign w:val="bottom"/>
            <w:tcBorders>
              <w:left w:val="single" w:sz="8" w:color="auto"/>
              <w:bottom w:val="single" w:sz="8" w:color="auto"/>
              <w:right w:val="single" w:sz="8" w:color="auto"/>
            </w:tcBorders>
          </w:tcPr>
          <w:p>
            <w:pPr>
              <w:spacing w:after="0"/>
              <w:rPr>
                <w:sz w:val="10"/>
                <w:szCs w:val="10"/>
                <w:color w:val="auto"/>
              </w:rPr>
            </w:pPr>
          </w:p>
        </w:tc>
        <w:tc>
          <w:tcPr>
            <w:tcW w:w="2780" w:type="dxa"/>
            <w:vAlign w:val="bottom"/>
            <w:tcBorders>
              <w:bottom w:val="single" w:sz="8" w:color="auto"/>
              <w:right w:val="single" w:sz="8" w:color="auto"/>
            </w:tcBorders>
          </w:tcPr>
          <w:p>
            <w:pPr>
              <w:spacing w:after="0"/>
              <w:rPr>
                <w:sz w:val="10"/>
                <w:szCs w:val="10"/>
                <w:color w:val="auto"/>
              </w:rPr>
            </w:pPr>
          </w:p>
        </w:tc>
        <w:tc>
          <w:tcPr>
            <w:tcW w:w="1960" w:type="dxa"/>
            <w:vAlign w:val="bottom"/>
            <w:tcBorders>
              <w:bottom w:val="single" w:sz="8" w:color="auto"/>
              <w:right w:val="single" w:sz="8" w:color="auto"/>
            </w:tcBorders>
          </w:tcPr>
          <w:p>
            <w:pPr>
              <w:spacing w:after="0"/>
              <w:rPr>
                <w:sz w:val="10"/>
                <w:szCs w:val="10"/>
                <w:color w:val="auto"/>
              </w:rPr>
            </w:pPr>
          </w:p>
        </w:tc>
        <w:tc>
          <w:tcPr>
            <w:tcW w:w="1100" w:type="dxa"/>
            <w:vAlign w:val="bottom"/>
            <w:tcBorders>
              <w:bottom w:val="single" w:sz="8" w:color="auto"/>
              <w:right w:val="single" w:sz="8" w:color="auto"/>
            </w:tcBorders>
            <w:vMerge w:val="continue"/>
          </w:tcPr>
          <w:p>
            <w:pPr>
              <w:spacing w:after="0"/>
              <w:rPr>
                <w:sz w:val="10"/>
                <w:szCs w:val="10"/>
                <w:color w:val="auto"/>
              </w:rPr>
            </w:pPr>
          </w:p>
        </w:tc>
        <w:tc>
          <w:tcPr>
            <w:tcW w:w="1220" w:type="dxa"/>
            <w:vAlign w:val="bottom"/>
            <w:tcBorders>
              <w:bottom w:val="single" w:sz="8" w:color="auto"/>
              <w:right w:val="single" w:sz="8" w:color="auto"/>
            </w:tcBorders>
          </w:tcPr>
          <w:p>
            <w:pPr>
              <w:spacing w:after="0"/>
              <w:rPr>
                <w:sz w:val="10"/>
                <w:szCs w:val="10"/>
                <w:color w:val="auto"/>
              </w:rPr>
            </w:pPr>
          </w:p>
        </w:tc>
        <w:tc>
          <w:tcPr>
            <w:tcW w:w="1100" w:type="dxa"/>
            <w:vAlign w:val="bottom"/>
            <w:tcBorders>
              <w:bottom w:val="single" w:sz="8" w:color="auto"/>
              <w:right w:val="single" w:sz="8" w:color="auto"/>
            </w:tcBorders>
          </w:tcPr>
          <w:p>
            <w:pPr>
              <w:spacing w:after="0"/>
              <w:rPr>
                <w:sz w:val="10"/>
                <w:szCs w:val="10"/>
                <w:color w:val="auto"/>
              </w:rPr>
            </w:pPr>
          </w:p>
        </w:tc>
        <w:tc>
          <w:tcPr>
            <w:tcW w:w="1460" w:type="dxa"/>
            <w:vAlign w:val="bottom"/>
            <w:tcBorders>
              <w:bottom w:val="single" w:sz="8" w:color="auto"/>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202"/>
        </w:trPr>
        <w:tc>
          <w:tcPr>
            <w:tcW w:w="162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18"/>
                <w:szCs w:val="18"/>
                <w:color w:val="auto"/>
                <w:w w:val="93"/>
              </w:rPr>
              <w:t>Single-wafer</w:t>
            </w:r>
          </w:p>
        </w:tc>
        <w:tc>
          <w:tcPr>
            <w:tcW w:w="2780" w:type="dxa"/>
            <w:vAlign w:val="bottom"/>
            <w:tcBorders>
              <w:right w:val="single" w:sz="8" w:color="auto"/>
            </w:tcBorders>
          </w:tcPr>
          <w:p>
            <w:pPr>
              <w:jc w:val="center"/>
              <w:spacing w:after="0" w:line="201" w:lineRule="exact"/>
              <w:rPr>
                <w:sz w:val="20"/>
                <w:szCs w:val="20"/>
                <w:color w:val="auto"/>
              </w:rPr>
            </w:pPr>
            <w:r>
              <w:rPr>
                <w:rFonts w:ascii="Arial" w:cs="Arial" w:eastAsia="Arial" w:hAnsi="Arial"/>
                <w:sz w:val="18"/>
                <w:szCs w:val="18"/>
                <w:color w:val="auto"/>
                <w:w w:val="89"/>
              </w:rPr>
              <w:t>SAPS megasonic cleaning</w:t>
            </w:r>
          </w:p>
        </w:tc>
        <w:tc>
          <w:tcPr>
            <w:tcW w:w="1960" w:type="dxa"/>
            <w:vAlign w:val="bottom"/>
            <w:tcBorders>
              <w:right w:val="single" w:sz="8" w:color="auto"/>
            </w:tcBorders>
          </w:tcPr>
          <w:p>
            <w:pPr>
              <w:spacing w:after="0"/>
              <w:rPr>
                <w:sz w:val="17"/>
                <w:szCs w:val="17"/>
                <w:color w:val="auto"/>
              </w:rPr>
            </w:pPr>
          </w:p>
        </w:tc>
        <w:tc>
          <w:tcPr>
            <w:tcW w:w="1100" w:type="dxa"/>
            <w:vAlign w:val="bottom"/>
            <w:tcBorders>
              <w:right w:val="single" w:sz="8" w:color="auto"/>
            </w:tcBorders>
          </w:tcPr>
          <w:p>
            <w:pPr>
              <w:spacing w:after="0"/>
              <w:rPr>
                <w:sz w:val="17"/>
                <w:szCs w:val="17"/>
                <w:color w:val="auto"/>
              </w:rPr>
            </w:pPr>
          </w:p>
        </w:tc>
        <w:tc>
          <w:tcPr>
            <w:tcW w:w="1220" w:type="dxa"/>
            <w:vAlign w:val="bottom"/>
            <w:tcBorders>
              <w:right w:val="single" w:sz="8" w:color="auto"/>
            </w:tcBorders>
          </w:tcPr>
          <w:p>
            <w:pPr>
              <w:spacing w:after="0"/>
              <w:rPr>
                <w:sz w:val="17"/>
                <w:szCs w:val="17"/>
                <w:color w:val="auto"/>
              </w:rPr>
            </w:pPr>
          </w:p>
        </w:tc>
        <w:tc>
          <w:tcPr>
            <w:tcW w:w="1100" w:type="dxa"/>
            <w:vAlign w:val="bottom"/>
            <w:tcBorders>
              <w:right w:val="single" w:sz="8" w:color="auto"/>
            </w:tcBorders>
          </w:tcPr>
          <w:p>
            <w:pPr>
              <w:spacing w:after="0"/>
              <w:rPr>
                <w:sz w:val="17"/>
                <w:szCs w:val="17"/>
                <w:color w:val="auto"/>
              </w:rPr>
            </w:pPr>
          </w:p>
        </w:tc>
        <w:tc>
          <w:tcPr>
            <w:tcW w:w="146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08"/>
        </w:trPr>
        <w:tc>
          <w:tcPr>
            <w:tcW w:w="1620" w:type="dxa"/>
            <w:vAlign w:val="bottom"/>
            <w:tcBorders>
              <w:left w:val="single" w:sz="8" w:color="auto"/>
              <w:right w:val="single" w:sz="8" w:color="auto"/>
            </w:tcBorders>
            <w:vMerge w:val="continue"/>
          </w:tcPr>
          <w:p>
            <w:pPr>
              <w:spacing w:after="0"/>
              <w:rPr>
                <w:sz w:val="9"/>
                <w:szCs w:val="9"/>
                <w:color w:val="auto"/>
              </w:rPr>
            </w:pPr>
          </w:p>
        </w:tc>
        <w:tc>
          <w:tcPr>
            <w:tcW w:w="27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0"/>
              </w:rPr>
              <w:t>technology, TEBO megasonic</w:t>
            </w:r>
          </w:p>
        </w:tc>
        <w:tc>
          <w:tcPr>
            <w:tcW w:w="196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2"/>
              </w:rPr>
              <w:t>Yangtze Memory, Hynix,</w:t>
            </w:r>
          </w:p>
        </w:tc>
        <w:tc>
          <w:tcPr>
            <w:tcW w:w="1100" w:type="dxa"/>
            <w:vAlign w:val="bottom"/>
            <w:tcBorders>
              <w:right w:val="single" w:sz="8" w:color="auto"/>
            </w:tcBorders>
          </w:tcPr>
          <w:p>
            <w:pPr>
              <w:spacing w:after="0"/>
              <w:rPr>
                <w:sz w:val="9"/>
                <w:szCs w:val="9"/>
                <w:color w:val="auto"/>
              </w:rPr>
            </w:pPr>
          </w:p>
        </w:tc>
        <w:tc>
          <w:tcPr>
            <w:tcW w:w="1220" w:type="dxa"/>
            <w:vAlign w:val="bottom"/>
            <w:tcBorders>
              <w:right w:val="single" w:sz="8" w:color="auto"/>
            </w:tcBorders>
          </w:tcPr>
          <w:p>
            <w:pPr>
              <w:spacing w:after="0"/>
              <w:rPr>
                <w:sz w:val="9"/>
                <w:szCs w:val="9"/>
                <w:color w:val="auto"/>
              </w:rPr>
            </w:pPr>
          </w:p>
        </w:tc>
        <w:tc>
          <w:tcPr>
            <w:tcW w:w="1100" w:type="dxa"/>
            <w:vAlign w:val="bottom"/>
            <w:tcBorders>
              <w:right w:val="single" w:sz="8" w:color="auto"/>
            </w:tcBorders>
          </w:tcPr>
          <w:p>
            <w:pPr>
              <w:spacing w:after="0"/>
              <w:rPr>
                <w:sz w:val="9"/>
                <w:szCs w:val="9"/>
                <w:color w:val="auto"/>
              </w:rPr>
            </w:pPr>
          </w:p>
        </w:tc>
        <w:tc>
          <w:tcPr>
            <w:tcW w:w="1460" w:type="dxa"/>
            <w:vAlign w:val="bottom"/>
            <w:tcBorders>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162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18"/>
                <w:szCs w:val="18"/>
                <w:color w:val="auto"/>
                <w:w w:val="92"/>
              </w:rPr>
              <w:t>cleaning</w:t>
            </w:r>
          </w:p>
        </w:tc>
        <w:tc>
          <w:tcPr>
            <w:tcW w:w="2780" w:type="dxa"/>
            <w:vAlign w:val="bottom"/>
            <w:tcBorders>
              <w:right w:val="single" w:sz="8" w:color="auto"/>
            </w:tcBorders>
            <w:vMerge w:val="continue"/>
          </w:tcPr>
          <w:p>
            <w:pPr>
              <w:spacing w:after="0"/>
              <w:rPr>
                <w:sz w:val="9"/>
                <w:szCs w:val="9"/>
                <w:color w:val="auto"/>
              </w:rPr>
            </w:pPr>
          </w:p>
        </w:tc>
        <w:tc>
          <w:tcPr>
            <w:tcW w:w="1960" w:type="dxa"/>
            <w:vAlign w:val="bottom"/>
            <w:tcBorders>
              <w:right w:val="single" w:sz="8" w:color="auto"/>
            </w:tcBorders>
            <w:vMerge w:val="continue"/>
          </w:tcPr>
          <w:p>
            <w:pPr>
              <w:spacing w:after="0"/>
              <w:rPr>
                <w:sz w:val="9"/>
                <w:szCs w:val="9"/>
                <w:color w:val="auto"/>
              </w:rPr>
            </w:pPr>
          </w:p>
        </w:tc>
        <w:tc>
          <w:tcPr>
            <w:tcW w:w="1100" w:type="dxa"/>
            <w:vAlign w:val="bottom"/>
            <w:tcBorders>
              <w:right w:val="single" w:sz="8" w:color="auto"/>
            </w:tcBorders>
            <w:vMerge w:val="restart"/>
          </w:tcPr>
          <w:p>
            <w:pPr>
              <w:jc w:val="right"/>
              <w:spacing w:after="0"/>
              <w:rPr>
                <w:sz w:val="20"/>
                <w:szCs w:val="20"/>
                <w:color w:val="auto"/>
              </w:rPr>
            </w:pPr>
            <w:r>
              <w:rPr>
                <w:rFonts w:ascii="Arial" w:cs="Arial" w:eastAsia="Arial" w:hAnsi="Arial"/>
                <w:sz w:val="18"/>
                <w:szCs w:val="18"/>
                <w:color w:val="auto"/>
              </w:rPr>
              <w:t>27,742.82</w:t>
            </w:r>
          </w:p>
        </w:tc>
        <w:tc>
          <w:tcPr>
            <w:tcW w:w="1220" w:type="dxa"/>
            <w:vAlign w:val="bottom"/>
            <w:tcBorders>
              <w:right w:val="single" w:sz="8" w:color="auto"/>
            </w:tcBorders>
            <w:vMerge w:val="restart"/>
          </w:tcPr>
          <w:p>
            <w:pPr>
              <w:jc w:val="right"/>
              <w:spacing w:after="0"/>
              <w:rPr>
                <w:sz w:val="20"/>
                <w:szCs w:val="20"/>
                <w:color w:val="auto"/>
              </w:rPr>
            </w:pPr>
            <w:r>
              <w:rPr>
                <w:rFonts w:ascii="Arial" w:cs="Arial" w:eastAsia="Arial" w:hAnsi="Arial"/>
                <w:sz w:val="18"/>
                <w:szCs w:val="18"/>
                <w:color w:val="auto"/>
              </w:rPr>
              <w:t>55,099.52</w:t>
            </w:r>
          </w:p>
        </w:tc>
        <w:tc>
          <w:tcPr>
            <w:tcW w:w="1100" w:type="dxa"/>
            <w:vAlign w:val="bottom"/>
            <w:tcBorders>
              <w:right w:val="single" w:sz="8" w:color="auto"/>
            </w:tcBorders>
            <w:vMerge w:val="restart"/>
          </w:tcPr>
          <w:p>
            <w:pPr>
              <w:jc w:val="right"/>
              <w:spacing w:after="0"/>
              <w:rPr>
                <w:sz w:val="20"/>
                <w:szCs w:val="20"/>
                <w:color w:val="auto"/>
              </w:rPr>
            </w:pPr>
            <w:r>
              <w:rPr>
                <w:rFonts w:ascii="Arial" w:cs="Arial" w:eastAsia="Arial" w:hAnsi="Arial"/>
                <w:sz w:val="18"/>
                <w:szCs w:val="18"/>
                <w:color w:val="auto"/>
              </w:rPr>
              <w:t>50,135.96</w:t>
            </w:r>
          </w:p>
        </w:tc>
        <w:tc>
          <w:tcPr>
            <w:tcW w:w="1460" w:type="dxa"/>
            <w:vAlign w:val="bottom"/>
            <w:tcBorders>
              <w:right w:val="single" w:sz="8" w:color="auto"/>
            </w:tcBorders>
            <w:vMerge w:val="restart"/>
          </w:tcPr>
          <w:p>
            <w:pPr>
              <w:jc w:val="right"/>
              <w:spacing w:after="0"/>
              <w:rPr>
                <w:sz w:val="20"/>
                <w:szCs w:val="20"/>
                <w:color w:val="auto"/>
              </w:rPr>
            </w:pPr>
            <w:r>
              <w:rPr>
                <w:rFonts w:ascii="Arial" w:cs="Arial" w:eastAsia="Arial" w:hAnsi="Arial"/>
                <w:sz w:val="18"/>
                <w:szCs w:val="18"/>
                <w:color w:val="auto"/>
              </w:rPr>
              <w:t>21,492.48</w:t>
            </w:r>
          </w:p>
        </w:tc>
        <w:tc>
          <w:tcPr>
            <w:tcW w:w="0" w:type="dxa"/>
            <w:vAlign w:val="bottom"/>
          </w:tcPr>
          <w:p>
            <w:pPr>
              <w:spacing w:after="0"/>
              <w:rPr>
                <w:sz w:val="1"/>
                <w:szCs w:val="1"/>
                <w:color w:val="auto"/>
              </w:rPr>
            </w:pPr>
          </w:p>
        </w:tc>
      </w:tr>
      <w:tr>
        <w:trPr>
          <w:trHeight w:val="108"/>
        </w:trPr>
        <w:tc>
          <w:tcPr>
            <w:tcW w:w="1620" w:type="dxa"/>
            <w:vAlign w:val="bottom"/>
            <w:tcBorders>
              <w:left w:val="single" w:sz="8" w:color="auto"/>
              <w:right w:val="single" w:sz="8" w:color="auto"/>
            </w:tcBorders>
            <w:vMerge w:val="continue"/>
          </w:tcPr>
          <w:p>
            <w:pPr>
              <w:spacing w:after="0"/>
              <w:rPr>
                <w:sz w:val="9"/>
                <w:szCs w:val="9"/>
                <w:color w:val="auto"/>
              </w:rPr>
            </w:pPr>
          </w:p>
        </w:tc>
        <w:tc>
          <w:tcPr>
            <w:tcW w:w="27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89"/>
              </w:rPr>
              <w:t>cleaning technology, backside</w:t>
            </w:r>
          </w:p>
        </w:tc>
        <w:tc>
          <w:tcPr>
            <w:tcW w:w="196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2"/>
              </w:rPr>
              <w:t>Huahong Group, SMIC</w:t>
            </w:r>
          </w:p>
        </w:tc>
        <w:tc>
          <w:tcPr>
            <w:tcW w:w="1100" w:type="dxa"/>
            <w:vAlign w:val="bottom"/>
            <w:tcBorders>
              <w:right w:val="single" w:sz="8" w:color="auto"/>
            </w:tcBorders>
            <w:vMerge w:val="continue"/>
          </w:tcPr>
          <w:p>
            <w:pPr>
              <w:spacing w:after="0"/>
              <w:rPr>
                <w:sz w:val="9"/>
                <w:szCs w:val="9"/>
                <w:color w:val="auto"/>
              </w:rPr>
            </w:pPr>
          </w:p>
        </w:tc>
        <w:tc>
          <w:tcPr>
            <w:tcW w:w="1220" w:type="dxa"/>
            <w:vAlign w:val="bottom"/>
            <w:tcBorders>
              <w:right w:val="single" w:sz="8" w:color="auto"/>
            </w:tcBorders>
            <w:vMerge w:val="continue"/>
          </w:tcPr>
          <w:p>
            <w:pPr>
              <w:spacing w:after="0"/>
              <w:rPr>
                <w:sz w:val="9"/>
                <w:szCs w:val="9"/>
                <w:color w:val="auto"/>
              </w:rPr>
            </w:pPr>
          </w:p>
        </w:tc>
        <w:tc>
          <w:tcPr>
            <w:tcW w:w="1100" w:type="dxa"/>
            <w:vAlign w:val="bottom"/>
            <w:tcBorders>
              <w:right w:val="single" w:sz="8" w:color="auto"/>
            </w:tcBorders>
            <w:vMerge w:val="continue"/>
          </w:tcPr>
          <w:p>
            <w:pPr>
              <w:spacing w:after="0"/>
              <w:rPr>
                <w:sz w:val="9"/>
                <w:szCs w:val="9"/>
                <w:color w:val="auto"/>
              </w:rPr>
            </w:pPr>
          </w:p>
        </w:tc>
        <w:tc>
          <w:tcPr>
            <w:tcW w:w="1460" w:type="dxa"/>
            <w:vAlign w:val="bottom"/>
            <w:tcBorders>
              <w:right w:val="single" w:sz="8" w:color="auto"/>
            </w:tcBorders>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162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18"/>
                <w:szCs w:val="18"/>
                <w:color w:val="auto"/>
                <w:w w:val="90"/>
              </w:rPr>
              <w:t>equipment</w:t>
            </w:r>
          </w:p>
        </w:tc>
        <w:tc>
          <w:tcPr>
            <w:tcW w:w="2780" w:type="dxa"/>
            <w:vAlign w:val="bottom"/>
            <w:tcBorders>
              <w:right w:val="single" w:sz="8" w:color="auto"/>
            </w:tcBorders>
            <w:vMerge w:val="continue"/>
          </w:tcPr>
          <w:p>
            <w:pPr>
              <w:spacing w:after="0"/>
              <w:rPr>
                <w:sz w:val="9"/>
                <w:szCs w:val="9"/>
                <w:color w:val="auto"/>
              </w:rPr>
            </w:pPr>
          </w:p>
        </w:tc>
        <w:tc>
          <w:tcPr>
            <w:tcW w:w="1960" w:type="dxa"/>
            <w:vAlign w:val="bottom"/>
            <w:tcBorders>
              <w:right w:val="single" w:sz="8" w:color="auto"/>
            </w:tcBorders>
            <w:vMerge w:val="continue"/>
          </w:tcPr>
          <w:p>
            <w:pPr>
              <w:spacing w:after="0"/>
              <w:rPr>
                <w:sz w:val="9"/>
                <w:szCs w:val="9"/>
                <w:color w:val="auto"/>
              </w:rPr>
            </w:pPr>
          </w:p>
        </w:tc>
        <w:tc>
          <w:tcPr>
            <w:tcW w:w="1100" w:type="dxa"/>
            <w:vAlign w:val="bottom"/>
            <w:tcBorders>
              <w:right w:val="single" w:sz="8" w:color="auto"/>
            </w:tcBorders>
          </w:tcPr>
          <w:p>
            <w:pPr>
              <w:spacing w:after="0"/>
              <w:rPr>
                <w:sz w:val="9"/>
                <w:szCs w:val="9"/>
                <w:color w:val="auto"/>
              </w:rPr>
            </w:pPr>
          </w:p>
        </w:tc>
        <w:tc>
          <w:tcPr>
            <w:tcW w:w="1220" w:type="dxa"/>
            <w:vAlign w:val="bottom"/>
            <w:tcBorders>
              <w:right w:val="single" w:sz="8" w:color="auto"/>
            </w:tcBorders>
          </w:tcPr>
          <w:p>
            <w:pPr>
              <w:spacing w:after="0"/>
              <w:rPr>
                <w:sz w:val="9"/>
                <w:szCs w:val="9"/>
                <w:color w:val="auto"/>
              </w:rPr>
            </w:pPr>
          </w:p>
        </w:tc>
        <w:tc>
          <w:tcPr>
            <w:tcW w:w="1100" w:type="dxa"/>
            <w:vAlign w:val="bottom"/>
            <w:tcBorders>
              <w:right w:val="single" w:sz="8" w:color="auto"/>
            </w:tcBorders>
          </w:tcPr>
          <w:p>
            <w:pPr>
              <w:spacing w:after="0"/>
              <w:rPr>
                <w:sz w:val="9"/>
                <w:szCs w:val="9"/>
                <w:color w:val="auto"/>
              </w:rPr>
            </w:pPr>
          </w:p>
        </w:tc>
        <w:tc>
          <w:tcPr>
            <w:tcW w:w="1460" w:type="dxa"/>
            <w:vAlign w:val="bottom"/>
            <w:tcBorders>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22"/>
        </w:trPr>
        <w:tc>
          <w:tcPr>
            <w:tcW w:w="1620" w:type="dxa"/>
            <w:vAlign w:val="bottom"/>
            <w:tcBorders>
              <w:left w:val="single" w:sz="8" w:color="auto"/>
              <w:right w:val="single" w:sz="8" w:color="auto"/>
            </w:tcBorders>
            <w:vMerge w:val="continue"/>
          </w:tcPr>
          <w:p>
            <w:pPr>
              <w:spacing w:after="0"/>
              <w:rPr>
                <w:sz w:val="10"/>
                <w:szCs w:val="10"/>
                <w:color w:val="auto"/>
              </w:rPr>
            </w:pPr>
          </w:p>
        </w:tc>
        <w:tc>
          <w:tcPr>
            <w:tcW w:w="27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0"/>
              </w:rPr>
              <w:t>cleaning technology</w:t>
            </w:r>
          </w:p>
        </w:tc>
        <w:tc>
          <w:tcPr>
            <w:tcW w:w="1960" w:type="dxa"/>
            <w:vAlign w:val="bottom"/>
            <w:tcBorders>
              <w:right w:val="single" w:sz="8" w:color="auto"/>
            </w:tcBorders>
          </w:tcPr>
          <w:p>
            <w:pPr>
              <w:spacing w:after="0"/>
              <w:rPr>
                <w:sz w:val="10"/>
                <w:szCs w:val="10"/>
                <w:color w:val="auto"/>
              </w:rPr>
            </w:pPr>
          </w:p>
        </w:tc>
        <w:tc>
          <w:tcPr>
            <w:tcW w:w="1100" w:type="dxa"/>
            <w:vAlign w:val="bottom"/>
            <w:tcBorders>
              <w:right w:val="single" w:sz="8" w:color="auto"/>
            </w:tcBorders>
          </w:tcPr>
          <w:p>
            <w:pPr>
              <w:spacing w:after="0"/>
              <w:rPr>
                <w:sz w:val="10"/>
                <w:szCs w:val="10"/>
                <w:color w:val="auto"/>
              </w:rPr>
            </w:pPr>
          </w:p>
        </w:tc>
        <w:tc>
          <w:tcPr>
            <w:tcW w:w="1220" w:type="dxa"/>
            <w:vAlign w:val="bottom"/>
            <w:tcBorders>
              <w:right w:val="single" w:sz="8" w:color="auto"/>
            </w:tcBorders>
          </w:tcPr>
          <w:p>
            <w:pPr>
              <w:spacing w:after="0"/>
              <w:rPr>
                <w:sz w:val="10"/>
                <w:szCs w:val="10"/>
                <w:color w:val="auto"/>
              </w:rPr>
            </w:pPr>
          </w:p>
        </w:tc>
        <w:tc>
          <w:tcPr>
            <w:tcW w:w="1100" w:type="dxa"/>
            <w:vAlign w:val="bottom"/>
            <w:tcBorders>
              <w:right w:val="single" w:sz="8" w:color="auto"/>
            </w:tcBorders>
          </w:tcPr>
          <w:p>
            <w:pPr>
              <w:spacing w:after="0"/>
              <w:rPr>
                <w:sz w:val="10"/>
                <w:szCs w:val="10"/>
                <w:color w:val="auto"/>
              </w:rPr>
            </w:pPr>
          </w:p>
        </w:tc>
        <w:tc>
          <w:tcPr>
            <w:tcW w:w="1460" w:type="dxa"/>
            <w:vAlign w:val="bottom"/>
            <w:tcBorders>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15"/>
        </w:trPr>
        <w:tc>
          <w:tcPr>
            <w:tcW w:w="1620" w:type="dxa"/>
            <w:vAlign w:val="bottom"/>
            <w:tcBorders>
              <w:left w:val="single" w:sz="8" w:color="auto"/>
              <w:bottom w:val="single" w:sz="8" w:color="auto"/>
              <w:right w:val="single" w:sz="8" w:color="auto"/>
            </w:tcBorders>
          </w:tcPr>
          <w:p>
            <w:pPr>
              <w:spacing w:after="0"/>
              <w:rPr>
                <w:sz w:val="10"/>
                <w:szCs w:val="10"/>
                <w:color w:val="auto"/>
              </w:rPr>
            </w:pPr>
          </w:p>
        </w:tc>
        <w:tc>
          <w:tcPr>
            <w:tcW w:w="2780" w:type="dxa"/>
            <w:vAlign w:val="bottom"/>
            <w:tcBorders>
              <w:bottom w:val="single" w:sz="8" w:color="auto"/>
              <w:right w:val="single" w:sz="8" w:color="auto"/>
            </w:tcBorders>
            <w:vMerge w:val="continue"/>
          </w:tcPr>
          <w:p>
            <w:pPr>
              <w:spacing w:after="0"/>
              <w:rPr>
                <w:sz w:val="10"/>
                <w:szCs w:val="10"/>
                <w:color w:val="auto"/>
              </w:rPr>
            </w:pPr>
          </w:p>
        </w:tc>
        <w:tc>
          <w:tcPr>
            <w:tcW w:w="1960" w:type="dxa"/>
            <w:vAlign w:val="bottom"/>
            <w:tcBorders>
              <w:bottom w:val="single" w:sz="8" w:color="auto"/>
              <w:right w:val="single" w:sz="8" w:color="auto"/>
            </w:tcBorders>
          </w:tcPr>
          <w:p>
            <w:pPr>
              <w:spacing w:after="0"/>
              <w:rPr>
                <w:sz w:val="10"/>
                <w:szCs w:val="10"/>
                <w:color w:val="auto"/>
              </w:rPr>
            </w:pPr>
          </w:p>
        </w:tc>
        <w:tc>
          <w:tcPr>
            <w:tcW w:w="1100" w:type="dxa"/>
            <w:vAlign w:val="bottom"/>
            <w:tcBorders>
              <w:bottom w:val="single" w:sz="8" w:color="auto"/>
              <w:right w:val="single" w:sz="8" w:color="auto"/>
            </w:tcBorders>
          </w:tcPr>
          <w:p>
            <w:pPr>
              <w:spacing w:after="0"/>
              <w:rPr>
                <w:sz w:val="10"/>
                <w:szCs w:val="10"/>
                <w:color w:val="auto"/>
              </w:rPr>
            </w:pPr>
          </w:p>
        </w:tc>
        <w:tc>
          <w:tcPr>
            <w:tcW w:w="1220" w:type="dxa"/>
            <w:vAlign w:val="bottom"/>
            <w:tcBorders>
              <w:bottom w:val="single" w:sz="8" w:color="auto"/>
              <w:right w:val="single" w:sz="8" w:color="auto"/>
            </w:tcBorders>
          </w:tcPr>
          <w:p>
            <w:pPr>
              <w:spacing w:after="0"/>
              <w:rPr>
                <w:sz w:val="10"/>
                <w:szCs w:val="10"/>
                <w:color w:val="auto"/>
              </w:rPr>
            </w:pPr>
          </w:p>
        </w:tc>
        <w:tc>
          <w:tcPr>
            <w:tcW w:w="1100" w:type="dxa"/>
            <w:vAlign w:val="bottom"/>
            <w:tcBorders>
              <w:bottom w:val="single" w:sz="8" w:color="auto"/>
              <w:right w:val="single" w:sz="8" w:color="auto"/>
            </w:tcBorders>
          </w:tcPr>
          <w:p>
            <w:pPr>
              <w:spacing w:after="0"/>
              <w:rPr>
                <w:sz w:val="10"/>
                <w:szCs w:val="10"/>
                <w:color w:val="auto"/>
              </w:rPr>
            </w:pPr>
          </w:p>
        </w:tc>
        <w:tc>
          <w:tcPr>
            <w:tcW w:w="1460" w:type="dxa"/>
            <w:vAlign w:val="bottom"/>
            <w:tcBorders>
              <w:bottom w:val="single" w:sz="8" w:color="auto"/>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202"/>
        </w:trPr>
        <w:tc>
          <w:tcPr>
            <w:tcW w:w="1620" w:type="dxa"/>
            <w:vAlign w:val="bottom"/>
            <w:tcBorders>
              <w:left w:val="single" w:sz="8" w:color="auto"/>
              <w:right w:val="single" w:sz="8" w:color="auto"/>
            </w:tcBorders>
          </w:tcPr>
          <w:p>
            <w:pPr>
              <w:jc w:val="center"/>
              <w:spacing w:after="0" w:line="201" w:lineRule="exact"/>
              <w:rPr>
                <w:sz w:val="20"/>
                <w:szCs w:val="20"/>
                <w:color w:val="auto"/>
              </w:rPr>
            </w:pPr>
            <w:r>
              <w:rPr>
                <w:rFonts w:ascii="Arial" w:cs="Arial" w:eastAsia="Arial" w:hAnsi="Arial"/>
                <w:sz w:val="18"/>
                <w:szCs w:val="18"/>
                <w:color w:val="auto"/>
                <w:w w:val="88"/>
              </w:rPr>
              <w:t>Wet bench</w:t>
            </w:r>
          </w:p>
        </w:tc>
        <w:tc>
          <w:tcPr>
            <w:tcW w:w="27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1"/>
              </w:rPr>
              <w:t>Fully automatic wet bench phosphoric</w:t>
            </w:r>
          </w:p>
        </w:tc>
        <w:tc>
          <w:tcPr>
            <w:tcW w:w="1960" w:type="dxa"/>
            <w:vAlign w:val="bottom"/>
            <w:tcBorders>
              <w:right w:val="single" w:sz="8" w:color="auto"/>
            </w:tcBorders>
          </w:tcPr>
          <w:p>
            <w:pPr>
              <w:spacing w:after="0"/>
              <w:rPr>
                <w:sz w:val="17"/>
                <w:szCs w:val="17"/>
                <w:color w:val="auto"/>
              </w:rPr>
            </w:pPr>
          </w:p>
        </w:tc>
        <w:tc>
          <w:tcPr>
            <w:tcW w:w="1100" w:type="dxa"/>
            <w:vAlign w:val="bottom"/>
            <w:tcBorders>
              <w:right w:val="single" w:sz="8" w:color="auto"/>
            </w:tcBorders>
          </w:tcPr>
          <w:p>
            <w:pPr>
              <w:spacing w:after="0"/>
              <w:rPr>
                <w:sz w:val="17"/>
                <w:szCs w:val="17"/>
                <w:color w:val="auto"/>
              </w:rPr>
            </w:pPr>
          </w:p>
        </w:tc>
        <w:tc>
          <w:tcPr>
            <w:tcW w:w="1220" w:type="dxa"/>
            <w:vAlign w:val="bottom"/>
            <w:tcBorders>
              <w:right w:val="single" w:sz="8" w:color="auto"/>
            </w:tcBorders>
          </w:tcPr>
          <w:p>
            <w:pPr>
              <w:spacing w:after="0"/>
              <w:rPr>
                <w:sz w:val="17"/>
                <w:szCs w:val="17"/>
                <w:color w:val="auto"/>
              </w:rPr>
            </w:pPr>
          </w:p>
        </w:tc>
        <w:tc>
          <w:tcPr>
            <w:tcW w:w="1100" w:type="dxa"/>
            <w:vAlign w:val="bottom"/>
            <w:tcBorders>
              <w:right w:val="single" w:sz="8" w:color="auto"/>
            </w:tcBorders>
          </w:tcPr>
          <w:p>
            <w:pPr>
              <w:spacing w:after="0"/>
              <w:rPr>
                <w:sz w:val="17"/>
                <w:szCs w:val="17"/>
                <w:color w:val="auto"/>
              </w:rPr>
            </w:pPr>
          </w:p>
        </w:tc>
        <w:tc>
          <w:tcPr>
            <w:tcW w:w="146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08"/>
        </w:trPr>
        <w:tc>
          <w:tcPr>
            <w:tcW w:w="162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18"/>
                <w:szCs w:val="18"/>
                <w:color w:val="auto"/>
                <w:w w:val="92"/>
              </w:rPr>
              <w:t>cleaning</w:t>
            </w:r>
          </w:p>
        </w:tc>
        <w:tc>
          <w:tcPr>
            <w:tcW w:w="2780" w:type="dxa"/>
            <w:vAlign w:val="bottom"/>
            <w:tcBorders>
              <w:right w:val="single" w:sz="8" w:color="auto"/>
            </w:tcBorders>
            <w:vMerge w:val="continue"/>
          </w:tcPr>
          <w:p>
            <w:pPr>
              <w:spacing w:after="0"/>
              <w:rPr>
                <w:sz w:val="9"/>
                <w:szCs w:val="9"/>
                <w:color w:val="auto"/>
              </w:rPr>
            </w:pPr>
          </w:p>
        </w:tc>
        <w:tc>
          <w:tcPr>
            <w:tcW w:w="196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0"/>
              </w:rPr>
              <w:t>Huahong Group</w:t>
            </w:r>
          </w:p>
        </w:tc>
        <w:tc>
          <w:tcPr>
            <w:tcW w:w="1100" w:type="dxa"/>
            <w:vAlign w:val="bottom"/>
            <w:tcBorders>
              <w:right w:val="single" w:sz="8" w:color="auto"/>
            </w:tcBorders>
            <w:vMerge w:val="restart"/>
          </w:tcPr>
          <w:p>
            <w:pPr>
              <w:jc w:val="right"/>
              <w:spacing w:after="0"/>
              <w:rPr>
                <w:sz w:val="20"/>
                <w:szCs w:val="20"/>
                <w:color w:val="auto"/>
              </w:rPr>
            </w:pPr>
            <w:r>
              <w:rPr>
                <w:rFonts w:ascii="Arial" w:cs="Arial" w:eastAsia="Arial" w:hAnsi="Arial"/>
                <w:sz w:val="18"/>
                <w:szCs w:val="18"/>
                <w:color w:val="auto"/>
              </w:rPr>
              <w:t>1,828.29</w:t>
            </w:r>
          </w:p>
        </w:tc>
        <w:tc>
          <w:tcPr>
            <w:tcW w:w="1220" w:type="dxa"/>
            <w:vAlign w:val="bottom"/>
            <w:tcBorders>
              <w:right w:val="single" w:sz="8" w:color="auto"/>
            </w:tcBorders>
            <w:vMerge w:val="restart"/>
          </w:tcPr>
          <w:p>
            <w:pPr>
              <w:jc w:val="right"/>
              <w:spacing w:after="0"/>
              <w:rPr>
                <w:sz w:val="20"/>
                <w:szCs w:val="20"/>
                <w:color w:val="auto"/>
              </w:rPr>
            </w:pPr>
            <w:r>
              <w:rPr>
                <w:rFonts w:ascii="Arial" w:cs="Arial" w:eastAsia="Arial" w:hAnsi="Arial"/>
                <w:sz w:val="18"/>
                <w:szCs w:val="18"/>
                <w:color w:val="auto"/>
              </w:rPr>
              <w:t>4,801.36</w:t>
            </w:r>
          </w:p>
        </w:tc>
        <w:tc>
          <w:tcPr>
            <w:tcW w:w="1100" w:type="dxa"/>
            <w:vAlign w:val="bottom"/>
            <w:tcBorders>
              <w:right w:val="single" w:sz="8" w:color="auto"/>
            </w:tcBorders>
            <w:vMerge w:val="restart"/>
          </w:tcPr>
          <w:p>
            <w:pPr>
              <w:jc w:val="right"/>
              <w:spacing w:after="0"/>
              <w:rPr>
                <w:sz w:val="20"/>
                <w:szCs w:val="20"/>
                <w:color w:val="auto"/>
              </w:rPr>
            </w:pPr>
            <w:r>
              <w:rPr>
                <w:rFonts w:ascii="Arial" w:cs="Arial" w:eastAsia="Arial" w:hAnsi="Arial"/>
                <w:sz w:val="18"/>
                <w:szCs w:val="18"/>
                <w:color w:val="auto"/>
              </w:rPr>
              <w:t>-</w:t>
            </w:r>
          </w:p>
        </w:tc>
        <w:tc>
          <w:tcPr>
            <w:tcW w:w="1460" w:type="dxa"/>
            <w:vAlign w:val="bottom"/>
            <w:tcBorders>
              <w:right w:val="single" w:sz="8" w:color="auto"/>
            </w:tcBorders>
            <w:vMerge w:val="restart"/>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08"/>
        </w:trPr>
        <w:tc>
          <w:tcPr>
            <w:tcW w:w="1620" w:type="dxa"/>
            <w:vAlign w:val="bottom"/>
            <w:tcBorders>
              <w:left w:val="single" w:sz="8" w:color="auto"/>
              <w:right w:val="single" w:sz="8" w:color="auto"/>
            </w:tcBorders>
            <w:vMerge w:val="continue"/>
          </w:tcPr>
          <w:p>
            <w:pPr>
              <w:spacing w:after="0"/>
              <w:rPr>
                <w:sz w:val="9"/>
                <w:szCs w:val="9"/>
                <w:color w:val="auto"/>
              </w:rPr>
            </w:pPr>
          </w:p>
        </w:tc>
        <w:tc>
          <w:tcPr>
            <w:tcW w:w="27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1"/>
              </w:rPr>
              <w:t>acid cleaning technology</w:t>
            </w:r>
          </w:p>
        </w:tc>
        <w:tc>
          <w:tcPr>
            <w:tcW w:w="1960" w:type="dxa"/>
            <w:vAlign w:val="bottom"/>
            <w:tcBorders>
              <w:right w:val="single" w:sz="8" w:color="auto"/>
            </w:tcBorders>
            <w:vMerge w:val="continue"/>
          </w:tcPr>
          <w:p>
            <w:pPr>
              <w:spacing w:after="0"/>
              <w:rPr>
                <w:sz w:val="9"/>
                <w:szCs w:val="9"/>
                <w:color w:val="auto"/>
              </w:rPr>
            </w:pPr>
          </w:p>
        </w:tc>
        <w:tc>
          <w:tcPr>
            <w:tcW w:w="1100" w:type="dxa"/>
            <w:vAlign w:val="bottom"/>
            <w:tcBorders>
              <w:right w:val="single" w:sz="8" w:color="auto"/>
            </w:tcBorders>
            <w:vMerge w:val="continue"/>
          </w:tcPr>
          <w:p>
            <w:pPr>
              <w:spacing w:after="0"/>
              <w:rPr>
                <w:sz w:val="9"/>
                <w:szCs w:val="9"/>
                <w:color w:val="auto"/>
              </w:rPr>
            </w:pPr>
          </w:p>
        </w:tc>
        <w:tc>
          <w:tcPr>
            <w:tcW w:w="1220" w:type="dxa"/>
            <w:vAlign w:val="bottom"/>
            <w:tcBorders>
              <w:right w:val="single" w:sz="8" w:color="auto"/>
            </w:tcBorders>
            <w:vMerge w:val="continue"/>
          </w:tcPr>
          <w:p>
            <w:pPr>
              <w:spacing w:after="0"/>
              <w:rPr>
                <w:sz w:val="9"/>
                <w:szCs w:val="9"/>
                <w:color w:val="auto"/>
              </w:rPr>
            </w:pPr>
          </w:p>
        </w:tc>
        <w:tc>
          <w:tcPr>
            <w:tcW w:w="1100" w:type="dxa"/>
            <w:vAlign w:val="bottom"/>
            <w:tcBorders>
              <w:right w:val="single" w:sz="8" w:color="auto"/>
            </w:tcBorders>
            <w:vMerge w:val="continue"/>
          </w:tcPr>
          <w:p>
            <w:pPr>
              <w:spacing w:after="0"/>
              <w:rPr>
                <w:sz w:val="9"/>
                <w:szCs w:val="9"/>
                <w:color w:val="auto"/>
              </w:rPr>
            </w:pPr>
          </w:p>
        </w:tc>
        <w:tc>
          <w:tcPr>
            <w:tcW w:w="1460" w:type="dxa"/>
            <w:vAlign w:val="bottom"/>
            <w:tcBorders>
              <w:right w:val="single" w:sz="8" w:color="auto"/>
            </w:tcBorders>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22"/>
        </w:trPr>
        <w:tc>
          <w:tcPr>
            <w:tcW w:w="162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18"/>
                <w:szCs w:val="18"/>
                <w:color w:val="auto"/>
                <w:w w:val="90"/>
              </w:rPr>
              <w:t>equipment</w:t>
            </w:r>
          </w:p>
        </w:tc>
        <w:tc>
          <w:tcPr>
            <w:tcW w:w="2780" w:type="dxa"/>
            <w:vAlign w:val="bottom"/>
            <w:tcBorders>
              <w:right w:val="single" w:sz="8" w:color="auto"/>
            </w:tcBorders>
            <w:vMerge w:val="continue"/>
          </w:tcPr>
          <w:p>
            <w:pPr>
              <w:spacing w:after="0"/>
              <w:rPr>
                <w:sz w:val="10"/>
                <w:szCs w:val="10"/>
                <w:color w:val="auto"/>
              </w:rPr>
            </w:pPr>
          </w:p>
        </w:tc>
        <w:tc>
          <w:tcPr>
            <w:tcW w:w="1960" w:type="dxa"/>
            <w:vAlign w:val="bottom"/>
            <w:tcBorders>
              <w:right w:val="single" w:sz="8" w:color="auto"/>
            </w:tcBorders>
          </w:tcPr>
          <w:p>
            <w:pPr>
              <w:spacing w:after="0"/>
              <w:rPr>
                <w:sz w:val="10"/>
                <w:szCs w:val="10"/>
                <w:color w:val="auto"/>
              </w:rPr>
            </w:pPr>
          </w:p>
        </w:tc>
        <w:tc>
          <w:tcPr>
            <w:tcW w:w="1100" w:type="dxa"/>
            <w:vAlign w:val="bottom"/>
            <w:tcBorders>
              <w:right w:val="single" w:sz="8" w:color="auto"/>
            </w:tcBorders>
          </w:tcPr>
          <w:p>
            <w:pPr>
              <w:spacing w:after="0"/>
              <w:rPr>
                <w:sz w:val="10"/>
                <w:szCs w:val="10"/>
                <w:color w:val="auto"/>
              </w:rPr>
            </w:pPr>
          </w:p>
        </w:tc>
        <w:tc>
          <w:tcPr>
            <w:tcW w:w="1220" w:type="dxa"/>
            <w:vAlign w:val="bottom"/>
            <w:tcBorders>
              <w:right w:val="single" w:sz="8" w:color="auto"/>
            </w:tcBorders>
          </w:tcPr>
          <w:p>
            <w:pPr>
              <w:spacing w:after="0"/>
              <w:rPr>
                <w:sz w:val="10"/>
                <w:szCs w:val="10"/>
                <w:color w:val="auto"/>
              </w:rPr>
            </w:pPr>
          </w:p>
        </w:tc>
        <w:tc>
          <w:tcPr>
            <w:tcW w:w="1100" w:type="dxa"/>
            <w:vAlign w:val="bottom"/>
            <w:tcBorders>
              <w:right w:val="single" w:sz="8" w:color="auto"/>
            </w:tcBorders>
          </w:tcPr>
          <w:p>
            <w:pPr>
              <w:spacing w:after="0"/>
              <w:rPr>
                <w:sz w:val="10"/>
                <w:szCs w:val="10"/>
                <w:color w:val="auto"/>
              </w:rPr>
            </w:pPr>
          </w:p>
        </w:tc>
        <w:tc>
          <w:tcPr>
            <w:tcW w:w="1460" w:type="dxa"/>
            <w:vAlign w:val="bottom"/>
            <w:tcBorders>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15"/>
        </w:trPr>
        <w:tc>
          <w:tcPr>
            <w:tcW w:w="1620" w:type="dxa"/>
            <w:vAlign w:val="bottom"/>
            <w:tcBorders>
              <w:left w:val="single" w:sz="8" w:color="auto"/>
              <w:bottom w:val="single" w:sz="8" w:color="auto"/>
              <w:right w:val="single" w:sz="8" w:color="auto"/>
            </w:tcBorders>
            <w:vMerge w:val="continue"/>
          </w:tcPr>
          <w:p>
            <w:pPr>
              <w:spacing w:after="0"/>
              <w:rPr>
                <w:sz w:val="10"/>
                <w:szCs w:val="10"/>
                <w:color w:val="auto"/>
              </w:rPr>
            </w:pPr>
          </w:p>
        </w:tc>
        <w:tc>
          <w:tcPr>
            <w:tcW w:w="2780" w:type="dxa"/>
            <w:vAlign w:val="bottom"/>
            <w:tcBorders>
              <w:bottom w:val="single" w:sz="8" w:color="auto"/>
              <w:right w:val="single" w:sz="8" w:color="auto"/>
            </w:tcBorders>
          </w:tcPr>
          <w:p>
            <w:pPr>
              <w:spacing w:after="0"/>
              <w:rPr>
                <w:sz w:val="10"/>
                <w:szCs w:val="10"/>
                <w:color w:val="auto"/>
              </w:rPr>
            </w:pPr>
          </w:p>
        </w:tc>
        <w:tc>
          <w:tcPr>
            <w:tcW w:w="1960" w:type="dxa"/>
            <w:vAlign w:val="bottom"/>
            <w:tcBorders>
              <w:bottom w:val="single" w:sz="8" w:color="auto"/>
              <w:right w:val="single" w:sz="8" w:color="auto"/>
            </w:tcBorders>
          </w:tcPr>
          <w:p>
            <w:pPr>
              <w:spacing w:after="0"/>
              <w:rPr>
                <w:sz w:val="10"/>
                <w:szCs w:val="10"/>
                <w:color w:val="auto"/>
              </w:rPr>
            </w:pPr>
          </w:p>
        </w:tc>
        <w:tc>
          <w:tcPr>
            <w:tcW w:w="1100" w:type="dxa"/>
            <w:vAlign w:val="bottom"/>
            <w:tcBorders>
              <w:bottom w:val="single" w:sz="8" w:color="auto"/>
              <w:right w:val="single" w:sz="8" w:color="auto"/>
            </w:tcBorders>
          </w:tcPr>
          <w:p>
            <w:pPr>
              <w:spacing w:after="0"/>
              <w:rPr>
                <w:sz w:val="10"/>
                <w:szCs w:val="10"/>
                <w:color w:val="auto"/>
              </w:rPr>
            </w:pPr>
          </w:p>
        </w:tc>
        <w:tc>
          <w:tcPr>
            <w:tcW w:w="1220" w:type="dxa"/>
            <w:vAlign w:val="bottom"/>
            <w:tcBorders>
              <w:bottom w:val="single" w:sz="8" w:color="auto"/>
              <w:right w:val="single" w:sz="8" w:color="auto"/>
            </w:tcBorders>
          </w:tcPr>
          <w:p>
            <w:pPr>
              <w:spacing w:after="0"/>
              <w:rPr>
                <w:sz w:val="10"/>
                <w:szCs w:val="10"/>
                <w:color w:val="auto"/>
              </w:rPr>
            </w:pPr>
          </w:p>
        </w:tc>
        <w:tc>
          <w:tcPr>
            <w:tcW w:w="1100" w:type="dxa"/>
            <w:vAlign w:val="bottom"/>
            <w:tcBorders>
              <w:bottom w:val="single" w:sz="8" w:color="auto"/>
              <w:right w:val="single" w:sz="8" w:color="auto"/>
            </w:tcBorders>
          </w:tcPr>
          <w:p>
            <w:pPr>
              <w:spacing w:after="0"/>
              <w:rPr>
                <w:sz w:val="10"/>
                <w:szCs w:val="10"/>
                <w:color w:val="auto"/>
              </w:rPr>
            </w:pPr>
          </w:p>
        </w:tc>
        <w:tc>
          <w:tcPr>
            <w:tcW w:w="1460" w:type="dxa"/>
            <w:vAlign w:val="bottom"/>
            <w:tcBorders>
              <w:bottom w:val="single" w:sz="8" w:color="auto"/>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202"/>
        </w:trPr>
        <w:tc>
          <w:tcPr>
            <w:tcW w:w="1620" w:type="dxa"/>
            <w:vAlign w:val="bottom"/>
            <w:tcBorders>
              <w:left w:val="single" w:sz="8" w:color="auto"/>
              <w:right w:val="single" w:sz="8" w:color="auto"/>
            </w:tcBorders>
          </w:tcPr>
          <w:p>
            <w:pPr>
              <w:jc w:val="center"/>
              <w:spacing w:after="0" w:line="201" w:lineRule="exact"/>
              <w:rPr>
                <w:sz w:val="20"/>
                <w:szCs w:val="20"/>
                <w:color w:val="auto"/>
              </w:rPr>
            </w:pPr>
            <w:r>
              <w:rPr>
                <w:rFonts w:ascii="Arial" w:cs="Arial" w:eastAsia="Arial" w:hAnsi="Arial"/>
                <w:sz w:val="18"/>
                <w:szCs w:val="18"/>
                <w:color w:val="auto"/>
                <w:w w:val="90"/>
              </w:rPr>
              <w:t>Single wafer</w:t>
            </w:r>
          </w:p>
        </w:tc>
        <w:tc>
          <w:tcPr>
            <w:tcW w:w="2780" w:type="dxa"/>
            <w:vAlign w:val="bottom"/>
            <w:tcBorders>
              <w:right w:val="single" w:sz="8" w:color="auto"/>
            </w:tcBorders>
          </w:tcPr>
          <w:p>
            <w:pPr>
              <w:spacing w:after="0"/>
              <w:rPr>
                <w:sz w:val="17"/>
                <w:szCs w:val="17"/>
                <w:color w:val="auto"/>
              </w:rPr>
            </w:pPr>
          </w:p>
        </w:tc>
        <w:tc>
          <w:tcPr>
            <w:tcW w:w="1960" w:type="dxa"/>
            <w:vAlign w:val="bottom"/>
            <w:tcBorders>
              <w:right w:val="single" w:sz="8" w:color="auto"/>
            </w:tcBorders>
          </w:tcPr>
          <w:p>
            <w:pPr>
              <w:spacing w:after="0"/>
              <w:rPr>
                <w:sz w:val="17"/>
                <w:szCs w:val="17"/>
                <w:color w:val="auto"/>
              </w:rPr>
            </w:pPr>
          </w:p>
        </w:tc>
        <w:tc>
          <w:tcPr>
            <w:tcW w:w="1100" w:type="dxa"/>
            <w:vAlign w:val="bottom"/>
            <w:tcBorders>
              <w:right w:val="single" w:sz="8" w:color="auto"/>
            </w:tcBorders>
          </w:tcPr>
          <w:p>
            <w:pPr>
              <w:spacing w:after="0"/>
              <w:rPr>
                <w:sz w:val="17"/>
                <w:szCs w:val="17"/>
                <w:color w:val="auto"/>
              </w:rPr>
            </w:pPr>
          </w:p>
        </w:tc>
        <w:tc>
          <w:tcPr>
            <w:tcW w:w="1220" w:type="dxa"/>
            <w:vAlign w:val="bottom"/>
            <w:tcBorders>
              <w:right w:val="single" w:sz="8" w:color="auto"/>
            </w:tcBorders>
          </w:tcPr>
          <w:p>
            <w:pPr>
              <w:spacing w:after="0"/>
              <w:rPr>
                <w:sz w:val="17"/>
                <w:szCs w:val="17"/>
                <w:color w:val="auto"/>
              </w:rPr>
            </w:pPr>
          </w:p>
        </w:tc>
        <w:tc>
          <w:tcPr>
            <w:tcW w:w="1100" w:type="dxa"/>
            <w:vAlign w:val="bottom"/>
            <w:tcBorders>
              <w:right w:val="single" w:sz="8" w:color="auto"/>
            </w:tcBorders>
          </w:tcPr>
          <w:p>
            <w:pPr>
              <w:spacing w:after="0"/>
              <w:rPr>
                <w:sz w:val="17"/>
                <w:szCs w:val="17"/>
                <w:color w:val="auto"/>
              </w:rPr>
            </w:pPr>
          </w:p>
        </w:tc>
        <w:tc>
          <w:tcPr>
            <w:tcW w:w="146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62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0"/>
              </w:rPr>
              <w:t>wet bench</w:t>
            </w:r>
          </w:p>
        </w:tc>
        <w:tc>
          <w:tcPr>
            <w:tcW w:w="27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0"/>
              </w:rPr>
              <w:t>Wet bench single wafer combined</w:t>
            </w:r>
          </w:p>
        </w:tc>
        <w:tc>
          <w:tcPr>
            <w:tcW w:w="1960" w:type="dxa"/>
            <w:vAlign w:val="bottom"/>
            <w:tcBorders>
              <w:right w:val="single" w:sz="8" w:color="auto"/>
            </w:tcBorders>
          </w:tcPr>
          <w:p>
            <w:pPr>
              <w:spacing w:after="0"/>
              <w:rPr>
                <w:sz w:val="18"/>
                <w:szCs w:val="18"/>
                <w:color w:val="auto"/>
              </w:rPr>
            </w:pPr>
          </w:p>
        </w:tc>
        <w:tc>
          <w:tcPr>
            <w:tcW w:w="1100" w:type="dxa"/>
            <w:vAlign w:val="bottom"/>
            <w:tcBorders>
              <w:right w:val="single" w:sz="8" w:color="auto"/>
            </w:tcBorders>
          </w:tcPr>
          <w:p>
            <w:pPr>
              <w:spacing w:after="0"/>
              <w:rPr>
                <w:sz w:val="18"/>
                <w:szCs w:val="18"/>
                <w:color w:val="auto"/>
              </w:rPr>
            </w:pPr>
          </w:p>
        </w:tc>
        <w:tc>
          <w:tcPr>
            <w:tcW w:w="1220" w:type="dxa"/>
            <w:vAlign w:val="bottom"/>
            <w:tcBorders>
              <w:right w:val="single" w:sz="8" w:color="auto"/>
            </w:tcBorders>
          </w:tcPr>
          <w:p>
            <w:pPr>
              <w:spacing w:after="0"/>
              <w:rPr>
                <w:sz w:val="18"/>
                <w:szCs w:val="18"/>
                <w:color w:val="auto"/>
              </w:rPr>
            </w:pPr>
          </w:p>
        </w:tc>
        <w:tc>
          <w:tcPr>
            <w:tcW w:w="1100" w:type="dxa"/>
            <w:vAlign w:val="bottom"/>
            <w:tcBorders>
              <w:right w:val="single" w:sz="8" w:color="auto"/>
            </w:tcBorders>
          </w:tcPr>
          <w:p>
            <w:pPr>
              <w:spacing w:after="0"/>
              <w:rPr>
                <w:sz w:val="18"/>
                <w:szCs w:val="18"/>
                <w:color w:val="auto"/>
              </w:rPr>
            </w:pPr>
          </w:p>
        </w:tc>
        <w:tc>
          <w:tcPr>
            <w:tcW w:w="14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162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18"/>
                <w:szCs w:val="18"/>
                <w:color w:val="auto"/>
                <w:w w:val="89"/>
              </w:rPr>
              <w:t>combined</w:t>
            </w:r>
          </w:p>
        </w:tc>
        <w:tc>
          <w:tcPr>
            <w:tcW w:w="2780" w:type="dxa"/>
            <w:vAlign w:val="bottom"/>
            <w:tcBorders>
              <w:right w:val="single" w:sz="8" w:color="auto"/>
            </w:tcBorders>
            <w:vMerge w:val="continue"/>
          </w:tcPr>
          <w:p>
            <w:pPr>
              <w:spacing w:after="0"/>
              <w:rPr>
                <w:sz w:val="9"/>
                <w:szCs w:val="9"/>
                <w:color w:val="auto"/>
              </w:rPr>
            </w:pPr>
          </w:p>
        </w:tc>
        <w:tc>
          <w:tcPr>
            <w:tcW w:w="196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0"/>
              </w:rPr>
              <w:t>Huahong Group</w:t>
            </w:r>
          </w:p>
        </w:tc>
        <w:tc>
          <w:tcPr>
            <w:tcW w:w="1100" w:type="dxa"/>
            <w:vAlign w:val="bottom"/>
            <w:tcBorders>
              <w:right w:val="single" w:sz="8" w:color="auto"/>
            </w:tcBorders>
            <w:vMerge w:val="restart"/>
          </w:tcPr>
          <w:p>
            <w:pPr>
              <w:jc w:val="right"/>
              <w:spacing w:after="0"/>
              <w:rPr>
                <w:sz w:val="20"/>
                <w:szCs w:val="20"/>
                <w:color w:val="auto"/>
              </w:rPr>
            </w:pPr>
            <w:r>
              <w:rPr>
                <w:rFonts w:ascii="Arial" w:cs="Arial" w:eastAsia="Arial" w:hAnsi="Arial"/>
                <w:sz w:val="18"/>
                <w:szCs w:val="18"/>
                <w:color w:val="auto"/>
              </w:rPr>
              <w:t>-</w:t>
            </w:r>
          </w:p>
        </w:tc>
        <w:tc>
          <w:tcPr>
            <w:tcW w:w="1220" w:type="dxa"/>
            <w:vAlign w:val="bottom"/>
            <w:tcBorders>
              <w:right w:val="single" w:sz="8" w:color="auto"/>
            </w:tcBorders>
            <w:vMerge w:val="restart"/>
          </w:tcPr>
          <w:p>
            <w:pPr>
              <w:jc w:val="right"/>
              <w:spacing w:after="0"/>
              <w:rPr>
                <w:sz w:val="20"/>
                <w:szCs w:val="20"/>
                <w:color w:val="auto"/>
              </w:rPr>
            </w:pPr>
            <w:r>
              <w:rPr>
                <w:rFonts w:ascii="Arial" w:cs="Arial" w:eastAsia="Arial" w:hAnsi="Arial"/>
                <w:sz w:val="18"/>
                <w:szCs w:val="18"/>
                <w:color w:val="auto"/>
              </w:rPr>
              <w:t>2,621.43</w:t>
            </w:r>
          </w:p>
        </w:tc>
        <w:tc>
          <w:tcPr>
            <w:tcW w:w="1100" w:type="dxa"/>
            <w:vAlign w:val="bottom"/>
            <w:tcBorders>
              <w:right w:val="single" w:sz="8" w:color="auto"/>
            </w:tcBorders>
            <w:vMerge w:val="restart"/>
          </w:tcPr>
          <w:p>
            <w:pPr>
              <w:jc w:val="right"/>
              <w:spacing w:after="0"/>
              <w:rPr>
                <w:sz w:val="20"/>
                <w:szCs w:val="20"/>
                <w:color w:val="auto"/>
              </w:rPr>
            </w:pPr>
            <w:r>
              <w:rPr>
                <w:rFonts w:ascii="Arial" w:cs="Arial" w:eastAsia="Arial" w:hAnsi="Arial"/>
                <w:sz w:val="18"/>
                <w:szCs w:val="18"/>
                <w:color w:val="auto"/>
              </w:rPr>
              <w:t>-</w:t>
            </w:r>
          </w:p>
        </w:tc>
        <w:tc>
          <w:tcPr>
            <w:tcW w:w="1460" w:type="dxa"/>
            <w:vAlign w:val="bottom"/>
            <w:tcBorders>
              <w:right w:val="single" w:sz="8" w:color="auto"/>
            </w:tcBorders>
            <w:vMerge w:val="restart"/>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08"/>
        </w:trPr>
        <w:tc>
          <w:tcPr>
            <w:tcW w:w="1620" w:type="dxa"/>
            <w:vAlign w:val="bottom"/>
            <w:tcBorders>
              <w:left w:val="single" w:sz="8" w:color="auto"/>
              <w:right w:val="single" w:sz="8" w:color="auto"/>
            </w:tcBorders>
            <w:vMerge w:val="continue"/>
          </w:tcPr>
          <w:p>
            <w:pPr>
              <w:spacing w:after="0"/>
              <w:rPr>
                <w:sz w:val="9"/>
                <w:szCs w:val="9"/>
                <w:color w:val="auto"/>
              </w:rPr>
            </w:pPr>
          </w:p>
        </w:tc>
        <w:tc>
          <w:tcPr>
            <w:tcW w:w="27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0"/>
              </w:rPr>
              <w:t>cleaning technology</w:t>
            </w:r>
          </w:p>
        </w:tc>
        <w:tc>
          <w:tcPr>
            <w:tcW w:w="1960" w:type="dxa"/>
            <w:vAlign w:val="bottom"/>
            <w:tcBorders>
              <w:right w:val="single" w:sz="8" w:color="auto"/>
            </w:tcBorders>
            <w:vMerge w:val="continue"/>
          </w:tcPr>
          <w:p>
            <w:pPr>
              <w:spacing w:after="0"/>
              <w:rPr>
                <w:sz w:val="9"/>
                <w:szCs w:val="9"/>
                <w:color w:val="auto"/>
              </w:rPr>
            </w:pPr>
          </w:p>
        </w:tc>
        <w:tc>
          <w:tcPr>
            <w:tcW w:w="1100" w:type="dxa"/>
            <w:vAlign w:val="bottom"/>
            <w:tcBorders>
              <w:right w:val="single" w:sz="8" w:color="auto"/>
            </w:tcBorders>
            <w:vMerge w:val="continue"/>
          </w:tcPr>
          <w:p>
            <w:pPr>
              <w:spacing w:after="0"/>
              <w:rPr>
                <w:sz w:val="9"/>
                <w:szCs w:val="9"/>
                <w:color w:val="auto"/>
              </w:rPr>
            </w:pPr>
          </w:p>
        </w:tc>
        <w:tc>
          <w:tcPr>
            <w:tcW w:w="1220" w:type="dxa"/>
            <w:vAlign w:val="bottom"/>
            <w:tcBorders>
              <w:right w:val="single" w:sz="8" w:color="auto"/>
            </w:tcBorders>
            <w:vMerge w:val="continue"/>
          </w:tcPr>
          <w:p>
            <w:pPr>
              <w:spacing w:after="0"/>
              <w:rPr>
                <w:sz w:val="9"/>
                <w:szCs w:val="9"/>
                <w:color w:val="auto"/>
              </w:rPr>
            </w:pPr>
          </w:p>
        </w:tc>
        <w:tc>
          <w:tcPr>
            <w:tcW w:w="1100" w:type="dxa"/>
            <w:vAlign w:val="bottom"/>
            <w:tcBorders>
              <w:right w:val="single" w:sz="8" w:color="auto"/>
            </w:tcBorders>
            <w:vMerge w:val="continue"/>
          </w:tcPr>
          <w:p>
            <w:pPr>
              <w:spacing w:after="0"/>
              <w:rPr>
                <w:sz w:val="9"/>
                <w:szCs w:val="9"/>
                <w:color w:val="auto"/>
              </w:rPr>
            </w:pPr>
          </w:p>
        </w:tc>
        <w:tc>
          <w:tcPr>
            <w:tcW w:w="1460" w:type="dxa"/>
            <w:vAlign w:val="bottom"/>
            <w:tcBorders>
              <w:right w:val="single" w:sz="8" w:color="auto"/>
            </w:tcBorders>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22"/>
        </w:trPr>
        <w:tc>
          <w:tcPr>
            <w:tcW w:w="162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18"/>
                <w:szCs w:val="18"/>
                <w:color w:val="auto"/>
                <w:w w:val="92"/>
              </w:rPr>
              <w:t>cleaning</w:t>
            </w:r>
          </w:p>
        </w:tc>
        <w:tc>
          <w:tcPr>
            <w:tcW w:w="2780" w:type="dxa"/>
            <w:vAlign w:val="bottom"/>
            <w:tcBorders>
              <w:right w:val="single" w:sz="8" w:color="auto"/>
            </w:tcBorders>
            <w:vMerge w:val="continue"/>
          </w:tcPr>
          <w:p>
            <w:pPr>
              <w:spacing w:after="0"/>
              <w:rPr>
                <w:sz w:val="10"/>
                <w:szCs w:val="10"/>
                <w:color w:val="auto"/>
              </w:rPr>
            </w:pPr>
          </w:p>
        </w:tc>
        <w:tc>
          <w:tcPr>
            <w:tcW w:w="1960" w:type="dxa"/>
            <w:vAlign w:val="bottom"/>
            <w:tcBorders>
              <w:right w:val="single" w:sz="8" w:color="auto"/>
            </w:tcBorders>
          </w:tcPr>
          <w:p>
            <w:pPr>
              <w:spacing w:after="0"/>
              <w:rPr>
                <w:sz w:val="10"/>
                <w:szCs w:val="10"/>
                <w:color w:val="auto"/>
              </w:rPr>
            </w:pPr>
          </w:p>
        </w:tc>
        <w:tc>
          <w:tcPr>
            <w:tcW w:w="1100" w:type="dxa"/>
            <w:vAlign w:val="bottom"/>
            <w:tcBorders>
              <w:right w:val="single" w:sz="8" w:color="auto"/>
            </w:tcBorders>
          </w:tcPr>
          <w:p>
            <w:pPr>
              <w:spacing w:after="0"/>
              <w:rPr>
                <w:sz w:val="10"/>
                <w:szCs w:val="10"/>
                <w:color w:val="auto"/>
              </w:rPr>
            </w:pPr>
          </w:p>
        </w:tc>
        <w:tc>
          <w:tcPr>
            <w:tcW w:w="1220" w:type="dxa"/>
            <w:vAlign w:val="bottom"/>
            <w:tcBorders>
              <w:right w:val="single" w:sz="8" w:color="auto"/>
            </w:tcBorders>
          </w:tcPr>
          <w:p>
            <w:pPr>
              <w:spacing w:after="0"/>
              <w:rPr>
                <w:sz w:val="10"/>
                <w:szCs w:val="10"/>
                <w:color w:val="auto"/>
              </w:rPr>
            </w:pPr>
          </w:p>
        </w:tc>
        <w:tc>
          <w:tcPr>
            <w:tcW w:w="1100" w:type="dxa"/>
            <w:vAlign w:val="bottom"/>
            <w:tcBorders>
              <w:right w:val="single" w:sz="8" w:color="auto"/>
            </w:tcBorders>
          </w:tcPr>
          <w:p>
            <w:pPr>
              <w:spacing w:after="0"/>
              <w:rPr>
                <w:sz w:val="10"/>
                <w:szCs w:val="10"/>
                <w:color w:val="auto"/>
              </w:rPr>
            </w:pPr>
          </w:p>
        </w:tc>
        <w:tc>
          <w:tcPr>
            <w:tcW w:w="1460" w:type="dxa"/>
            <w:vAlign w:val="bottom"/>
            <w:tcBorders>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94"/>
        </w:trPr>
        <w:tc>
          <w:tcPr>
            <w:tcW w:w="1620" w:type="dxa"/>
            <w:vAlign w:val="bottom"/>
            <w:tcBorders>
              <w:left w:val="single" w:sz="8" w:color="auto"/>
              <w:right w:val="single" w:sz="8" w:color="auto"/>
            </w:tcBorders>
            <w:vMerge w:val="continue"/>
          </w:tcPr>
          <w:p>
            <w:pPr>
              <w:spacing w:after="0"/>
              <w:rPr>
                <w:sz w:val="8"/>
                <w:szCs w:val="8"/>
                <w:color w:val="auto"/>
              </w:rPr>
            </w:pPr>
          </w:p>
        </w:tc>
        <w:tc>
          <w:tcPr>
            <w:tcW w:w="2780" w:type="dxa"/>
            <w:vAlign w:val="bottom"/>
            <w:tcBorders>
              <w:right w:val="single" w:sz="8" w:color="auto"/>
            </w:tcBorders>
          </w:tcPr>
          <w:p>
            <w:pPr>
              <w:spacing w:after="0"/>
              <w:rPr>
                <w:sz w:val="8"/>
                <w:szCs w:val="8"/>
                <w:color w:val="auto"/>
              </w:rPr>
            </w:pPr>
          </w:p>
        </w:tc>
        <w:tc>
          <w:tcPr>
            <w:tcW w:w="1960" w:type="dxa"/>
            <w:vAlign w:val="bottom"/>
            <w:tcBorders>
              <w:right w:val="single" w:sz="8" w:color="auto"/>
            </w:tcBorders>
          </w:tcPr>
          <w:p>
            <w:pPr>
              <w:spacing w:after="0"/>
              <w:rPr>
                <w:sz w:val="8"/>
                <w:szCs w:val="8"/>
                <w:color w:val="auto"/>
              </w:rPr>
            </w:pPr>
          </w:p>
        </w:tc>
        <w:tc>
          <w:tcPr>
            <w:tcW w:w="1100" w:type="dxa"/>
            <w:vAlign w:val="bottom"/>
            <w:tcBorders>
              <w:right w:val="single" w:sz="8" w:color="auto"/>
            </w:tcBorders>
          </w:tcPr>
          <w:p>
            <w:pPr>
              <w:spacing w:after="0"/>
              <w:rPr>
                <w:sz w:val="8"/>
                <w:szCs w:val="8"/>
                <w:color w:val="auto"/>
              </w:rPr>
            </w:pPr>
          </w:p>
        </w:tc>
        <w:tc>
          <w:tcPr>
            <w:tcW w:w="1220" w:type="dxa"/>
            <w:vAlign w:val="bottom"/>
            <w:tcBorders>
              <w:right w:val="single" w:sz="8" w:color="auto"/>
            </w:tcBorders>
          </w:tcPr>
          <w:p>
            <w:pPr>
              <w:spacing w:after="0"/>
              <w:rPr>
                <w:sz w:val="8"/>
                <w:szCs w:val="8"/>
                <w:color w:val="auto"/>
              </w:rPr>
            </w:pPr>
          </w:p>
        </w:tc>
        <w:tc>
          <w:tcPr>
            <w:tcW w:w="1100" w:type="dxa"/>
            <w:vAlign w:val="bottom"/>
            <w:tcBorders>
              <w:right w:val="single" w:sz="8" w:color="auto"/>
            </w:tcBorders>
          </w:tcPr>
          <w:p>
            <w:pPr>
              <w:spacing w:after="0"/>
              <w:rPr>
                <w:sz w:val="8"/>
                <w:szCs w:val="8"/>
                <w:color w:val="auto"/>
              </w:rPr>
            </w:pPr>
          </w:p>
        </w:tc>
        <w:tc>
          <w:tcPr>
            <w:tcW w:w="1460" w:type="dxa"/>
            <w:vAlign w:val="bottom"/>
            <w:tcBorders>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237"/>
        </w:trPr>
        <w:tc>
          <w:tcPr>
            <w:tcW w:w="162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0"/>
              </w:rPr>
              <w:t>equipment</w:t>
            </w:r>
          </w:p>
        </w:tc>
        <w:tc>
          <w:tcPr>
            <w:tcW w:w="2780" w:type="dxa"/>
            <w:vAlign w:val="bottom"/>
            <w:tcBorders>
              <w:bottom w:val="single" w:sz="8" w:color="auto"/>
              <w:right w:val="single" w:sz="8" w:color="auto"/>
            </w:tcBorders>
          </w:tcPr>
          <w:p>
            <w:pPr>
              <w:spacing w:after="0"/>
              <w:rPr>
                <w:sz w:val="20"/>
                <w:szCs w:val="20"/>
                <w:color w:val="auto"/>
              </w:rPr>
            </w:pPr>
          </w:p>
        </w:tc>
        <w:tc>
          <w:tcPr>
            <w:tcW w:w="1960" w:type="dxa"/>
            <w:vAlign w:val="bottom"/>
            <w:tcBorders>
              <w:bottom w:val="single" w:sz="8" w:color="auto"/>
              <w:right w:val="single" w:sz="8" w:color="auto"/>
            </w:tcBorders>
          </w:tcPr>
          <w:p>
            <w:pPr>
              <w:spacing w:after="0"/>
              <w:rPr>
                <w:sz w:val="20"/>
                <w:szCs w:val="20"/>
                <w:color w:val="auto"/>
              </w:rPr>
            </w:pPr>
          </w:p>
        </w:tc>
        <w:tc>
          <w:tcPr>
            <w:tcW w:w="1100" w:type="dxa"/>
            <w:vAlign w:val="bottom"/>
            <w:tcBorders>
              <w:bottom w:val="single" w:sz="8" w:color="auto"/>
              <w:right w:val="single" w:sz="8" w:color="auto"/>
            </w:tcBorders>
          </w:tcPr>
          <w:p>
            <w:pPr>
              <w:spacing w:after="0"/>
              <w:rPr>
                <w:sz w:val="20"/>
                <w:szCs w:val="20"/>
                <w:color w:val="auto"/>
              </w:rPr>
            </w:pPr>
          </w:p>
        </w:tc>
        <w:tc>
          <w:tcPr>
            <w:tcW w:w="1220" w:type="dxa"/>
            <w:vAlign w:val="bottom"/>
            <w:tcBorders>
              <w:bottom w:val="single" w:sz="8" w:color="auto"/>
              <w:right w:val="single" w:sz="8" w:color="auto"/>
            </w:tcBorders>
          </w:tcPr>
          <w:p>
            <w:pPr>
              <w:spacing w:after="0"/>
              <w:rPr>
                <w:sz w:val="20"/>
                <w:szCs w:val="20"/>
                <w:color w:val="auto"/>
              </w:rPr>
            </w:pPr>
          </w:p>
        </w:tc>
        <w:tc>
          <w:tcPr>
            <w:tcW w:w="1100" w:type="dxa"/>
            <w:vAlign w:val="bottom"/>
            <w:tcBorders>
              <w:bottom w:val="single" w:sz="8" w:color="auto"/>
              <w:right w:val="single" w:sz="8" w:color="auto"/>
            </w:tcBorders>
          </w:tcPr>
          <w:p>
            <w:pPr>
              <w:spacing w:after="0"/>
              <w:rPr>
                <w:sz w:val="20"/>
                <w:szCs w:val="20"/>
                <w:color w:val="auto"/>
              </w:rPr>
            </w:pPr>
          </w:p>
        </w:tc>
        <w:tc>
          <w:tcPr>
            <w:tcW w:w="146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582"/>
        </w:trPr>
        <w:tc>
          <w:tcPr>
            <w:tcW w:w="1620" w:type="dxa"/>
            <w:vAlign w:val="bottom"/>
          </w:tcPr>
          <w:p>
            <w:pPr>
              <w:spacing w:after="0"/>
              <w:rPr>
                <w:sz w:val="24"/>
                <w:szCs w:val="24"/>
                <w:color w:val="auto"/>
              </w:rPr>
            </w:pPr>
          </w:p>
        </w:tc>
        <w:tc>
          <w:tcPr>
            <w:tcW w:w="2780" w:type="dxa"/>
            <w:vAlign w:val="bottom"/>
          </w:tcPr>
          <w:p>
            <w:pPr>
              <w:spacing w:after="0"/>
              <w:rPr>
                <w:sz w:val="24"/>
                <w:szCs w:val="24"/>
                <w:color w:val="auto"/>
              </w:rPr>
            </w:pPr>
          </w:p>
        </w:tc>
        <w:tc>
          <w:tcPr>
            <w:tcW w:w="1960" w:type="dxa"/>
            <w:vAlign w:val="bottom"/>
          </w:tcPr>
          <w:p>
            <w:pPr>
              <w:jc w:val="right"/>
              <w:ind w:right="393"/>
              <w:spacing w:after="0"/>
              <w:rPr>
                <w:sz w:val="20"/>
                <w:szCs w:val="20"/>
                <w:color w:val="auto"/>
              </w:rPr>
            </w:pPr>
            <w:r>
              <w:rPr>
                <w:rFonts w:ascii="Arial" w:cs="Arial" w:eastAsia="Arial" w:hAnsi="Arial"/>
                <w:sz w:val="14"/>
                <w:szCs w:val="14"/>
                <w:color w:val="auto"/>
              </w:rPr>
              <w:t>8-4-1-80</w:t>
            </w:r>
          </w:p>
        </w:tc>
        <w:tc>
          <w:tcPr>
            <w:tcW w:w="11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6"/>
        </w:trPr>
        <w:tc>
          <w:tcPr>
            <w:tcW w:w="1620" w:type="dxa"/>
            <w:vAlign w:val="bottom"/>
            <w:tcBorders>
              <w:bottom w:val="single" w:sz="8" w:color="auto"/>
            </w:tcBorders>
          </w:tcPr>
          <w:p>
            <w:pPr>
              <w:spacing w:after="0"/>
              <w:rPr>
                <w:sz w:val="4"/>
                <w:szCs w:val="4"/>
                <w:color w:val="auto"/>
              </w:rPr>
            </w:pPr>
          </w:p>
        </w:tc>
        <w:tc>
          <w:tcPr>
            <w:tcW w:w="2780" w:type="dxa"/>
            <w:vAlign w:val="bottom"/>
            <w:tcBorders>
              <w:bottom w:val="single" w:sz="8" w:color="auto"/>
            </w:tcBorders>
          </w:tcPr>
          <w:p>
            <w:pPr>
              <w:spacing w:after="0"/>
              <w:rPr>
                <w:sz w:val="4"/>
                <w:szCs w:val="4"/>
                <w:color w:val="auto"/>
              </w:rPr>
            </w:pPr>
          </w:p>
        </w:tc>
        <w:tc>
          <w:tcPr>
            <w:tcW w:w="1960" w:type="dxa"/>
            <w:vAlign w:val="bottom"/>
            <w:tcBorders>
              <w:bottom w:val="single" w:sz="8" w:color="auto"/>
            </w:tcBorders>
          </w:tcPr>
          <w:p>
            <w:pPr>
              <w:spacing w:after="0"/>
              <w:rPr>
                <w:sz w:val="4"/>
                <w:szCs w:val="4"/>
                <w:color w:val="auto"/>
              </w:rPr>
            </w:pPr>
          </w:p>
        </w:tc>
        <w:tc>
          <w:tcPr>
            <w:tcW w:w="1100" w:type="dxa"/>
            <w:vAlign w:val="bottom"/>
            <w:tcBorders>
              <w:bottom w:val="single" w:sz="8" w:color="auto"/>
            </w:tcBorders>
          </w:tcPr>
          <w:p>
            <w:pPr>
              <w:spacing w:after="0"/>
              <w:rPr>
                <w:sz w:val="4"/>
                <w:szCs w:val="4"/>
                <w:color w:val="auto"/>
              </w:rPr>
            </w:pPr>
          </w:p>
        </w:tc>
        <w:tc>
          <w:tcPr>
            <w:tcW w:w="1220" w:type="dxa"/>
            <w:vAlign w:val="bottom"/>
            <w:tcBorders>
              <w:bottom w:val="single" w:sz="8" w:color="auto"/>
            </w:tcBorders>
          </w:tcPr>
          <w:p>
            <w:pPr>
              <w:spacing w:after="0"/>
              <w:rPr>
                <w:sz w:val="4"/>
                <w:szCs w:val="4"/>
                <w:color w:val="auto"/>
              </w:rPr>
            </w:pPr>
          </w:p>
        </w:tc>
        <w:tc>
          <w:tcPr>
            <w:tcW w:w="1100" w:type="dxa"/>
            <w:vAlign w:val="bottom"/>
            <w:tcBorders>
              <w:bottom w:val="single" w:sz="8" w:color="auto"/>
            </w:tcBorders>
          </w:tcPr>
          <w:p>
            <w:pPr>
              <w:spacing w:after="0"/>
              <w:rPr>
                <w:sz w:val="4"/>
                <w:szCs w:val="4"/>
                <w:color w:val="auto"/>
              </w:rPr>
            </w:pPr>
          </w:p>
        </w:tc>
        <w:tc>
          <w:tcPr>
            <w:tcW w:w="146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111" w:right="339" w:bottom="1440" w:gutter="0" w:footer="0" w:header="0"/>
        </w:sectPr>
      </w:pPr>
    </w:p>
    <w:bookmarkStart w:id="84" w:name="page85"/>
    <w:bookmarkEnd w:id="84"/>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229"/>
        </w:trPr>
        <w:tc>
          <w:tcPr>
            <w:tcW w:w="1620" w:type="dxa"/>
            <w:vAlign w:val="bottom"/>
            <w:tcBorders>
              <w:top w:val="single" w:sz="8" w:color="auto"/>
              <w:left w:val="single" w:sz="8" w:color="auto"/>
              <w:right w:val="single" w:sz="8" w:color="auto"/>
            </w:tcBorders>
            <w:vMerge w:val="restart"/>
          </w:tcPr>
          <w:p>
            <w:pPr>
              <w:jc w:val="center"/>
              <w:spacing w:after="0"/>
              <w:rPr>
                <w:sz w:val="20"/>
                <w:szCs w:val="20"/>
                <w:color w:val="auto"/>
              </w:rPr>
            </w:pPr>
            <w:r>
              <w:rPr>
                <w:rFonts w:ascii="Arial" w:cs="Arial" w:eastAsia="Arial" w:hAnsi="Arial"/>
                <w:sz w:val="18"/>
                <w:szCs w:val="18"/>
                <w:color w:val="auto"/>
                <w:w w:val="91"/>
              </w:rPr>
              <w:t>Semiconductor</w:t>
            </w:r>
          </w:p>
        </w:tc>
        <w:tc>
          <w:tcPr>
            <w:tcW w:w="278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3"/>
              </w:rPr>
              <w:t>Multi-anode electroplating</w:t>
            </w:r>
          </w:p>
        </w:tc>
        <w:tc>
          <w:tcPr>
            <w:tcW w:w="1960" w:type="dxa"/>
            <w:vAlign w:val="bottom"/>
            <w:tcBorders>
              <w:top w:val="single" w:sz="8" w:color="auto"/>
              <w:right w:val="single" w:sz="8" w:color="auto"/>
            </w:tcBorders>
          </w:tcPr>
          <w:p>
            <w:pPr>
              <w:spacing w:after="0"/>
              <w:rPr>
                <w:sz w:val="19"/>
                <w:szCs w:val="19"/>
                <w:color w:val="auto"/>
              </w:rPr>
            </w:pPr>
          </w:p>
        </w:tc>
        <w:tc>
          <w:tcPr>
            <w:tcW w:w="1100" w:type="dxa"/>
            <w:vAlign w:val="bottom"/>
            <w:tcBorders>
              <w:top w:val="single" w:sz="8" w:color="auto"/>
              <w:right w:val="single" w:sz="8" w:color="auto"/>
            </w:tcBorders>
          </w:tcPr>
          <w:p>
            <w:pPr>
              <w:spacing w:after="0"/>
              <w:rPr>
                <w:sz w:val="19"/>
                <w:szCs w:val="19"/>
                <w:color w:val="auto"/>
              </w:rPr>
            </w:pPr>
          </w:p>
        </w:tc>
        <w:tc>
          <w:tcPr>
            <w:tcW w:w="1220" w:type="dxa"/>
            <w:vAlign w:val="bottom"/>
            <w:tcBorders>
              <w:top w:val="single" w:sz="8" w:color="auto"/>
              <w:right w:val="single" w:sz="8" w:color="auto"/>
            </w:tcBorders>
          </w:tcPr>
          <w:p>
            <w:pPr>
              <w:spacing w:after="0"/>
              <w:rPr>
                <w:sz w:val="19"/>
                <w:szCs w:val="19"/>
                <w:color w:val="auto"/>
              </w:rPr>
            </w:pPr>
          </w:p>
        </w:tc>
        <w:tc>
          <w:tcPr>
            <w:tcW w:w="1100" w:type="dxa"/>
            <w:vAlign w:val="bottom"/>
            <w:tcBorders>
              <w:top w:val="single" w:sz="8" w:color="auto"/>
              <w:right w:val="single" w:sz="8" w:color="auto"/>
            </w:tcBorders>
          </w:tcPr>
          <w:p>
            <w:pPr>
              <w:spacing w:after="0"/>
              <w:rPr>
                <w:sz w:val="19"/>
                <w:szCs w:val="19"/>
                <w:color w:val="auto"/>
              </w:rPr>
            </w:pPr>
          </w:p>
        </w:tc>
        <w:tc>
          <w:tcPr>
            <w:tcW w:w="1460" w:type="dxa"/>
            <w:vAlign w:val="bottom"/>
            <w:tcBorders>
              <w:top w:val="single" w:sz="8" w:color="auto"/>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08"/>
        </w:trPr>
        <w:tc>
          <w:tcPr>
            <w:tcW w:w="1620" w:type="dxa"/>
            <w:vAlign w:val="bottom"/>
            <w:tcBorders>
              <w:left w:val="single" w:sz="8" w:color="auto"/>
              <w:right w:val="single" w:sz="8" w:color="auto"/>
            </w:tcBorders>
            <w:vMerge w:val="continue"/>
          </w:tcPr>
          <w:p>
            <w:pPr>
              <w:spacing w:after="0"/>
              <w:rPr>
                <w:sz w:val="9"/>
                <w:szCs w:val="9"/>
                <w:color w:val="auto"/>
              </w:rPr>
            </w:pPr>
          </w:p>
        </w:tc>
        <w:tc>
          <w:tcPr>
            <w:tcW w:w="27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1"/>
              </w:rPr>
              <w:t>technology, electroplating jig sealing</w:t>
            </w:r>
          </w:p>
        </w:tc>
        <w:tc>
          <w:tcPr>
            <w:tcW w:w="1960" w:type="dxa"/>
            <w:vAlign w:val="bottom"/>
            <w:tcBorders>
              <w:right w:val="single" w:sz="8" w:color="auto"/>
            </w:tcBorders>
          </w:tcPr>
          <w:p>
            <w:pPr>
              <w:spacing w:after="0"/>
              <w:rPr>
                <w:sz w:val="9"/>
                <w:szCs w:val="9"/>
                <w:color w:val="auto"/>
              </w:rPr>
            </w:pPr>
          </w:p>
        </w:tc>
        <w:tc>
          <w:tcPr>
            <w:tcW w:w="1100" w:type="dxa"/>
            <w:vAlign w:val="bottom"/>
            <w:tcBorders>
              <w:right w:val="single" w:sz="8" w:color="auto"/>
            </w:tcBorders>
          </w:tcPr>
          <w:p>
            <w:pPr>
              <w:spacing w:after="0"/>
              <w:rPr>
                <w:sz w:val="9"/>
                <w:szCs w:val="9"/>
                <w:color w:val="auto"/>
              </w:rPr>
            </w:pPr>
          </w:p>
        </w:tc>
        <w:tc>
          <w:tcPr>
            <w:tcW w:w="1220" w:type="dxa"/>
            <w:vAlign w:val="bottom"/>
            <w:tcBorders>
              <w:right w:val="single" w:sz="8" w:color="auto"/>
            </w:tcBorders>
          </w:tcPr>
          <w:p>
            <w:pPr>
              <w:spacing w:after="0"/>
              <w:rPr>
                <w:sz w:val="9"/>
                <w:szCs w:val="9"/>
                <w:color w:val="auto"/>
              </w:rPr>
            </w:pPr>
          </w:p>
        </w:tc>
        <w:tc>
          <w:tcPr>
            <w:tcW w:w="1100" w:type="dxa"/>
            <w:vAlign w:val="bottom"/>
            <w:tcBorders>
              <w:right w:val="single" w:sz="8" w:color="auto"/>
            </w:tcBorders>
          </w:tcPr>
          <w:p>
            <w:pPr>
              <w:spacing w:after="0"/>
              <w:rPr>
                <w:sz w:val="9"/>
                <w:szCs w:val="9"/>
                <w:color w:val="auto"/>
              </w:rPr>
            </w:pPr>
          </w:p>
        </w:tc>
        <w:tc>
          <w:tcPr>
            <w:tcW w:w="1460" w:type="dxa"/>
            <w:vAlign w:val="bottom"/>
            <w:tcBorders>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162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18"/>
                <w:szCs w:val="18"/>
                <w:color w:val="auto"/>
                <w:w w:val="91"/>
              </w:rPr>
              <w:t>electroplating</w:t>
            </w:r>
          </w:p>
        </w:tc>
        <w:tc>
          <w:tcPr>
            <w:tcW w:w="2780" w:type="dxa"/>
            <w:vAlign w:val="bottom"/>
            <w:tcBorders>
              <w:right w:val="single" w:sz="8" w:color="auto"/>
            </w:tcBorders>
            <w:vMerge w:val="continue"/>
          </w:tcPr>
          <w:p>
            <w:pPr>
              <w:spacing w:after="0"/>
              <w:rPr>
                <w:sz w:val="9"/>
                <w:szCs w:val="9"/>
                <w:color w:val="auto"/>
              </w:rPr>
            </w:pPr>
          </w:p>
        </w:tc>
        <w:tc>
          <w:tcPr>
            <w:tcW w:w="196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0"/>
              </w:rPr>
              <w:t>Huahong Group, JCET</w:t>
            </w:r>
          </w:p>
        </w:tc>
        <w:tc>
          <w:tcPr>
            <w:tcW w:w="1100" w:type="dxa"/>
            <w:vAlign w:val="bottom"/>
            <w:tcBorders>
              <w:right w:val="single" w:sz="8" w:color="auto"/>
            </w:tcBorders>
            <w:vMerge w:val="restart"/>
          </w:tcPr>
          <w:p>
            <w:pPr>
              <w:jc w:val="right"/>
              <w:spacing w:after="0"/>
              <w:rPr>
                <w:sz w:val="20"/>
                <w:szCs w:val="20"/>
                <w:color w:val="auto"/>
              </w:rPr>
            </w:pPr>
            <w:r>
              <w:rPr>
                <w:rFonts w:ascii="Arial" w:cs="Arial" w:eastAsia="Arial" w:hAnsi="Arial"/>
                <w:sz w:val="18"/>
                <w:szCs w:val="18"/>
                <w:color w:val="auto"/>
              </w:rPr>
              <w:t>-</w:t>
            </w:r>
          </w:p>
        </w:tc>
        <w:tc>
          <w:tcPr>
            <w:tcW w:w="1220" w:type="dxa"/>
            <w:vAlign w:val="bottom"/>
            <w:tcBorders>
              <w:right w:val="single" w:sz="8" w:color="auto"/>
            </w:tcBorders>
            <w:vMerge w:val="restart"/>
          </w:tcPr>
          <w:p>
            <w:pPr>
              <w:jc w:val="right"/>
              <w:spacing w:after="0"/>
              <w:rPr>
                <w:sz w:val="20"/>
                <w:szCs w:val="20"/>
                <w:color w:val="auto"/>
              </w:rPr>
            </w:pPr>
            <w:r>
              <w:rPr>
                <w:rFonts w:ascii="Arial" w:cs="Arial" w:eastAsia="Arial" w:hAnsi="Arial"/>
                <w:sz w:val="18"/>
                <w:szCs w:val="18"/>
                <w:color w:val="auto"/>
              </w:rPr>
              <w:t>7,857.39</w:t>
            </w:r>
          </w:p>
        </w:tc>
        <w:tc>
          <w:tcPr>
            <w:tcW w:w="1100" w:type="dxa"/>
            <w:vAlign w:val="bottom"/>
            <w:tcBorders>
              <w:right w:val="single" w:sz="8" w:color="auto"/>
            </w:tcBorders>
            <w:vMerge w:val="restart"/>
          </w:tcPr>
          <w:p>
            <w:pPr>
              <w:jc w:val="right"/>
              <w:spacing w:after="0"/>
              <w:rPr>
                <w:sz w:val="20"/>
                <w:szCs w:val="20"/>
                <w:color w:val="auto"/>
              </w:rPr>
            </w:pPr>
            <w:r>
              <w:rPr>
                <w:rFonts w:ascii="Arial" w:cs="Arial" w:eastAsia="Arial" w:hAnsi="Arial"/>
                <w:sz w:val="18"/>
                <w:szCs w:val="18"/>
                <w:color w:val="auto"/>
              </w:rPr>
              <w:t>1,191.13</w:t>
            </w:r>
          </w:p>
        </w:tc>
        <w:tc>
          <w:tcPr>
            <w:tcW w:w="1460" w:type="dxa"/>
            <w:vAlign w:val="bottom"/>
            <w:tcBorders>
              <w:right w:val="single" w:sz="8" w:color="auto"/>
            </w:tcBorders>
            <w:vMerge w:val="restart"/>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08"/>
        </w:trPr>
        <w:tc>
          <w:tcPr>
            <w:tcW w:w="1620" w:type="dxa"/>
            <w:vAlign w:val="bottom"/>
            <w:tcBorders>
              <w:left w:val="single" w:sz="8" w:color="auto"/>
              <w:right w:val="single" w:sz="8" w:color="auto"/>
            </w:tcBorders>
            <w:vMerge w:val="continue"/>
          </w:tcPr>
          <w:p>
            <w:pPr>
              <w:spacing w:after="0"/>
              <w:rPr>
                <w:sz w:val="9"/>
                <w:szCs w:val="9"/>
                <w:color w:val="auto"/>
              </w:rPr>
            </w:pPr>
          </w:p>
        </w:tc>
        <w:tc>
          <w:tcPr>
            <w:tcW w:w="27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3"/>
              </w:rPr>
              <w:t>technology, multi-anode flow field</w:t>
            </w:r>
          </w:p>
        </w:tc>
        <w:tc>
          <w:tcPr>
            <w:tcW w:w="1960" w:type="dxa"/>
            <w:vAlign w:val="bottom"/>
            <w:tcBorders>
              <w:right w:val="single" w:sz="8" w:color="auto"/>
            </w:tcBorders>
            <w:vMerge w:val="continue"/>
          </w:tcPr>
          <w:p>
            <w:pPr>
              <w:spacing w:after="0"/>
              <w:rPr>
                <w:sz w:val="9"/>
                <w:szCs w:val="9"/>
                <w:color w:val="auto"/>
              </w:rPr>
            </w:pPr>
          </w:p>
        </w:tc>
        <w:tc>
          <w:tcPr>
            <w:tcW w:w="1100" w:type="dxa"/>
            <w:vAlign w:val="bottom"/>
            <w:tcBorders>
              <w:right w:val="single" w:sz="8" w:color="auto"/>
            </w:tcBorders>
            <w:vMerge w:val="continue"/>
          </w:tcPr>
          <w:p>
            <w:pPr>
              <w:spacing w:after="0"/>
              <w:rPr>
                <w:sz w:val="9"/>
                <w:szCs w:val="9"/>
                <w:color w:val="auto"/>
              </w:rPr>
            </w:pPr>
          </w:p>
        </w:tc>
        <w:tc>
          <w:tcPr>
            <w:tcW w:w="1220" w:type="dxa"/>
            <w:vAlign w:val="bottom"/>
            <w:tcBorders>
              <w:right w:val="single" w:sz="8" w:color="auto"/>
            </w:tcBorders>
            <w:vMerge w:val="continue"/>
          </w:tcPr>
          <w:p>
            <w:pPr>
              <w:spacing w:after="0"/>
              <w:rPr>
                <w:sz w:val="9"/>
                <w:szCs w:val="9"/>
                <w:color w:val="auto"/>
              </w:rPr>
            </w:pPr>
          </w:p>
        </w:tc>
        <w:tc>
          <w:tcPr>
            <w:tcW w:w="1100" w:type="dxa"/>
            <w:vAlign w:val="bottom"/>
            <w:tcBorders>
              <w:right w:val="single" w:sz="8" w:color="auto"/>
            </w:tcBorders>
            <w:vMerge w:val="continue"/>
          </w:tcPr>
          <w:p>
            <w:pPr>
              <w:spacing w:after="0"/>
              <w:rPr>
                <w:sz w:val="9"/>
                <w:szCs w:val="9"/>
                <w:color w:val="auto"/>
              </w:rPr>
            </w:pPr>
          </w:p>
        </w:tc>
        <w:tc>
          <w:tcPr>
            <w:tcW w:w="1460" w:type="dxa"/>
            <w:vAlign w:val="bottom"/>
            <w:tcBorders>
              <w:right w:val="single" w:sz="8" w:color="auto"/>
            </w:tcBorders>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162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18"/>
                <w:szCs w:val="18"/>
                <w:color w:val="auto"/>
                <w:w w:val="90"/>
              </w:rPr>
              <w:t>equipment</w:t>
            </w:r>
          </w:p>
        </w:tc>
        <w:tc>
          <w:tcPr>
            <w:tcW w:w="2780" w:type="dxa"/>
            <w:vAlign w:val="bottom"/>
            <w:tcBorders>
              <w:right w:val="single" w:sz="8" w:color="auto"/>
            </w:tcBorders>
            <w:vMerge w:val="continue"/>
          </w:tcPr>
          <w:p>
            <w:pPr>
              <w:spacing w:after="0"/>
              <w:rPr>
                <w:sz w:val="9"/>
                <w:szCs w:val="9"/>
                <w:color w:val="auto"/>
              </w:rPr>
            </w:pPr>
          </w:p>
        </w:tc>
        <w:tc>
          <w:tcPr>
            <w:tcW w:w="1960" w:type="dxa"/>
            <w:vAlign w:val="bottom"/>
            <w:tcBorders>
              <w:right w:val="single" w:sz="8" w:color="auto"/>
            </w:tcBorders>
          </w:tcPr>
          <w:p>
            <w:pPr>
              <w:spacing w:after="0"/>
              <w:rPr>
                <w:sz w:val="9"/>
                <w:szCs w:val="9"/>
                <w:color w:val="auto"/>
              </w:rPr>
            </w:pPr>
          </w:p>
        </w:tc>
        <w:tc>
          <w:tcPr>
            <w:tcW w:w="1100" w:type="dxa"/>
            <w:vAlign w:val="bottom"/>
            <w:tcBorders>
              <w:right w:val="single" w:sz="8" w:color="auto"/>
            </w:tcBorders>
          </w:tcPr>
          <w:p>
            <w:pPr>
              <w:spacing w:after="0"/>
              <w:rPr>
                <w:sz w:val="9"/>
                <w:szCs w:val="9"/>
                <w:color w:val="auto"/>
              </w:rPr>
            </w:pPr>
          </w:p>
        </w:tc>
        <w:tc>
          <w:tcPr>
            <w:tcW w:w="1220" w:type="dxa"/>
            <w:vAlign w:val="bottom"/>
            <w:tcBorders>
              <w:right w:val="single" w:sz="8" w:color="auto"/>
            </w:tcBorders>
          </w:tcPr>
          <w:p>
            <w:pPr>
              <w:spacing w:after="0"/>
              <w:rPr>
                <w:sz w:val="9"/>
                <w:szCs w:val="9"/>
                <w:color w:val="auto"/>
              </w:rPr>
            </w:pPr>
          </w:p>
        </w:tc>
        <w:tc>
          <w:tcPr>
            <w:tcW w:w="1100" w:type="dxa"/>
            <w:vAlign w:val="bottom"/>
            <w:tcBorders>
              <w:right w:val="single" w:sz="8" w:color="auto"/>
            </w:tcBorders>
          </w:tcPr>
          <w:p>
            <w:pPr>
              <w:spacing w:after="0"/>
              <w:rPr>
                <w:sz w:val="9"/>
                <w:szCs w:val="9"/>
                <w:color w:val="auto"/>
              </w:rPr>
            </w:pPr>
          </w:p>
        </w:tc>
        <w:tc>
          <w:tcPr>
            <w:tcW w:w="1460" w:type="dxa"/>
            <w:vAlign w:val="bottom"/>
            <w:tcBorders>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22"/>
        </w:trPr>
        <w:tc>
          <w:tcPr>
            <w:tcW w:w="1620" w:type="dxa"/>
            <w:vAlign w:val="bottom"/>
            <w:tcBorders>
              <w:left w:val="single" w:sz="8" w:color="auto"/>
              <w:right w:val="single" w:sz="8" w:color="auto"/>
            </w:tcBorders>
            <w:vMerge w:val="continue"/>
          </w:tcPr>
          <w:p>
            <w:pPr>
              <w:spacing w:after="0"/>
              <w:rPr>
                <w:sz w:val="10"/>
                <w:szCs w:val="10"/>
                <w:color w:val="auto"/>
              </w:rPr>
            </w:pPr>
          </w:p>
        </w:tc>
        <w:tc>
          <w:tcPr>
            <w:tcW w:w="27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2"/>
              </w:rPr>
              <w:t>distribution control technology, etc.</w:t>
            </w:r>
          </w:p>
        </w:tc>
        <w:tc>
          <w:tcPr>
            <w:tcW w:w="1960" w:type="dxa"/>
            <w:vAlign w:val="bottom"/>
            <w:tcBorders>
              <w:right w:val="single" w:sz="8" w:color="auto"/>
            </w:tcBorders>
          </w:tcPr>
          <w:p>
            <w:pPr>
              <w:spacing w:after="0"/>
              <w:rPr>
                <w:sz w:val="10"/>
                <w:szCs w:val="10"/>
                <w:color w:val="auto"/>
              </w:rPr>
            </w:pPr>
          </w:p>
        </w:tc>
        <w:tc>
          <w:tcPr>
            <w:tcW w:w="1100" w:type="dxa"/>
            <w:vAlign w:val="bottom"/>
            <w:tcBorders>
              <w:right w:val="single" w:sz="8" w:color="auto"/>
            </w:tcBorders>
          </w:tcPr>
          <w:p>
            <w:pPr>
              <w:spacing w:after="0"/>
              <w:rPr>
                <w:sz w:val="10"/>
                <w:szCs w:val="10"/>
                <w:color w:val="auto"/>
              </w:rPr>
            </w:pPr>
          </w:p>
        </w:tc>
        <w:tc>
          <w:tcPr>
            <w:tcW w:w="1220" w:type="dxa"/>
            <w:vAlign w:val="bottom"/>
            <w:tcBorders>
              <w:right w:val="single" w:sz="8" w:color="auto"/>
            </w:tcBorders>
          </w:tcPr>
          <w:p>
            <w:pPr>
              <w:spacing w:after="0"/>
              <w:rPr>
                <w:sz w:val="10"/>
                <w:szCs w:val="10"/>
                <w:color w:val="auto"/>
              </w:rPr>
            </w:pPr>
          </w:p>
        </w:tc>
        <w:tc>
          <w:tcPr>
            <w:tcW w:w="1100" w:type="dxa"/>
            <w:vAlign w:val="bottom"/>
            <w:tcBorders>
              <w:right w:val="single" w:sz="8" w:color="auto"/>
            </w:tcBorders>
          </w:tcPr>
          <w:p>
            <w:pPr>
              <w:spacing w:after="0"/>
              <w:rPr>
                <w:sz w:val="10"/>
                <w:szCs w:val="10"/>
                <w:color w:val="auto"/>
              </w:rPr>
            </w:pPr>
          </w:p>
        </w:tc>
        <w:tc>
          <w:tcPr>
            <w:tcW w:w="1460" w:type="dxa"/>
            <w:vAlign w:val="bottom"/>
            <w:tcBorders>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15"/>
        </w:trPr>
        <w:tc>
          <w:tcPr>
            <w:tcW w:w="1620" w:type="dxa"/>
            <w:vAlign w:val="bottom"/>
            <w:tcBorders>
              <w:left w:val="single" w:sz="8" w:color="auto"/>
              <w:bottom w:val="single" w:sz="8" w:color="auto"/>
              <w:right w:val="single" w:sz="8" w:color="auto"/>
            </w:tcBorders>
          </w:tcPr>
          <w:p>
            <w:pPr>
              <w:spacing w:after="0"/>
              <w:rPr>
                <w:sz w:val="10"/>
                <w:szCs w:val="10"/>
                <w:color w:val="auto"/>
              </w:rPr>
            </w:pPr>
          </w:p>
        </w:tc>
        <w:tc>
          <w:tcPr>
            <w:tcW w:w="2780" w:type="dxa"/>
            <w:vAlign w:val="bottom"/>
            <w:tcBorders>
              <w:bottom w:val="single" w:sz="8" w:color="auto"/>
              <w:right w:val="single" w:sz="8" w:color="auto"/>
            </w:tcBorders>
            <w:vMerge w:val="continue"/>
          </w:tcPr>
          <w:p>
            <w:pPr>
              <w:spacing w:after="0"/>
              <w:rPr>
                <w:sz w:val="10"/>
                <w:szCs w:val="10"/>
                <w:color w:val="auto"/>
              </w:rPr>
            </w:pPr>
          </w:p>
        </w:tc>
        <w:tc>
          <w:tcPr>
            <w:tcW w:w="1960" w:type="dxa"/>
            <w:vAlign w:val="bottom"/>
            <w:tcBorders>
              <w:bottom w:val="single" w:sz="8" w:color="auto"/>
              <w:right w:val="single" w:sz="8" w:color="auto"/>
            </w:tcBorders>
          </w:tcPr>
          <w:p>
            <w:pPr>
              <w:spacing w:after="0"/>
              <w:rPr>
                <w:sz w:val="10"/>
                <w:szCs w:val="10"/>
                <w:color w:val="auto"/>
              </w:rPr>
            </w:pPr>
          </w:p>
        </w:tc>
        <w:tc>
          <w:tcPr>
            <w:tcW w:w="1100" w:type="dxa"/>
            <w:vAlign w:val="bottom"/>
            <w:tcBorders>
              <w:bottom w:val="single" w:sz="8" w:color="auto"/>
              <w:right w:val="single" w:sz="8" w:color="auto"/>
            </w:tcBorders>
          </w:tcPr>
          <w:p>
            <w:pPr>
              <w:spacing w:after="0"/>
              <w:rPr>
                <w:sz w:val="10"/>
                <w:szCs w:val="10"/>
                <w:color w:val="auto"/>
              </w:rPr>
            </w:pPr>
          </w:p>
        </w:tc>
        <w:tc>
          <w:tcPr>
            <w:tcW w:w="1220" w:type="dxa"/>
            <w:vAlign w:val="bottom"/>
            <w:tcBorders>
              <w:bottom w:val="single" w:sz="8" w:color="auto"/>
              <w:right w:val="single" w:sz="8" w:color="auto"/>
            </w:tcBorders>
          </w:tcPr>
          <w:p>
            <w:pPr>
              <w:spacing w:after="0"/>
              <w:rPr>
                <w:sz w:val="10"/>
                <w:szCs w:val="10"/>
                <w:color w:val="auto"/>
              </w:rPr>
            </w:pPr>
          </w:p>
        </w:tc>
        <w:tc>
          <w:tcPr>
            <w:tcW w:w="1100" w:type="dxa"/>
            <w:vAlign w:val="bottom"/>
            <w:tcBorders>
              <w:bottom w:val="single" w:sz="8" w:color="auto"/>
              <w:right w:val="single" w:sz="8" w:color="auto"/>
            </w:tcBorders>
          </w:tcPr>
          <w:p>
            <w:pPr>
              <w:spacing w:after="0"/>
              <w:rPr>
                <w:sz w:val="10"/>
                <w:szCs w:val="10"/>
                <w:color w:val="auto"/>
              </w:rPr>
            </w:pPr>
          </w:p>
        </w:tc>
        <w:tc>
          <w:tcPr>
            <w:tcW w:w="1460" w:type="dxa"/>
            <w:vAlign w:val="bottom"/>
            <w:tcBorders>
              <w:bottom w:val="single" w:sz="8" w:color="auto"/>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202"/>
        </w:trPr>
        <w:tc>
          <w:tcPr>
            <w:tcW w:w="1620" w:type="dxa"/>
            <w:vAlign w:val="bottom"/>
            <w:tcBorders>
              <w:left w:val="single" w:sz="8" w:color="auto"/>
              <w:right w:val="single" w:sz="8" w:color="auto"/>
            </w:tcBorders>
          </w:tcPr>
          <w:p>
            <w:pPr>
              <w:spacing w:after="0"/>
              <w:rPr>
                <w:sz w:val="17"/>
                <w:szCs w:val="17"/>
                <w:color w:val="auto"/>
              </w:rPr>
            </w:pPr>
          </w:p>
        </w:tc>
        <w:tc>
          <w:tcPr>
            <w:tcW w:w="2780" w:type="dxa"/>
            <w:vAlign w:val="bottom"/>
            <w:tcBorders>
              <w:right w:val="single" w:sz="8" w:color="auto"/>
            </w:tcBorders>
          </w:tcPr>
          <w:p>
            <w:pPr>
              <w:jc w:val="center"/>
              <w:spacing w:after="0" w:line="201" w:lineRule="exact"/>
              <w:rPr>
                <w:sz w:val="20"/>
                <w:szCs w:val="20"/>
                <w:color w:val="auto"/>
              </w:rPr>
            </w:pPr>
            <w:r>
              <w:rPr>
                <w:rFonts w:ascii="Arial" w:cs="Arial" w:eastAsia="Arial" w:hAnsi="Arial"/>
                <w:sz w:val="18"/>
                <w:szCs w:val="18"/>
                <w:color w:val="auto"/>
                <w:w w:val="93"/>
              </w:rPr>
              <w:t>Application technology of SFP</w:t>
            </w:r>
          </w:p>
        </w:tc>
        <w:tc>
          <w:tcPr>
            <w:tcW w:w="1960" w:type="dxa"/>
            <w:vAlign w:val="bottom"/>
            <w:tcBorders>
              <w:right w:val="single" w:sz="8" w:color="auto"/>
            </w:tcBorders>
          </w:tcPr>
          <w:p>
            <w:pPr>
              <w:spacing w:after="0"/>
              <w:rPr>
                <w:sz w:val="17"/>
                <w:szCs w:val="17"/>
                <w:color w:val="auto"/>
              </w:rPr>
            </w:pPr>
          </w:p>
        </w:tc>
        <w:tc>
          <w:tcPr>
            <w:tcW w:w="1100" w:type="dxa"/>
            <w:vAlign w:val="bottom"/>
            <w:tcBorders>
              <w:right w:val="single" w:sz="8" w:color="auto"/>
            </w:tcBorders>
          </w:tcPr>
          <w:p>
            <w:pPr>
              <w:spacing w:after="0"/>
              <w:rPr>
                <w:sz w:val="17"/>
                <w:szCs w:val="17"/>
                <w:color w:val="auto"/>
              </w:rPr>
            </w:pPr>
          </w:p>
        </w:tc>
        <w:tc>
          <w:tcPr>
            <w:tcW w:w="1220" w:type="dxa"/>
            <w:vAlign w:val="bottom"/>
            <w:tcBorders>
              <w:right w:val="single" w:sz="8" w:color="auto"/>
            </w:tcBorders>
          </w:tcPr>
          <w:p>
            <w:pPr>
              <w:spacing w:after="0"/>
              <w:rPr>
                <w:sz w:val="17"/>
                <w:szCs w:val="17"/>
                <w:color w:val="auto"/>
              </w:rPr>
            </w:pPr>
          </w:p>
        </w:tc>
        <w:tc>
          <w:tcPr>
            <w:tcW w:w="1100" w:type="dxa"/>
            <w:vAlign w:val="bottom"/>
            <w:tcBorders>
              <w:right w:val="single" w:sz="8" w:color="auto"/>
            </w:tcBorders>
          </w:tcPr>
          <w:p>
            <w:pPr>
              <w:spacing w:after="0"/>
              <w:rPr>
                <w:sz w:val="17"/>
                <w:szCs w:val="17"/>
                <w:color w:val="auto"/>
              </w:rPr>
            </w:pPr>
          </w:p>
        </w:tc>
        <w:tc>
          <w:tcPr>
            <w:tcW w:w="146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62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18"/>
                <w:szCs w:val="18"/>
                <w:color w:val="auto"/>
                <w:w w:val="92"/>
              </w:rPr>
              <w:t>Advanced</w:t>
            </w:r>
          </w:p>
        </w:tc>
        <w:tc>
          <w:tcPr>
            <w:tcW w:w="27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8"/>
              </w:rPr>
              <w:t>advanced packaging process, single</w:t>
            </w:r>
          </w:p>
        </w:tc>
        <w:tc>
          <w:tcPr>
            <w:tcW w:w="1960" w:type="dxa"/>
            <w:vAlign w:val="bottom"/>
            <w:tcBorders>
              <w:right w:val="single" w:sz="8" w:color="auto"/>
            </w:tcBorders>
          </w:tcPr>
          <w:p>
            <w:pPr>
              <w:spacing w:after="0"/>
              <w:rPr>
                <w:sz w:val="18"/>
                <w:szCs w:val="18"/>
                <w:color w:val="auto"/>
              </w:rPr>
            </w:pPr>
          </w:p>
        </w:tc>
        <w:tc>
          <w:tcPr>
            <w:tcW w:w="1100" w:type="dxa"/>
            <w:vAlign w:val="bottom"/>
            <w:tcBorders>
              <w:right w:val="single" w:sz="8" w:color="auto"/>
            </w:tcBorders>
          </w:tcPr>
          <w:p>
            <w:pPr>
              <w:spacing w:after="0"/>
              <w:rPr>
                <w:sz w:val="18"/>
                <w:szCs w:val="18"/>
                <w:color w:val="auto"/>
              </w:rPr>
            </w:pPr>
          </w:p>
        </w:tc>
        <w:tc>
          <w:tcPr>
            <w:tcW w:w="1220" w:type="dxa"/>
            <w:vAlign w:val="bottom"/>
            <w:tcBorders>
              <w:right w:val="single" w:sz="8" w:color="auto"/>
            </w:tcBorders>
          </w:tcPr>
          <w:p>
            <w:pPr>
              <w:spacing w:after="0"/>
              <w:rPr>
                <w:sz w:val="18"/>
                <w:szCs w:val="18"/>
                <w:color w:val="auto"/>
              </w:rPr>
            </w:pPr>
          </w:p>
        </w:tc>
        <w:tc>
          <w:tcPr>
            <w:tcW w:w="1100" w:type="dxa"/>
            <w:vAlign w:val="bottom"/>
            <w:tcBorders>
              <w:right w:val="single" w:sz="8" w:color="auto"/>
            </w:tcBorders>
          </w:tcPr>
          <w:p>
            <w:pPr>
              <w:spacing w:after="0"/>
              <w:rPr>
                <w:sz w:val="18"/>
                <w:szCs w:val="18"/>
                <w:color w:val="auto"/>
              </w:rPr>
            </w:pPr>
          </w:p>
        </w:tc>
        <w:tc>
          <w:tcPr>
            <w:tcW w:w="14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1620" w:type="dxa"/>
            <w:vAlign w:val="bottom"/>
            <w:tcBorders>
              <w:left w:val="single" w:sz="8" w:color="auto"/>
              <w:right w:val="single" w:sz="8" w:color="auto"/>
            </w:tcBorders>
            <w:vMerge w:val="continue"/>
          </w:tcPr>
          <w:p>
            <w:pPr>
              <w:spacing w:after="0"/>
              <w:rPr>
                <w:sz w:val="9"/>
                <w:szCs w:val="9"/>
                <w:color w:val="auto"/>
              </w:rPr>
            </w:pPr>
          </w:p>
        </w:tc>
        <w:tc>
          <w:tcPr>
            <w:tcW w:w="27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0"/>
              </w:rPr>
              <w:t>wafer combined equipment</w:t>
            </w:r>
          </w:p>
        </w:tc>
        <w:tc>
          <w:tcPr>
            <w:tcW w:w="1960" w:type="dxa"/>
            <w:vAlign w:val="bottom"/>
            <w:tcBorders>
              <w:right w:val="single" w:sz="8" w:color="auto"/>
            </w:tcBorders>
          </w:tcPr>
          <w:p>
            <w:pPr>
              <w:spacing w:after="0"/>
              <w:rPr>
                <w:sz w:val="9"/>
                <w:szCs w:val="9"/>
                <w:color w:val="auto"/>
              </w:rPr>
            </w:pPr>
          </w:p>
        </w:tc>
        <w:tc>
          <w:tcPr>
            <w:tcW w:w="1100" w:type="dxa"/>
            <w:vAlign w:val="bottom"/>
            <w:tcBorders>
              <w:right w:val="single" w:sz="8" w:color="auto"/>
            </w:tcBorders>
          </w:tcPr>
          <w:p>
            <w:pPr>
              <w:spacing w:after="0"/>
              <w:rPr>
                <w:sz w:val="9"/>
                <w:szCs w:val="9"/>
                <w:color w:val="auto"/>
              </w:rPr>
            </w:pPr>
          </w:p>
        </w:tc>
        <w:tc>
          <w:tcPr>
            <w:tcW w:w="1220" w:type="dxa"/>
            <w:vAlign w:val="bottom"/>
            <w:tcBorders>
              <w:right w:val="single" w:sz="8" w:color="auto"/>
            </w:tcBorders>
          </w:tcPr>
          <w:p>
            <w:pPr>
              <w:spacing w:after="0"/>
              <w:rPr>
                <w:sz w:val="9"/>
                <w:szCs w:val="9"/>
                <w:color w:val="auto"/>
              </w:rPr>
            </w:pPr>
          </w:p>
        </w:tc>
        <w:tc>
          <w:tcPr>
            <w:tcW w:w="1100" w:type="dxa"/>
            <w:vAlign w:val="bottom"/>
            <w:tcBorders>
              <w:right w:val="single" w:sz="8" w:color="auto"/>
            </w:tcBorders>
          </w:tcPr>
          <w:p>
            <w:pPr>
              <w:spacing w:after="0"/>
              <w:rPr>
                <w:sz w:val="9"/>
                <w:szCs w:val="9"/>
                <w:color w:val="auto"/>
              </w:rPr>
            </w:pPr>
          </w:p>
        </w:tc>
        <w:tc>
          <w:tcPr>
            <w:tcW w:w="1460" w:type="dxa"/>
            <w:vAlign w:val="bottom"/>
            <w:tcBorders>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162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18"/>
                <w:szCs w:val="18"/>
                <w:color w:val="auto"/>
                <w:w w:val="92"/>
              </w:rPr>
              <w:t>packaging wet</w:t>
            </w:r>
          </w:p>
        </w:tc>
        <w:tc>
          <w:tcPr>
            <w:tcW w:w="2780" w:type="dxa"/>
            <w:vAlign w:val="bottom"/>
            <w:tcBorders>
              <w:right w:val="single" w:sz="8" w:color="auto"/>
            </w:tcBorders>
            <w:vMerge w:val="continue"/>
          </w:tcPr>
          <w:p>
            <w:pPr>
              <w:spacing w:after="0"/>
              <w:rPr>
                <w:sz w:val="9"/>
                <w:szCs w:val="9"/>
                <w:color w:val="auto"/>
              </w:rPr>
            </w:pPr>
          </w:p>
        </w:tc>
        <w:tc>
          <w:tcPr>
            <w:tcW w:w="196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3"/>
              </w:rPr>
              <w:t>NSI, SMIC, JCET,</w:t>
            </w:r>
          </w:p>
        </w:tc>
        <w:tc>
          <w:tcPr>
            <w:tcW w:w="1100" w:type="dxa"/>
            <w:vAlign w:val="bottom"/>
            <w:tcBorders>
              <w:right w:val="single" w:sz="8" w:color="auto"/>
            </w:tcBorders>
          </w:tcPr>
          <w:p>
            <w:pPr>
              <w:spacing w:after="0"/>
              <w:rPr>
                <w:sz w:val="9"/>
                <w:szCs w:val="9"/>
                <w:color w:val="auto"/>
              </w:rPr>
            </w:pPr>
          </w:p>
        </w:tc>
        <w:tc>
          <w:tcPr>
            <w:tcW w:w="1220" w:type="dxa"/>
            <w:vAlign w:val="bottom"/>
            <w:tcBorders>
              <w:right w:val="single" w:sz="8" w:color="auto"/>
            </w:tcBorders>
          </w:tcPr>
          <w:p>
            <w:pPr>
              <w:spacing w:after="0"/>
              <w:rPr>
                <w:sz w:val="9"/>
                <w:szCs w:val="9"/>
                <w:color w:val="auto"/>
              </w:rPr>
            </w:pPr>
          </w:p>
        </w:tc>
        <w:tc>
          <w:tcPr>
            <w:tcW w:w="1100" w:type="dxa"/>
            <w:vAlign w:val="bottom"/>
            <w:tcBorders>
              <w:right w:val="single" w:sz="8" w:color="auto"/>
            </w:tcBorders>
          </w:tcPr>
          <w:p>
            <w:pPr>
              <w:spacing w:after="0"/>
              <w:rPr>
                <w:sz w:val="9"/>
                <w:szCs w:val="9"/>
                <w:color w:val="auto"/>
              </w:rPr>
            </w:pPr>
          </w:p>
        </w:tc>
        <w:tc>
          <w:tcPr>
            <w:tcW w:w="1460" w:type="dxa"/>
            <w:vAlign w:val="bottom"/>
            <w:tcBorders>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1620" w:type="dxa"/>
            <w:vAlign w:val="bottom"/>
            <w:tcBorders>
              <w:left w:val="single" w:sz="8" w:color="auto"/>
              <w:right w:val="single" w:sz="8" w:color="auto"/>
            </w:tcBorders>
            <w:vMerge w:val="continue"/>
          </w:tcPr>
          <w:p>
            <w:pPr>
              <w:spacing w:after="0"/>
              <w:rPr>
                <w:sz w:val="9"/>
                <w:szCs w:val="9"/>
                <w:color w:val="auto"/>
              </w:rPr>
            </w:pPr>
          </w:p>
        </w:tc>
        <w:tc>
          <w:tcPr>
            <w:tcW w:w="27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0"/>
              </w:rPr>
              <w:t>technology based on packaging</w:t>
            </w:r>
          </w:p>
        </w:tc>
        <w:tc>
          <w:tcPr>
            <w:tcW w:w="1960" w:type="dxa"/>
            <w:vAlign w:val="bottom"/>
            <w:tcBorders>
              <w:right w:val="single" w:sz="8" w:color="auto"/>
            </w:tcBorders>
            <w:vMerge w:val="continue"/>
          </w:tcPr>
          <w:p>
            <w:pPr>
              <w:spacing w:after="0"/>
              <w:rPr>
                <w:sz w:val="9"/>
                <w:szCs w:val="9"/>
                <w:color w:val="auto"/>
              </w:rPr>
            </w:pPr>
          </w:p>
        </w:tc>
        <w:tc>
          <w:tcPr>
            <w:tcW w:w="1100" w:type="dxa"/>
            <w:vAlign w:val="bottom"/>
            <w:tcBorders>
              <w:right w:val="single" w:sz="8" w:color="auto"/>
            </w:tcBorders>
            <w:vMerge w:val="restart"/>
          </w:tcPr>
          <w:p>
            <w:pPr>
              <w:jc w:val="right"/>
              <w:spacing w:after="0"/>
              <w:rPr>
                <w:sz w:val="20"/>
                <w:szCs w:val="20"/>
                <w:color w:val="auto"/>
              </w:rPr>
            </w:pPr>
            <w:r>
              <w:rPr>
                <w:rFonts w:ascii="Arial" w:cs="Arial" w:eastAsia="Arial" w:hAnsi="Arial"/>
                <w:sz w:val="18"/>
                <w:szCs w:val="18"/>
                <w:color w:val="auto"/>
              </w:rPr>
              <w:t>4,867.48</w:t>
            </w:r>
          </w:p>
        </w:tc>
        <w:tc>
          <w:tcPr>
            <w:tcW w:w="1220" w:type="dxa"/>
            <w:vAlign w:val="bottom"/>
            <w:tcBorders>
              <w:right w:val="single" w:sz="8" w:color="auto"/>
            </w:tcBorders>
            <w:vMerge w:val="restart"/>
          </w:tcPr>
          <w:p>
            <w:pPr>
              <w:jc w:val="right"/>
              <w:spacing w:after="0"/>
              <w:rPr>
                <w:sz w:val="20"/>
                <w:szCs w:val="20"/>
                <w:color w:val="auto"/>
              </w:rPr>
            </w:pPr>
            <w:r>
              <w:rPr>
                <w:rFonts w:ascii="Arial" w:cs="Arial" w:eastAsia="Arial" w:hAnsi="Arial"/>
                <w:sz w:val="18"/>
                <w:szCs w:val="18"/>
                <w:color w:val="auto"/>
              </w:rPr>
              <w:t>3,961.12</w:t>
            </w:r>
          </w:p>
        </w:tc>
        <w:tc>
          <w:tcPr>
            <w:tcW w:w="1100" w:type="dxa"/>
            <w:vAlign w:val="bottom"/>
            <w:tcBorders>
              <w:right w:val="single" w:sz="8" w:color="auto"/>
            </w:tcBorders>
            <w:vMerge w:val="restart"/>
          </w:tcPr>
          <w:p>
            <w:pPr>
              <w:jc w:val="right"/>
              <w:spacing w:after="0"/>
              <w:rPr>
                <w:sz w:val="20"/>
                <w:szCs w:val="20"/>
                <w:color w:val="auto"/>
              </w:rPr>
            </w:pPr>
            <w:r>
              <w:rPr>
                <w:rFonts w:ascii="Arial" w:cs="Arial" w:eastAsia="Arial" w:hAnsi="Arial"/>
                <w:sz w:val="18"/>
                <w:szCs w:val="18"/>
                <w:color w:val="auto"/>
              </w:rPr>
              <w:t>2,634.07</w:t>
            </w:r>
          </w:p>
        </w:tc>
        <w:tc>
          <w:tcPr>
            <w:tcW w:w="1460" w:type="dxa"/>
            <w:vAlign w:val="bottom"/>
            <w:tcBorders>
              <w:right w:val="single" w:sz="8" w:color="auto"/>
            </w:tcBorders>
            <w:vMerge w:val="restart"/>
          </w:tcPr>
          <w:p>
            <w:pPr>
              <w:jc w:val="right"/>
              <w:spacing w:after="0"/>
              <w:rPr>
                <w:sz w:val="20"/>
                <w:szCs w:val="20"/>
                <w:color w:val="auto"/>
              </w:rPr>
            </w:pPr>
            <w:r>
              <w:rPr>
                <w:rFonts w:ascii="Arial" w:cs="Arial" w:eastAsia="Arial" w:hAnsi="Arial"/>
                <w:sz w:val="18"/>
                <w:szCs w:val="18"/>
                <w:color w:val="auto"/>
              </w:rPr>
              <w:t>3,421.33</w:t>
            </w:r>
          </w:p>
        </w:tc>
        <w:tc>
          <w:tcPr>
            <w:tcW w:w="0" w:type="dxa"/>
            <w:vAlign w:val="bottom"/>
          </w:tcPr>
          <w:p>
            <w:pPr>
              <w:spacing w:after="0"/>
              <w:rPr>
                <w:sz w:val="1"/>
                <w:szCs w:val="1"/>
                <w:color w:val="auto"/>
              </w:rPr>
            </w:pPr>
          </w:p>
        </w:tc>
      </w:tr>
      <w:tr>
        <w:trPr>
          <w:trHeight w:val="108"/>
        </w:trPr>
        <w:tc>
          <w:tcPr>
            <w:tcW w:w="162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18"/>
                <w:szCs w:val="18"/>
                <w:color w:val="auto"/>
                <w:w w:val="85"/>
              </w:rPr>
              <w:t>process</w:t>
            </w:r>
          </w:p>
        </w:tc>
        <w:tc>
          <w:tcPr>
            <w:tcW w:w="2780" w:type="dxa"/>
            <w:vAlign w:val="bottom"/>
            <w:tcBorders>
              <w:right w:val="single" w:sz="8" w:color="auto"/>
            </w:tcBorders>
            <w:vMerge w:val="continue"/>
          </w:tcPr>
          <w:p>
            <w:pPr>
              <w:spacing w:after="0"/>
              <w:rPr>
                <w:sz w:val="9"/>
                <w:szCs w:val="9"/>
                <w:color w:val="auto"/>
              </w:rPr>
            </w:pPr>
          </w:p>
        </w:tc>
        <w:tc>
          <w:tcPr>
            <w:tcW w:w="196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3"/>
              </w:rPr>
              <w:t>Xiamen Tongfu</w:t>
            </w:r>
          </w:p>
        </w:tc>
        <w:tc>
          <w:tcPr>
            <w:tcW w:w="1100" w:type="dxa"/>
            <w:vAlign w:val="bottom"/>
            <w:tcBorders>
              <w:right w:val="single" w:sz="8" w:color="auto"/>
            </w:tcBorders>
            <w:vMerge w:val="continue"/>
          </w:tcPr>
          <w:p>
            <w:pPr>
              <w:spacing w:after="0"/>
              <w:rPr>
                <w:sz w:val="9"/>
                <w:szCs w:val="9"/>
                <w:color w:val="auto"/>
              </w:rPr>
            </w:pPr>
          </w:p>
        </w:tc>
        <w:tc>
          <w:tcPr>
            <w:tcW w:w="1220" w:type="dxa"/>
            <w:vAlign w:val="bottom"/>
            <w:tcBorders>
              <w:right w:val="single" w:sz="8" w:color="auto"/>
            </w:tcBorders>
            <w:vMerge w:val="continue"/>
          </w:tcPr>
          <w:p>
            <w:pPr>
              <w:spacing w:after="0"/>
              <w:rPr>
                <w:sz w:val="9"/>
                <w:szCs w:val="9"/>
                <w:color w:val="auto"/>
              </w:rPr>
            </w:pPr>
          </w:p>
        </w:tc>
        <w:tc>
          <w:tcPr>
            <w:tcW w:w="1100" w:type="dxa"/>
            <w:vAlign w:val="bottom"/>
            <w:tcBorders>
              <w:right w:val="single" w:sz="8" w:color="auto"/>
            </w:tcBorders>
            <w:vMerge w:val="continue"/>
          </w:tcPr>
          <w:p>
            <w:pPr>
              <w:spacing w:after="0"/>
              <w:rPr>
                <w:sz w:val="9"/>
                <w:szCs w:val="9"/>
                <w:color w:val="auto"/>
              </w:rPr>
            </w:pPr>
          </w:p>
        </w:tc>
        <w:tc>
          <w:tcPr>
            <w:tcW w:w="1460" w:type="dxa"/>
            <w:vAlign w:val="bottom"/>
            <w:tcBorders>
              <w:right w:val="single" w:sz="8" w:color="auto"/>
            </w:tcBorders>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1620" w:type="dxa"/>
            <w:vAlign w:val="bottom"/>
            <w:tcBorders>
              <w:left w:val="single" w:sz="8" w:color="auto"/>
              <w:right w:val="single" w:sz="8" w:color="auto"/>
            </w:tcBorders>
            <w:vMerge w:val="continue"/>
          </w:tcPr>
          <w:p>
            <w:pPr>
              <w:spacing w:after="0"/>
              <w:rPr>
                <w:sz w:val="9"/>
                <w:szCs w:val="9"/>
                <w:color w:val="auto"/>
              </w:rPr>
            </w:pPr>
          </w:p>
        </w:tc>
        <w:tc>
          <w:tcPr>
            <w:tcW w:w="27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88"/>
              </w:rPr>
              <w:t>degumming process, compact and</w:t>
            </w:r>
          </w:p>
        </w:tc>
        <w:tc>
          <w:tcPr>
            <w:tcW w:w="1960" w:type="dxa"/>
            <w:vAlign w:val="bottom"/>
            <w:tcBorders>
              <w:right w:val="single" w:sz="8" w:color="auto"/>
            </w:tcBorders>
            <w:vMerge w:val="continue"/>
          </w:tcPr>
          <w:p>
            <w:pPr>
              <w:spacing w:after="0"/>
              <w:rPr>
                <w:sz w:val="9"/>
                <w:szCs w:val="9"/>
                <w:color w:val="auto"/>
              </w:rPr>
            </w:pPr>
          </w:p>
        </w:tc>
        <w:tc>
          <w:tcPr>
            <w:tcW w:w="1100" w:type="dxa"/>
            <w:vAlign w:val="bottom"/>
            <w:tcBorders>
              <w:right w:val="single" w:sz="8" w:color="auto"/>
            </w:tcBorders>
          </w:tcPr>
          <w:p>
            <w:pPr>
              <w:spacing w:after="0"/>
              <w:rPr>
                <w:sz w:val="9"/>
                <w:szCs w:val="9"/>
                <w:color w:val="auto"/>
              </w:rPr>
            </w:pPr>
          </w:p>
        </w:tc>
        <w:tc>
          <w:tcPr>
            <w:tcW w:w="1220" w:type="dxa"/>
            <w:vAlign w:val="bottom"/>
            <w:tcBorders>
              <w:right w:val="single" w:sz="8" w:color="auto"/>
            </w:tcBorders>
          </w:tcPr>
          <w:p>
            <w:pPr>
              <w:spacing w:after="0"/>
              <w:rPr>
                <w:sz w:val="9"/>
                <w:szCs w:val="9"/>
                <w:color w:val="auto"/>
              </w:rPr>
            </w:pPr>
          </w:p>
        </w:tc>
        <w:tc>
          <w:tcPr>
            <w:tcW w:w="1100" w:type="dxa"/>
            <w:vAlign w:val="bottom"/>
            <w:tcBorders>
              <w:right w:val="single" w:sz="8" w:color="auto"/>
            </w:tcBorders>
          </w:tcPr>
          <w:p>
            <w:pPr>
              <w:spacing w:after="0"/>
              <w:rPr>
                <w:sz w:val="9"/>
                <w:szCs w:val="9"/>
                <w:color w:val="auto"/>
              </w:rPr>
            </w:pPr>
          </w:p>
        </w:tc>
        <w:tc>
          <w:tcPr>
            <w:tcW w:w="1460" w:type="dxa"/>
            <w:vAlign w:val="bottom"/>
            <w:tcBorders>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162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18"/>
                <w:szCs w:val="18"/>
                <w:color w:val="auto"/>
                <w:w w:val="90"/>
              </w:rPr>
              <w:t>equipment</w:t>
            </w:r>
          </w:p>
        </w:tc>
        <w:tc>
          <w:tcPr>
            <w:tcW w:w="2780" w:type="dxa"/>
            <w:vAlign w:val="bottom"/>
            <w:tcBorders>
              <w:right w:val="single" w:sz="8" w:color="auto"/>
            </w:tcBorders>
            <w:vMerge w:val="continue"/>
          </w:tcPr>
          <w:p>
            <w:pPr>
              <w:spacing w:after="0"/>
              <w:rPr>
                <w:sz w:val="9"/>
                <w:szCs w:val="9"/>
                <w:color w:val="auto"/>
              </w:rPr>
            </w:pPr>
          </w:p>
        </w:tc>
        <w:tc>
          <w:tcPr>
            <w:tcW w:w="1960" w:type="dxa"/>
            <w:vAlign w:val="bottom"/>
            <w:tcBorders>
              <w:right w:val="single" w:sz="8" w:color="auto"/>
            </w:tcBorders>
          </w:tcPr>
          <w:p>
            <w:pPr>
              <w:spacing w:after="0"/>
              <w:rPr>
                <w:sz w:val="9"/>
                <w:szCs w:val="9"/>
                <w:color w:val="auto"/>
              </w:rPr>
            </w:pPr>
          </w:p>
        </w:tc>
        <w:tc>
          <w:tcPr>
            <w:tcW w:w="1100" w:type="dxa"/>
            <w:vAlign w:val="bottom"/>
            <w:tcBorders>
              <w:right w:val="single" w:sz="8" w:color="auto"/>
            </w:tcBorders>
          </w:tcPr>
          <w:p>
            <w:pPr>
              <w:spacing w:after="0"/>
              <w:rPr>
                <w:sz w:val="9"/>
                <w:szCs w:val="9"/>
                <w:color w:val="auto"/>
              </w:rPr>
            </w:pPr>
          </w:p>
        </w:tc>
        <w:tc>
          <w:tcPr>
            <w:tcW w:w="1220" w:type="dxa"/>
            <w:vAlign w:val="bottom"/>
            <w:tcBorders>
              <w:right w:val="single" w:sz="8" w:color="auto"/>
            </w:tcBorders>
          </w:tcPr>
          <w:p>
            <w:pPr>
              <w:spacing w:after="0"/>
              <w:rPr>
                <w:sz w:val="9"/>
                <w:szCs w:val="9"/>
                <w:color w:val="auto"/>
              </w:rPr>
            </w:pPr>
          </w:p>
        </w:tc>
        <w:tc>
          <w:tcPr>
            <w:tcW w:w="1100" w:type="dxa"/>
            <w:vAlign w:val="bottom"/>
            <w:tcBorders>
              <w:right w:val="single" w:sz="8" w:color="auto"/>
            </w:tcBorders>
          </w:tcPr>
          <w:p>
            <w:pPr>
              <w:spacing w:after="0"/>
              <w:rPr>
                <w:sz w:val="9"/>
                <w:szCs w:val="9"/>
                <w:color w:val="auto"/>
              </w:rPr>
            </w:pPr>
          </w:p>
        </w:tc>
        <w:tc>
          <w:tcPr>
            <w:tcW w:w="1460" w:type="dxa"/>
            <w:vAlign w:val="bottom"/>
            <w:tcBorders>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22"/>
        </w:trPr>
        <w:tc>
          <w:tcPr>
            <w:tcW w:w="1620" w:type="dxa"/>
            <w:vAlign w:val="bottom"/>
            <w:tcBorders>
              <w:left w:val="single" w:sz="8" w:color="auto"/>
              <w:right w:val="single" w:sz="8" w:color="auto"/>
            </w:tcBorders>
            <w:vMerge w:val="continue"/>
          </w:tcPr>
          <w:p>
            <w:pPr>
              <w:spacing w:after="0"/>
              <w:rPr>
                <w:sz w:val="10"/>
                <w:szCs w:val="10"/>
                <w:color w:val="auto"/>
              </w:rPr>
            </w:pPr>
          </w:p>
        </w:tc>
        <w:tc>
          <w:tcPr>
            <w:tcW w:w="27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1"/>
              </w:rPr>
              <w:t>high-yield wet process equipment</w:t>
            </w:r>
          </w:p>
        </w:tc>
        <w:tc>
          <w:tcPr>
            <w:tcW w:w="1960" w:type="dxa"/>
            <w:vAlign w:val="bottom"/>
            <w:tcBorders>
              <w:right w:val="single" w:sz="8" w:color="auto"/>
            </w:tcBorders>
          </w:tcPr>
          <w:p>
            <w:pPr>
              <w:spacing w:after="0"/>
              <w:rPr>
                <w:sz w:val="10"/>
                <w:szCs w:val="10"/>
                <w:color w:val="auto"/>
              </w:rPr>
            </w:pPr>
          </w:p>
        </w:tc>
        <w:tc>
          <w:tcPr>
            <w:tcW w:w="1100" w:type="dxa"/>
            <w:vAlign w:val="bottom"/>
            <w:tcBorders>
              <w:right w:val="single" w:sz="8" w:color="auto"/>
            </w:tcBorders>
          </w:tcPr>
          <w:p>
            <w:pPr>
              <w:spacing w:after="0"/>
              <w:rPr>
                <w:sz w:val="10"/>
                <w:szCs w:val="10"/>
                <w:color w:val="auto"/>
              </w:rPr>
            </w:pPr>
          </w:p>
        </w:tc>
        <w:tc>
          <w:tcPr>
            <w:tcW w:w="1220" w:type="dxa"/>
            <w:vAlign w:val="bottom"/>
            <w:tcBorders>
              <w:right w:val="single" w:sz="8" w:color="auto"/>
            </w:tcBorders>
          </w:tcPr>
          <w:p>
            <w:pPr>
              <w:spacing w:after="0"/>
              <w:rPr>
                <w:sz w:val="10"/>
                <w:szCs w:val="10"/>
                <w:color w:val="auto"/>
              </w:rPr>
            </w:pPr>
          </w:p>
        </w:tc>
        <w:tc>
          <w:tcPr>
            <w:tcW w:w="1100" w:type="dxa"/>
            <w:vAlign w:val="bottom"/>
            <w:tcBorders>
              <w:right w:val="single" w:sz="8" w:color="auto"/>
            </w:tcBorders>
          </w:tcPr>
          <w:p>
            <w:pPr>
              <w:spacing w:after="0"/>
              <w:rPr>
                <w:sz w:val="10"/>
                <w:szCs w:val="10"/>
                <w:color w:val="auto"/>
              </w:rPr>
            </w:pPr>
          </w:p>
        </w:tc>
        <w:tc>
          <w:tcPr>
            <w:tcW w:w="1460" w:type="dxa"/>
            <w:vAlign w:val="bottom"/>
            <w:tcBorders>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94"/>
        </w:trPr>
        <w:tc>
          <w:tcPr>
            <w:tcW w:w="1620" w:type="dxa"/>
            <w:vAlign w:val="bottom"/>
            <w:tcBorders>
              <w:left w:val="single" w:sz="8" w:color="auto"/>
              <w:right w:val="single" w:sz="8" w:color="auto"/>
            </w:tcBorders>
          </w:tcPr>
          <w:p>
            <w:pPr>
              <w:spacing w:after="0"/>
              <w:rPr>
                <w:sz w:val="8"/>
                <w:szCs w:val="8"/>
                <w:color w:val="auto"/>
              </w:rPr>
            </w:pPr>
          </w:p>
        </w:tc>
        <w:tc>
          <w:tcPr>
            <w:tcW w:w="2780" w:type="dxa"/>
            <w:vAlign w:val="bottom"/>
            <w:tcBorders>
              <w:right w:val="single" w:sz="8" w:color="auto"/>
            </w:tcBorders>
            <w:vMerge w:val="continue"/>
          </w:tcPr>
          <w:p>
            <w:pPr>
              <w:spacing w:after="0"/>
              <w:rPr>
                <w:sz w:val="8"/>
                <w:szCs w:val="8"/>
                <w:color w:val="auto"/>
              </w:rPr>
            </w:pPr>
          </w:p>
        </w:tc>
        <w:tc>
          <w:tcPr>
            <w:tcW w:w="1960" w:type="dxa"/>
            <w:vAlign w:val="bottom"/>
            <w:tcBorders>
              <w:right w:val="single" w:sz="8" w:color="auto"/>
            </w:tcBorders>
          </w:tcPr>
          <w:p>
            <w:pPr>
              <w:spacing w:after="0"/>
              <w:rPr>
                <w:sz w:val="8"/>
                <w:szCs w:val="8"/>
                <w:color w:val="auto"/>
              </w:rPr>
            </w:pPr>
          </w:p>
        </w:tc>
        <w:tc>
          <w:tcPr>
            <w:tcW w:w="1100" w:type="dxa"/>
            <w:vAlign w:val="bottom"/>
            <w:tcBorders>
              <w:right w:val="single" w:sz="8" w:color="auto"/>
            </w:tcBorders>
          </w:tcPr>
          <w:p>
            <w:pPr>
              <w:spacing w:after="0"/>
              <w:rPr>
                <w:sz w:val="8"/>
                <w:szCs w:val="8"/>
                <w:color w:val="auto"/>
              </w:rPr>
            </w:pPr>
          </w:p>
        </w:tc>
        <w:tc>
          <w:tcPr>
            <w:tcW w:w="1220" w:type="dxa"/>
            <w:vAlign w:val="bottom"/>
            <w:tcBorders>
              <w:right w:val="single" w:sz="8" w:color="auto"/>
            </w:tcBorders>
          </w:tcPr>
          <w:p>
            <w:pPr>
              <w:spacing w:after="0"/>
              <w:rPr>
                <w:sz w:val="8"/>
                <w:szCs w:val="8"/>
                <w:color w:val="auto"/>
              </w:rPr>
            </w:pPr>
          </w:p>
        </w:tc>
        <w:tc>
          <w:tcPr>
            <w:tcW w:w="1100" w:type="dxa"/>
            <w:vAlign w:val="bottom"/>
            <w:tcBorders>
              <w:right w:val="single" w:sz="8" w:color="auto"/>
            </w:tcBorders>
          </w:tcPr>
          <w:p>
            <w:pPr>
              <w:spacing w:after="0"/>
              <w:rPr>
                <w:sz w:val="8"/>
                <w:szCs w:val="8"/>
                <w:color w:val="auto"/>
              </w:rPr>
            </w:pPr>
          </w:p>
        </w:tc>
        <w:tc>
          <w:tcPr>
            <w:tcW w:w="1460" w:type="dxa"/>
            <w:vAlign w:val="bottom"/>
            <w:tcBorders>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237"/>
        </w:trPr>
        <w:tc>
          <w:tcPr>
            <w:tcW w:w="1620" w:type="dxa"/>
            <w:vAlign w:val="bottom"/>
            <w:tcBorders>
              <w:left w:val="single" w:sz="8" w:color="auto"/>
              <w:bottom w:val="single" w:sz="8" w:color="auto"/>
              <w:right w:val="single" w:sz="8" w:color="auto"/>
            </w:tcBorders>
          </w:tcPr>
          <w:p>
            <w:pPr>
              <w:spacing w:after="0"/>
              <w:rPr>
                <w:sz w:val="20"/>
                <w:szCs w:val="20"/>
                <w:color w:val="auto"/>
              </w:rPr>
            </w:pPr>
          </w:p>
        </w:tc>
        <w:tc>
          <w:tcPr>
            <w:tcW w:w="27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0"/>
              </w:rPr>
              <w:t>architecture technology, etc.</w:t>
            </w:r>
          </w:p>
        </w:tc>
        <w:tc>
          <w:tcPr>
            <w:tcW w:w="1960" w:type="dxa"/>
            <w:vAlign w:val="bottom"/>
            <w:tcBorders>
              <w:bottom w:val="single" w:sz="8" w:color="auto"/>
              <w:right w:val="single" w:sz="8" w:color="auto"/>
            </w:tcBorders>
          </w:tcPr>
          <w:p>
            <w:pPr>
              <w:spacing w:after="0"/>
              <w:rPr>
                <w:sz w:val="20"/>
                <w:szCs w:val="20"/>
                <w:color w:val="auto"/>
              </w:rPr>
            </w:pPr>
          </w:p>
        </w:tc>
        <w:tc>
          <w:tcPr>
            <w:tcW w:w="1100" w:type="dxa"/>
            <w:vAlign w:val="bottom"/>
            <w:tcBorders>
              <w:bottom w:val="single" w:sz="8" w:color="auto"/>
              <w:right w:val="single" w:sz="8" w:color="auto"/>
            </w:tcBorders>
          </w:tcPr>
          <w:p>
            <w:pPr>
              <w:spacing w:after="0"/>
              <w:rPr>
                <w:sz w:val="20"/>
                <w:szCs w:val="20"/>
                <w:color w:val="auto"/>
              </w:rPr>
            </w:pPr>
          </w:p>
        </w:tc>
        <w:tc>
          <w:tcPr>
            <w:tcW w:w="1220" w:type="dxa"/>
            <w:vAlign w:val="bottom"/>
            <w:tcBorders>
              <w:bottom w:val="single" w:sz="8" w:color="auto"/>
              <w:right w:val="single" w:sz="8" w:color="auto"/>
            </w:tcBorders>
          </w:tcPr>
          <w:p>
            <w:pPr>
              <w:spacing w:after="0"/>
              <w:rPr>
                <w:sz w:val="20"/>
                <w:szCs w:val="20"/>
                <w:color w:val="auto"/>
              </w:rPr>
            </w:pPr>
          </w:p>
        </w:tc>
        <w:tc>
          <w:tcPr>
            <w:tcW w:w="1100" w:type="dxa"/>
            <w:vAlign w:val="bottom"/>
            <w:tcBorders>
              <w:bottom w:val="single" w:sz="8" w:color="auto"/>
              <w:right w:val="single" w:sz="8" w:color="auto"/>
            </w:tcBorders>
          </w:tcPr>
          <w:p>
            <w:pPr>
              <w:spacing w:after="0"/>
              <w:rPr>
                <w:sz w:val="20"/>
                <w:szCs w:val="20"/>
                <w:color w:val="auto"/>
              </w:rPr>
            </w:pPr>
          </w:p>
        </w:tc>
        <w:tc>
          <w:tcPr>
            <w:tcW w:w="146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162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18"/>
                <w:szCs w:val="18"/>
                <w:color w:val="auto"/>
                <w:w w:val="91"/>
              </w:rPr>
              <w:t>Vertical furnace</w:t>
            </w:r>
          </w:p>
        </w:tc>
        <w:tc>
          <w:tcPr>
            <w:tcW w:w="2780" w:type="dxa"/>
            <w:vAlign w:val="bottom"/>
            <w:tcBorders>
              <w:right w:val="single" w:sz="8" w:color="auto"/>
            </w:tcBorders>
          </w:tcPr>
          <w:p>
            <w:pPr>
              <w:jc w:val="center"/>
              <w:spacing w:after="0" w:line="201" w:lineRule="exact"/>
              <w:rPr>
                <w:sz w:val="20"/>
                <w:szCs w:val="20"/>
                <w:color w:val="auto"/>
              </w:rPr>
            </w:pPr>
            <w:r>
              <w:rPr>
                <w:rFonts w:ascii="Arial" w:cs="Arial" w:eastAsia="Arial" w:hAnsi="Arial"/>
                <w:sz w:val="18"/>
                <w:szCs w:val="18"/>
                <w:color w:val="auto"/>
                <w:w w:val="92"/>
              </w:rPr>
              <w:t>High temperature oxidation</w:t>
            </w:r>
          </w:p>
        </w:tc>
        <w:tc>
          <w:tcPr>
            <w:tcW w:w="1960" w:type="dxa"/>
            <w:vAlign w:val="bottom"/>
            <w:tcBorders>
              <w:right w:val="single" w:sz="8" w:color="auto"/>
            </w:tcBorders>
          </w:tcPr>
          <w:p>
            <w:pPr>
              <w:spacing w:after="0"/>
              <w:rPr>
                <w:sz w:val="17"/>
                <w:szCs w:val="17"/>
                <w:color w:val="auto"/>
              </w:rPr>
            </w:pPr>
          </w:p>
        </w:tc>
        <w:tc>
          <w:tcPr>
            <w:tcW w:w="1100" w:type="dxa"/>
            <w:vAlign w:val="bottom"/>
            <w:tcBorders>
              <w:right w:val="single" w:sz="8" w:color="auto"/>
            </w:tcBorders>
          </w:tcPr>
          <w:p>
            <w:pPr>
              <w:spacing w:after="0"/>
              <w:rPr>
                <w:sz w:val="17"/>
                <w:szCs w:val="17"/>
                <w:color w:val="auto"/>
              </w:rPr>
            </w:pPr>
          </w:p>
        </w:tc>
        <w:tc>
          <w:tcPr>
            <w:tcW w:w="1220" w:type="dxa"/>
            <w:vAlign w:val="bottom"/>
            <w:tcBorders>
              <w:right w:val="single" w:sz="8" w:color="auto"/>
            </w:tcBorders>
          </w:tcPr>
          <w:p>
            <w:pPr>
              <w:spacing w:after="0"/>
              <w:rPr>
                <w:sz w:val="17"/>
                <w:szCs w:val="17"/>
                <w:color w:val="auto"/>
              </w:rPr>
            </w:pPr>
          </w:p>
        </w:tc>
        <w:tc>
          <w:tcPr>
            <w:tcW w:w="1100" w:type="dxa"/>
            <w:vAlign w:val="bottom"/>
            <w:tcBorders>
              <w:right w:val="single" w:sz="8" w:color="auto"/>
            </w:tcBorders>
          </w:tcPr>
          <w:p>
            <w:pPr>
              <w:spacing w:after="0"/>
              <w:rPr>
                <w:sz w:val="17"/>
                <w:szCs w:val="17"/>
                <w:color w:val="auto"/>
              </w:rPr>
            </w:pPr>
          </w:p>
        </w:tc>
        <w:tc>
          <w:tcPr>
            <w:tcW w:w="146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08"/>
        </w:trPr>
        <w:tc>
          <w:tcPr>
            <w:tcW w:w="1620" w:type="dxa"/>
            <w:vAlign w:val="bottom"/>
            <w:tcBorders>
              <w:left w:val="single" w:sz="8" w:color="auto"/>
              <w:right w:val="single" w:sz="8" w:color="auto"/>
            </w:tcBorders>
            <w:vMerge w:val="continue"/>
          </w:tcPr>
          <w:p>
            <w:pPr>
              <w:spacing w:after="0"/>
              <w:rPr>
                <w:sz w:val="9"/>
                <w:szCs w:val="9"/>
                <w:color w:val="auto"/>
              </w:rPr>
            </w:pPr>
          </w:p>
        </w:tc>
        <w:tc>
          <w:tcPr>
            <w:tcW w:w="27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2"/>
              </w:rPr>
              <w:t>deposition technology, silicon nitride</w:t>
            </w:r>
          </w:p>
        </w:tc>
        <w:tc>
          <w:tcPr>
            <w:tcW w:w="196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0"/>
              </w:rPr>
              <w:t>Huahong Group</w:t>
            </w:r>
          </w:p>
        </w:tc>
        <w:tc>
          <w:tcPr>
            <w:tcW w:w="1100" w:type="dxa"/>
            <w:vAlign w:val="bottom"/>
            <w:tcBorders>
              <w:right w:val="single" w:sz="8" w:color="auto"/>
            </w:tcBorders>
            <w:vMerge w:val="restart"/>
          </w:tcPr>
          <w:p>
            <w:pPr>
              <w:jc w:val="right"/>
              <w:spacing w:after="0"/>
              <w:rPr>
                <w:sz w:val="20"/>
                <w:szCs w:val="20"/>
                <w:color w:val="auto"/>
              </w:rPr>
            </w:pPr>
            <w:r>
              <w:rPr>
                <w:rFonts w:ascii="Arial" w:cs="Arial" w:eastAsia="Arial" w:hAnsi="Arial"/>
                <w:sz w:val="18"/>
                <w:szCs w:val="18"/>
                <w:color w:val="auto"/>
              </w:rPr>
              <w:t>-</w:t>
            </w:r>
          </w:p>
        </w:tc>
        <w:tc>
          <w:tcPr>
            <w:tcW w:w="1220" w:type="dxa"/>
            <w:vAlign w:val="bottom"/>
            <w:tcBorders>
              <w:right w:val="single" w:sz="8" w:color="auto"/>
            </w:tcBorders>
            <w:vMerge w:val="restart"/>
          </w:tcPr>
          <w:p>
            <w:pPr>
              <w:jc w:val="right"/>
              <w:spacing w:after="0"/>
              <w:rPr>
                <w:sz w:val="20"/>
                <w:szCs w:val="20"/>
                <w:color w:val="auto"/>
              </w:rPr>
            </w:pPr>
            <w:r>
              <w:rPr>
                <w:rFonts w:ascii="Arial" w:cs="Arial" w:eastAsia="Arial" w:hAnsi="Arial"/>
                <w:sz w:val="18"/>
                <w:szCs w:val="18"/>
                <w:color w:val="auto"/>
              </w:rPr>
              <w:t>-</w:t>
            </w:r>
          </w:p>
        </w:tc>
        <w:tc>
          <w:tcPr>
            <w:tcW w:w="1100" w:type="dxa"/>
            <w:vAlign w:val="bottom"/>
            <w:tcBorders>
              <w:right w:val="single" w:sz="8" w:color="auto"/>
            </w:tcBorders>
            <w:vMerge w:val="restart"/>
          </w:tcPr>
          <w:p>
            <w:pPr>
              <w:jc w:val="right"/>
              <w:spacing w:after="0"/>
              <w:rPr>
                <w:sz w:val="20"/>
                <w:szCs w:val="20"/>
                <w:color w:val="auto"/>
              </w:rPr>
            </w:pPr>
            <w:r>
              <w:rPr>
                <w:rFonts w:ascii="Arial" w:cs="Arial" w:eastAsia="Arial" w:hAnsi="Arial"/>
                <w:sz w:val="18"/>
                <w:szCs w:val="18"/>
                <w:color w:val="auto"/>
              </w:rPr>
              <w:t>-</w:t>
            </w:r>
          </w:p>
        </w:tc>
        <w:tc>
          <w:tcPr>
            <w:tcW w:w="1460" w:type="dxa"/>
            <w:vAlign w:val="bottom"/>
            <w:tcBorders>
              <w:right w:val="single" w:sz="8" w:color="auto"/>
            </w:tcBorders>
            <w:vMerge w:val="restart"/>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08"/>
        </w:trPr>
        <w:tc>
          <w:tcPr>
            <w:tcW w:w="162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18"/>
                <w:szCs w:val="18"/>
                <w:color w:val="auto"/>
                <w:w w:val="88"/>
              </w:rPr>
              <w:t>tube equipment</w:t>
            </w:r>
          </w:p>
        </w:tc>
        <w:tc>
          <w:tcPr>
            <w:tcW w:w="2780" w:type="dxa"/>
            <w:vAlign w:val="bottom"/>
            <w:tcBorders>
              <w:right w:val="single" w:sz="8" w:color="auto"/>
            </w:tcBorders>
            <w:vMerge w:val="continue"/>
          </w:tcPr>
          <w:p>
            <w:pPr>
              <w:spacing w:after="0"/>
              <w:rPr>
                <w:sz w:val="9"/>
                <w:szCs w:val="9"/>
                <w:color w:val="auto"/>
              </w:rPr>
            </w:pPr>
          </w:p>
        </w:tc>
        <w:tc>
          <w:tcPr>
            <w:tcW w:w="1960" w:type="dxa"/>
            <w:vAlign w:val="bottom"/>
            <w:tcBorders>
              <w:right w:val="single" w:sz="8" w:color="auto"/>
            </w:tcBorders>
            <w:vMerge w:val="continue"/>
          </w:tcPr>
          <w:p>
            <w:pPr>
              <w:spacing w:after="0"/>
              <w:rPr>
                <w:sz w:val="9"/>
                <w:szCs w:val="9"/>
                <w:color w:val="auto"/>
              </w:rPr>
            </w:pPr>
          </w:p>
        </w:tc>
        <w:tc>
          <w:tcPr>
            <w:tcW w:w="1100" w:type="dxa"/>
            <w:vAlign w:val="bottom"/>
            <w:tcBorders>
              <w:right w:val="single" w:sz="8" w:color="auto"/>
            </w:tcBorders>
            <w:vMerge w:val="continue"/>
          </w:tcPr>
          <w:p>
            <w:pPr>
              <w:spacing w:after="0"/>
              <w:rPr>
                <w:sz w:val="9"/>
                <w:szCs w:val="9"/>
                <w:color w:val="auto"/>
              </w:rPr>
            </w:pPr>
          </w:p>
        </w:tc>
        <w:tc>
          <w:tcPr>
            <w:tcW w:w="1220" w:type="dxa"/>
            <w:vAlign w:val="bottom"/>
            <w:tcBorders>
              <w:right w:val="single" w:sz="8" w:color="auto"/>
            </w:tcBorders>
            <w:vMerge w:val="continue"/>
          </w:tcPr>
          <w:p>
            <w:pPr>
              <w:spacing w:after="0"/>
              <w:rPr>
                <w:sz w:val="9"/>
                <w:szCs w:val="9"/>
                <w:color w:val="auto"/>
              </w:rPr>
            </w:pPr>
          </w:p>
        </w:tc>
        <w:tc>
          <w:tcPr>
            <w:tcW w:w="1100" w:type="dxa"/>
            <w:vAlign w:val="bottom"/>
            <w:tcBorders>
              <w:right w:val="single" w:sz="8" w:color="auto"/>
            </w:tcBorders>
            <w:vMerge w:val="continue"/>
          </w:tcPr>
          <w:p>
            <w:pPr>
              <w:spacing w:after="0"/>
              <w:rPr>
                <w:sz w:val="9"/>
                <w:szCs w:val="9"/>
                <w:color w:val="auto"/>
              </w:rPr>
            </w:pPr>
          </w:p>
        </w:tc>
        <w:tc>
          <w:tcPr>
            <w:tcW w:w="1460" w:type="dxa"/>
            <w:vAlign w:val="bottom"/>
            <w:tcBorders>
              <w:right w:val="single" w:sz="8" w:color="auto"/>
            </w:tcBorders>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22"/>
        </w:trPr>
        <w:tc>
          <w:tcPr>
            <w:tcW w:w="1620" w:type="dxa"/>
            <w:vAlign w:val="bottom"/>
            <w:tcBorders>
              <w:left w:val="single" w:sz="8" w:color="auto"/>
              <w:right w:val="single" w:sz="8" w:color="auto"/>
            </w:tcBorders>
            <w:vMerge w:val="continue"/>
          </w:tcPr>
          <w:p>
            <w:pPr>
              <w:spacing w:after="0"/>
              <w:rPr>
                <w:sz w:val="10"/>
                <w:szCs w:val="10"/>
                <w:color w:val="auto"/>
              </w:rPr>
            </w:pPr>
          </w:p>
        </w:tc>
        <w:tc>
          <w:tcPr>
            <w:tcW w:w="27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0"/>
              </w:rPr>
              <w:t>deposition technology, etc.</w:t>
            </w:r>
          </w:p>
        </w:tc>
        <w:tc>
          <w:tcPr>
            <w:tcW w:w="1960" w:type="dxa"/>
            <w:vAlign w:val="bottom"/>
            <w:tcBorders>
              <w:right w:val="single" w:sz="8" w:color="auto"/>
            </w:tcBorders>
          </w:tcPr>
          <w:p>
            <w:pPr>
              <w:spacing w:after="0"/>
              <w:rPr>
                <w:sz w:val="10"/>
                <w:szCs w:val="10"/>
                <w:color w:val="auto"/>
              </w:rPr>
            </w:pPr>
          </w:p>
        </w:tc>
        <w:tc>
          <w:tcPr>
            <w:tcW w:w="1100" w:type="dxa"/>
            <w:vAlign w:val="bottom"/>
            <w:tcBorders>
              <w:right w:val="single" w:sz="8" w:color="auto"/>
            </w:tcBorders>
          </w:tcPr>
          <w:p>
            <w:pPr>
              <w:spacing w:after="0"/>
              <w:rPr>
                <w:sz w:val="10"/>
                <w:szCs w:val="10"/>
                <w:color w:val="auto"/>
              </w:rPr>
            </w:pPr>
          </w:p>
        </w:tc>
        <w:tc>
          <w:tcPr>
            <w:tcW w:w="1220" w:type="dxa"/>
            <w:vAlign w:val="bottom"/>
            <w:tcBorders>
              <w:right w:val="single" w:sz="8" w:color="auto"/>
            </w:tcBorders>
          </w:tcPr>
          <w:p>
            <w:pPr>
              <w:spacing w:after="0"/>
              <w:rPr>
                <w:sz w:val="10"/>
                <w:szCs w:val="10"/>
                <w:color w:val="auto"/>
              </w:rPr>
            </w:pPr>
          </w:p>
        </w:tc>
        <w:tc>
          <w:tcPr>
            <w:tcW w:w="1100" w:type="dxa"/>
            <w:vAlign w:val="bottom"/>
            <w:tcBorders>
              <w:right w:val="single" w:sz="8" w:color="auto"/>
            </w:tcBorders>
          </w:tcPr>
          <w:p>
            <w:pPr>
              <w:spacing w:after="0"/>
              <w:rPr>
                <w:sz w:val="10"/>
                <w:szCs w:val="10"/>
                <w:color w:val="auto"/>
              </w:rPr>
            </w:pPr>
          </w:p>
        </w:tc>
        <w:tc>
          <w:tcPr>
            <w:tcW w:w="1460" w:type="dxa"/>
            <w:vAlign w:val="bottom"/>
            <w:tcBorders>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15"/>
        </w:trPr>
        <w:tc>
          <w:tcPr>
            <w:tcW w:w="1620" w:type="dxa"/>
            <w:vAlign w:val="bottom"/>
            <w:tcBorders>
              <w:left w:val="single" w:sz="8" w:color="auto"/>
              <w:bottom w:val="single" w:sz="8" w:color="auto"/>
              <w:right w:val="single" w:sz="8" w:color="auto"/>
            </w:tcBorders>
          </w:tcPr>
          <w:p>
            <w:pPr>
              <w:spacing w:after="0"/>
              <w:rPr>
                <w:sz w:val="10"/>
                <w:szCs w:val="10"/>
                <w:color w:val="auto"/>
              </w:rPr>
            </w:pPr>
          </w:p>
        </w:tc>
        <w:tc>
          <w:tcPr>
            <w:tcW w:w="2780" w:type="dxa"/>
            <w:vAlign w:val="bottom"/>
            <w:tcBorders>
              <w:bottom w:val="single" w:sz="8" w:color="auto"/>
              <w:right w:val="single" w:sz="8" w:color="auto"/>
            </w:tcBorders>
            <w:vMerge w:val="continue"/>
          </w:tcPr>
          <w:p>
            <w:pPr>
              <w:spacing w:after="0"/>
              <w:rPr>
                <w:sz w:val="10"/>
                <w:szCs w:val="10"/>
                <w:color w:val="auto"/>
              </w:rPr>
            </w:pPr>
          </w:p>
        </w:tc>
        <w:tc>
          <w:tcPr>
            <w:tcW w:w="1960" w:type="dxa"/>
            <w:vAlign w:val="bottom"/>
            <w:tcBorders>
              <w:bottom w:val="single" w:sz="8" w:color="auto"/>
              <w:right w:val="single" w:sz="8" w:color="auto"/>
            </w:tcBorders>
          </w:tcPr>
          <w:p>
            <w:pPr>
              <w:spacing w:after="0"/>
              <w:rPr>
                <w:sz w:val="10"/>
                <w:szCs w:val="10"/>
                <w:color w:val="auto"/>
              </w:rPr>
            </w:pPr>
          </w:p>
        </w:tc>
        <w:tc>
          <w:tcPr>
            <w:tcW w:w="1100" w:type="dxa"/>
            <w:vAlign w:val="bottom"/>
            <w:tcBorders>
              <w:bottom w:val="single" w:sz="8" w:color="auto"/>
              <w:right w:val="single" w:sz="8" w:color="auto"/>
            </w:tcBorders>
          </w:tcPr>
          <w:p>
            <w:pPr>
              <w:spacing w:after="0"/>
              <w:rPr>
                <w:sz w:val="10"/>
                <w:szCs w:val="10"/>
                <w:color w:val="auto"/>
              </w:rPr>
            </w:pPr>
          </w:p>
        </w:tc>
        <w:tc>
          <w:tcPr>
            <w:tcW w:w="1220" w:type="dxa"/>
            <w:vAlign w:val="bottom"/>
            <w:tcBorders>
              <w:bottom w:val="single" w:sz="8" w:color="auto"/>
              <w:right w:val="single" w:sz="8" w:color="auto"/>
            </w:tcBorders>
          </w:tcPr>
          <w:p>
            <w:pPr>
              <w:spacing w:after="0"/>
              <w:rPr>
                <w:sz w:val="10"/>
                <w:szCs w:val="10"/>
                <w:color w:val="auto"/>
              </w:rPr>
            </w:pPr>
          </w:p>
        </w:tc>
        <w:tc>
          <w:tcPr>
            <w:tcW w:w="1100" w:type="dxa"/>
            <w:vAlign w:val="bottom"/>
            <w:tcBorders>
              <w:bottom w:val="single" w:sz="8" w:color="auto"/>
              <w:right w:val="single" w:sz="8" w:color="auto"/>
            </w:tcBorders>
          </w:tcPr>
          <w:p>
            <w:pPr>
              <w:spacing w:after="0"/>
              <w:rPr>
                <w:sz w:val="10"/>
                <w:szCs w:val="10"/>
                <w:color w:val="auto"/>
              </w:rPr>
            </w:pPr>
          </w:p>
        </w:tc>
        <w:tc>
          <w:tcPr>
            <w:tcW w:w="1460" w:type="dxa"/>
            <w:vAlign w:val="bottom"/>
            <w:tcBorders>
              <w:bottom w:val="single" w:sz="8" w:color="auto"/>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22" w:lineRule="exact"/>
        <w:rPr>
          <w:sz w:val="20"/>
          <w:szCs w:val="20"/>
          <w:color w:val="auto"/>
        </w:rPr>
      </w:pPr>
    </w:p>
    <w:p>
      <w:pPr>
        <w:jc w:val="both"/>
        <w:ind w:firstLine="324"/>
        <w:spacing w:after="0" w:line="250" w:lineRule="auto"/>
        <w:rPr>
          <w:sz w:val="20"/>
          <w:szCs w:val="20"/>
          <w:color w:val="auto"/>
        </w:rPr>
      </w:pPr>
      <w:r>
        <w:rPr>
          <w:rFonts w:ascii="Arial" w:cs="Arial" w:eastAsia="Arial" w:hAnsi="Arial"/>
          <w:sz w:val="22"/>
          <w:szCs w:val="22"/>
          <w:color w:val="auto"/>
        </w:rPr>
        <w:t>Note: The vertical furnace tube equipment is a new product developed by the Issuer in 2018 and has not been sold during the Reporting Period.</w:t>
      </w:r>
    </w:p>
    <w:p>
      <w:pPr>
        <w:spacing w:after="0" w:line="202" w:lineRule="exact"/>
        <w:rPr>
          <w:sz w:val="20"/>
          <w:szCs w:val="20"/>
          <w:color w:val="auto"/>
        </w:rPr>
      </w:pPr>
    </w:p>
    <w:p>
      <w:pPr>
        <w:ind w:left="340"/>
        <w:spacing w:after="0"/>
        <w:rPr>
          <w:sz w:val="20"/>
          <w:szCs w:val="20"/>
          <w:color w:val="auto"/>
        </w:rPr>
      </w:pPr>
      <w:r>
        <w:rPr>
          <w:rFonts w:ascii="Arial" w:cs="Arial" w:eastAsia="Arial" w:hAnsi="Arial"/>
          <w:sz w:val="19"/>
          <w:szCs w:val="19"/>
          <w:color w:val="auto"/>
        </w:rPr>
        <w:t>The above information has been disclosed in “Q3” of the Reply to the Letter of Second Round Review-related Inquiries.</w:t>
      </w:r>
    </w:p>
    <w:p>
      <w:pPr>
        <w:spacing w:after="0" w:line="275"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7"/>
          <w:szCs w:val="17"/>
          <w:color w:val="auto"/>
        </w:rPr>
        <w:t>In sum, during the Reporting Period: the Company’s R&amp;D expenses were all generated by actual R&amp;D activities; the Company’s R&amp;D expenses and production costs were accurately grouped, without including the production costs into the R&amp;D expenses; the products formed by the Company’s R&amp;D activities were not sold externally, and the R&amp;D activities were not used to customize and manufacture equipment for sales.</w:t>
      </w:r>
    </w:p>
    <w:p>
      <w:pPr>
        <w:spacing w:after="0" w:line="179" w:lineRule="exact"/>
        <w:rPr>
          <w:sz w:val="20"/>
          <w:szCs w:val="20"/>
          <w:color w:val="auto"/>
        </w:rPr>
      </w:pPr>
    </w:p>
    <w:p>
      <w:pPr>
        <w:ind w:left="600" w:hanging="268"/>
        <w:spacing w:after="0"/>
        <w:tabs>
          <w:tab w:leader="none" w:pos="600" w:val="left"/>
        </w:tabs>
        <w:numPr>
          <w:ilvl w:val="0"/>
          <w:numId w:val="94"/>
        </w:numPr>
        <w:rPr>
          <w:rFonts w:ascii="Arial" w:cs="Arial" w:eastAsia="Arial" w:hAnsi="Arial"/>
          <w:sz w:val="22"/>
          <w:szCs w:val="22"/>
          <w:b w:val="1"/>
          <w:bCs w:val="1"/>
          <w:color w:val="auto"/>
        </w:rPr>
      </w:pPr>
      <w:r>
        <w:rPr>
          <w:rFonts w:ascii="Arial" w:cs="Arial" w:eastAsia="Arial" w:hAnsi="Arial"/>
          <w:sz w:val="22"/>
          <w:szCs w:val="22"/>
          <w:b w:val="1"/>
          <w:bCs w:val="1"/>
          <w:color w:val="auto"/>
        </w:rPr>
        <w:t>Verification Procedures and Opinions</w:t>
      </w:r>
    </w:p>
    <w:p>
      <w:pPr>
        <w:spacing w:after="0" w:line="233" w:lineRule="exact"/>
        <w:rPr>
          <w:rFonts w:ascii="Arial" w:cs="Arial" w:eastAsia="Arial" w:hAnsi="Arial"/>
          <w:sz w:val="22"/>
          <w:szCs w:val="22"/>
          <w:b w:val="1"/>
          <w:bCs w:val="1"/>
          <w:color w:val="auto"/>
        </w:rPr>
      </w:pPr>
    </w:p>
    <w:p>
      <w:pPr>
        <w:ind w:left="340"/>
        <w:spacing w:after="0"/>
        <w:rPr>
          <w:rFonts w:ascii="Arial" w:cs="Arial" w:eastAsia="Arial" w:hAnsi="Arial"/>
          <w:sz w:val="22"/>
          <w:szCs w:val="22"/>
          <w:b w:val="1"/>
          <w:bCs w:val="1"/>
          <w:color w:val="auto"/>
        </w:rPr>
      </w:pPr>
      <w:r>
        <w:rPr>
          <w:rFonts w:ascii="Arial" w:cs="Arial" w:eastAsia="Arial" w:hAnsi="Arial"/>
          <w:sz w:val="22"/>
          <w:szCs w:val="22"/>
          <w:b w:val="1"/>
          <w:bCs w:val="1"/>
          <w:color w:val="auto"/>
        </w:rPr>
        <w:t>(i) Verification Procedures</w:t>
      </w:r>
    </w:p>
    <w:p>
      <w:pPr>
        <w:spacing w:after="0" w:line="246" w:lineRule="exact"/>
        <w:rPr>
          <w:sz w:val="20"/>
          <w:szCs w:val="20"/>
          <w:color w:val="auto"/>
        </w:rPr>
      </w:pPr>
    </w:p>
    <w:p>
      <w:pPr>
        <w:ind w:left="340"/>
        <w:spacing w:after="0"/>
        <w:rPr>
          <w:sz w:val="20"/>
          <w:szCs w:val="20"/>
          <w:color w:val="auto"/>
        </w:rPr>
      </w:pPr>
      <w:r>
        <w:rPr>
          <w:rFonts w:ascii="Arial" w:cs="Arial" w:eastAsia="Arial" w:hAnsi="Arial"/>
          <w:sz w:val="18"/>
          <w:szCs w:val="18"/>
          <w:color w:val="auto"/>
        </w:rPr>
        <w:t>Before the release of the Short-sell Report, the Sponsor performed the following verification procedures:</w:t>
      </w:r>
    </w:p>
    <w:p>
      <w:pPr>
        <w:spacing w:after="0" w:line="245" w:lineRule="exact"/>
        <w:rPr>
          <w:sz w:val="20"/>
          <w:szCs w:val="20"/>
          <w:color w:val="auto"/>
        </w:rPr>
      </w:pPr>
    </w:p>
    <w:p>
      <w:pPr>
        <w:jc w:val="both"/>
        <w:ind w:firstLine="332"/>
        <w:spacing w:after="0" w:line="287" w:lineRule="auto"/>
        <w:tabs>
          <w:tab w:leader="none" w:pos="585" w:val="left"/>
        </w:tabs>
        <w:numPr>
          <w:ilvl w:val="0"/>
          <w:numId w:val="95"/>
        </w:numPr>
        <w:rPr>
          <w:rFonts w:ascii="Arial" w:cs="Arial" w:eastAsia="Arial" w:hAnsi="Arial"/>
          <w:sz w:val="19"/>
          <w:szCs w:val="19"/>
          <w:color w:val="auto"/>
        </w:rPr>
      </w:pPr>
      <w:r>
        <w:rPr>
          <w:rFonts w:ascii="Arial" w:cs="Arial" w:eastAsia="Arial" w:hAnsi="Arial"/>
          <w:sz w:val="19"/>
          <w:szCs w:val="19"/>
          <w:color w:val="auto"/>
        </w:rPr>
        <w:t>Interviewing the R&amp;D principal of the Issuer to understand the organizational structure, business process, personnel division standard, project implementation and project achievement concerning R&amp;D; having access to and reviewing the statement of major R&amp;D projects and R&amp;D project initiation reports of the Issuer during the Reporting Period, and checking whether the relevant R&amp;D projects are initiated, approved and whether the calculation system has been effectively implemented;</w:t>
      </w:r>
    </w:p>
    <w:p>
      <w:pPr>
        <w:spacing w:after="0" w:line="169" w:lineRule="exact"/>
        <w:rPr>
          <w:rFonts w:ascii="Arial" w:cs="Arial" w:eastAsia="Arial" w:hAnsi="Arial"/>
          <w:sz w:val="19"/>
          <w:szCs w:val="19"/>
          <w:color w:val="auto"/>
        </w:rPr>
      </w:pPr>
    </w:p>
    <w:p>
      <w:pPr>
        <w:jc w:val="both"/>
        <w:ind w:firstLine="332"/>
        <w:spacing w:after="0" w:line="238" w:lineRule="auto"/>
        <w:tabs>
          <w:tab w:leader="none" w:pos="543" w:val="left"/>
        </w:tabs>
        <w:numPr>
          <w:ilvl w:val="0"/>
          <w:numId w:val="95"/>
        </w:numPr>
        <w:rPr>
          <w:rFonts w:ascii="Arial" w:cs="Arial" w:eastAsia="Arial" w:hAnsi="Arial"/>
          <w:sz w:val="22"/>
          <w:szCs w:val="22"/>
          <w:color w:val="auto"/>
        </w:rPr>
      </w:pPr>
      <w:r>
        <w:rPr>
          <w:rFonts w:ascii="Arial" w:cs="Arial" w:eastAsia="Arial" w:hAnsi="Arial"/>
          <w:sz w:val="22"/>
          <w:szCs w:val="22"/>
          <w:color w:val="auto"/>
        </w:rPr>
        <w:t>Reviewing the detailed account of R&amp;D expenses to check the expenditure and grouping of various expenses, interviewing the R&amp;D department and financial directors to understand the reasons for the change of R&amp;D expenses during the Reporting Period, and analyzing the changes of R&amp;D expenses in each period based on the available business performance changes and R&amp;D plans;</w:t>
      </w:r>
    </w:p>
    <w:p>
      <w:pPr>
        <w:spacing w:after="0" w:line="39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8-4-1-81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0" w:right="339" w:bottom="1440" w:gutter="0" w:footer="0" w:header="0"/>
        </w:sectPr>
      </w:pPr>
    </w:p>
    <w:bookmarkStart w:id="85" w:name="page86"/>
    <w:bookmarkEnd w:id="85"/>
    <w:p>
      <w:pPr>
        <w:jc w:val="both"/>
        <w:ind w:firstLine="332"/>
        <w:spacing w:after="0" w:line="235" w:lineRule="auto"/>
        <w:tabs>
          <w:tab w:leader="none" w:pos="572" w:val="left"/>
        </w:tabs>
        <w:numPr>
          <w:ilvl w:val="0"/>
          <w:numId w:val="96"/>
        </w:numPr>
        <w:rPr>
          <w:rFonts w:ascii="Arial" w:cs="Arial" w:eastAsia="Arial" w:hAnsi="Arial"/>
          <w:sz w:val="22"/>
          <w:szCs w:val="22"/>
          <w:color w:val="auto"/>
        </w:rPr>
      </w:pPr>
      <w:r>
        <w:rPr>
          <w:rFonts w:ascii="Arial" w:cs="Arial" w:eastAsia="Arial" w:hAnsi="Arial"/>
          <w:sz w:val="22"/>
          <w:szCs w:val="22"/>
          <w:color w:val="auto"/>
        </w:rPr>
        <w:t>Checking the cost accounting method of the Issuer to see whether such method matches the production process flow; checking the BOM for production of the Issuer by sampling, and verifying the same with the records of production materials; checking the grouping method of the Company’s employee benefits and the list of employees whose benefits were included in the production costs and R&amp;D expenses and double-checking their departments; having access to the detailed list of manufacturing expenses and the form of working hours allocation to double-check whether the manufacturing expenses were grouped accurately;</w:t>
      </w:r>
    </w:p>
    <w:p>
      <w:pPr>
        <w:spacing w:after="0" w:line="222" w:lineRule="exact"/>
        <w:rPr>
          <w:rFonts w:ascii="Arial" w:cs="Arial" w:eastAsia="Arial" w:hAnsi="Arial"/>
          <w:sz w:val="22"/>
          <w:szCs w:val="22"/>
          <w:color w:val="auto"/>
        </w:rPr>
      </w:pPr>
    </w:p>
    <w:p>
      <w:pPr>
        <w:ind w:left="520" w:hanging="188"/>
        <w:spacing w:after="0"/>
        <w:tabs>
          <w:tab w:leader="none" w:pos="520" w:val="left"/>
        </w:tabs>
        <w:numPr>
          <w:ilvl w:val="0"/>
          <w:numId w:val="96"/>
        </w:numPr>
        <w:rPr>
          <w:rFonts w:ascii="Arial" w:cs="Arial" w:eastAsia="Arial" w:hAnsi="Arial"/>
          <w:sz w:val="16"/>
          <w:szCs w:val="16"/>
          <w:color w:val="auto"/>
        </w:rPr>
      </w:pPr>
      <w:r>
        <w:rPr>
          <w:rFonts w:ascii="Arial" w:cs="Arial" w:eastAsia="Arial" w:hAnsi="Arial"/>
          <w:sz w:val="16"/>
          <w:szCs w:val="16"/>
          <w:color w:val="auto"/>
        </w:rPr>
        <w:t>Having access to the ledgers, lists, proposals, acceptance reports and other data of R&amp;D projects, double-checking the accuracy of R&amp;D investment</w:t>
      </w:r>
    </w:p>
    <w:p>
      <w:pPr>
        <w:spacing w:after="0" w:line="46" w:lineRule="exact"/>
        <w:rPr>
          <w:sz w:val="20"/>
          <w:szCs w:val="20"/>
          <w:color w:val="auto"/>
        </w:rPr>
      </w:pPr>
    </w:p>
    <w:p>
      <w:pPr>
        <w:spacing w:after="0" w:line="260" w:lineRule="auto"/>
        <w:rPr>
          <w:sz w:val="20"/>
          <w:szCs w:val="20"/>
          <w:color w:val="auto"/>
        </w:rPr>
      </w:pPr>
      <w:r>
        <w:rPr>
          <w:rFonts w:ascii="Arial" w:cs="Arial" w:eastAsia="Arial" w:hAnsi="Arial"/>
          <w:sz w:val="18"/>
          <w:szCs w:val="18"/>
          <w:color w:val="auto"/>
        </w:rPr>
        <w:t>identification; checking the materials requisitions related to R&amp;D activities to verify the rationality and accuracy of R&amp;D costs grouping and allocation; and</w:t>
      </w:r>
    </w:p>
    <w:p>
      <w:pPr>
        <w:spacing w:after="0" w:line="212" w:lineRule="exact"/>
        <w:rPr>
          <w:sz w:val="20"/>
          <w:szCs w:val="20"/>
          <w:color w:val="auto"/>
        </w:rPr>
      </w:pPr>
    </w:p>
    <w:p>
      <w:pPr>
        <w:ind w:firstLine="332"/>
        <w:spacing w:after="0" w:line="277" w:lineRule="auto"/>
        <w:tabs>
          <w:tab w:leader="none" w:pos="506" w:val="left"/>
        </w:tabs>
        <w:numPr>
          <w:ilvl w:val="0"/>
          <w:numId w:val="97"/>
        </w:numPr>
        <w:rPr>
          <w:rFonts w:ascii="Arial" w:cs="Arial" w:eastAsia="Arial" w:hAnsi="Arial"/>
          <w:sz w:val="18"/>
          <w:szCs w:val="18"/>
          <w:color w:val="auto"/>
        </w:rPr>
      </w:pPr>
      <w:r>
        <w:rPr>
          <w:rFonts w:ascii="Arial" w:cs="Arial" w:eastAsia="Arial" w:hAnsi="Arial"/>
          <w:sz w:val="18"/>
          <w:szCs w:val="18"/>
          <w:color w:val="auto"/>
        </w:rPr>
        <w:t>Reviewing the sales list and sales contracts to find out whether the sales of R&amp;D prototypes were involved; having access to the memorandum book of R&amp;D prototypes to see the management and sales of R&amp;D prototypes.</w:t>
      </w:r>
    </w:p>
    <w:p>
      <w:pPr>
        <w:spacing w:after="0" w:line="19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After the release of the Short-sell Report, the Sponsor performed the following further procedures with respect to R&amp;D expenses:</w:t>
      </w:r>
    </w:p>
    <w:p>
      <w:pPr>
        <w:spacing w:after="0" w:line="252" w:lineRule="exact"/>
        <w:rPr>
          <w:sz w:val="20"/>
          <w:szCs w:val="20"/>
          <w:color w:val="auto"/>
        </w:rPr>
      </w:pPr>
    </w:p>
    <w:p>
      <w:pPr>
        <w:ind w:firstLine="332"/>
        <w:spacing w:after="0" w:line="277" w:lineRule="auto"/>
        <w:tabs>
          <w:tab w:leader="none" w:pos="516" w:val="left"/>
        </w:tabs>
        <w:numPr>
          <w:ilvl w:val="0"/>
          <w:numId w:val="98"/>
        </w:numPr>
        <w:rPr>
          <w:rFonts w:ascii="Arial" w:cs="Arial" w:eastAsia="Arial" w:hAnsi="Arial"/>
          <w:sz w:val="18"/>
          <w:szCs w:val="18"/>
          <w:color w:val="auto"/>
        </w:rPr>
      </w:pPr>
      <w:r>
        <w:rPr>
          <w:rFonts w:ascii="Arial" w:cs="Arial" w:eastAsia="Arial" w:hAnsi="Arial"/>
          <w:sz w:val="18"/>
          <w:szCs w:val="18"/>
          <w:color w:val="auto"/>
        </w:rPr>
        <w:t>Further consulting and checking the source of “$12.9 mln spent on R&amp;D” mentioned in the Short-sell Report, and making a comparative analysis with the government subsidies received by the Company;</w:t>
      </w:r>
    </w:p>
    <w:p>
      <w:pPr>
        <w:spacing w:after="0" w:line="197" w:lineRule="exact"/>
        <w:rPr>
          <w:rFonts w:ascii="Arial" w:cs="Arial" w:eastAsia="Arial" w:hAnsi="Arial"/>
          <w:sz w:val="18"/>
          <w:szCs w:val="18"/>
          <w:color w:val="auto"/>
        </w:rPr>
      </w:pPr>
    </w:p>
    <w:p>
      <w:pPr>
        <w:ind w:left="520" w:hanging="188"/>
        <w:spacing w:after="0"/>
        <w:tabs>
          <w:tab w:leader="none" w:pos="520" w:val="left"/>
        </w:tabs>
        <w:numPr>
          <w:ilvl w:val="0"/>
          <w:numId w:val="98"/>
        </w:numPr>
        <w:rPr>
          <w:rFonts w:ascii="Arial" w:cs="Arial" w:eastAsia="Arial" w:hAnsi="Arial"/>
          <w:sz w:val="18"/>
          <w:szCs w:val="18"/>
          <w:color w:val="auto"/>
        </w:rPr>
      </w:pPr>
      <w:r>
        <w:rPr>
          <w:rFonts w:ascii="Arial" w:cs="Arial" w:eastAsia="Arial" w:hAnsi="Arial"/>
          <w:sz w:val="18"/>
          <w:szCs w:val="18"/>
          <w:color w:val="auto"/>
        </w:rPr>
        <w:t>Further checking the Company’s R&amp;D expenditure and grouping; and</w:t>
      </w:r>
    </w:p>
    <w:p>
      <w:pPr>
        <w:spacing w:after="0" w:line="244" w:lineRule="exact"/>
        <w:rPr>
          <w:rFonts w:ascii="Arial" w:cs="Arial" w:eastAsia="Arial" w:hAnsi="Arial"/>
          <w:sz w:val="18"/>
          <w:szCs w:val="18"/>
          <w:color w:val="auto"/>
        </w:rPr>
      </w:pPr>
    </w:p>
    <w:p>
      <w:pPr>
        <w:ind w:left="540" w:hanging="208"/>
        <w:spacing w:after="0"/>
        <w:tabs>
          <w:tab w:leader="none" w:pos="540" w:val="left"/>
        </w:tabs>
        <w:numPr>
          <w:ilvl w:val="0"/>
          <w:numId w:val="98"/>
        </w:numPr>
        <w:rPr>
          <w:rFonts w:ascii="Arial" w:cs="Arial" w:eastAsia="Arial" w:hAnsi="Arial"/>
          <w:sz w:val="22"/>
          <w:szCs w:val="22"/>
          <w:color w:val="auto"/>
        </w:rPr>
      </w:pPr>
      <w:r>
        <w:rPr>
          <w:rFonts w:ascii="Arial" w:cs="Arial" w:eastAsia="Arial" w:hAnsi="Arial"/>
          <w:sz w:val="22"/>
          <w:szCs w:val="22"/>
          <w:color w:val="auto"/>
        </w:rPr>
        <w:t>Further spot-checking the BOM of the Issuer.</w:t>
      </w:r>
    </w:p>
    <w:p>
      <w:pPr>
        <w:spacing w:after="0" w:line="227" w:lineRule="exact"/>
        <w:rPr>
          <w:sz w:val="20"/>
          <w:szCs w:val="20"/>
          <w:color w:val="auto"/>
        </w:rPr>
      </w:pPr>
    </w:p>
    <w:p>
      <w:pPr>
        <w:ind w:left="340"/>
        <w:spacing w:after="0"/>
        <w:rPr>
          <w:sz w:val="20"/>
          <w:szCs w:val="20"/>
          <w:color w:val="auto"/>
        </w:rPr>
      </w:pPr>
      <w:r>
        <w:rPr>
          <w:rFonts w:ascii="Arial" w:cs="Arial" w:eastAsia="Arial" w:hAnsi="Arial"/>
          <w:sz w:val="22"/>
          <w:szCs w:val="22"/>
          <w:b w:val="1"/>
          <w:bCs w:val="1"/>
          <w:color w:val="auto"/>
        </w:rPr>
        <w:t>(ii) Verification Opinions</w:t>
      </w:r>
    </w:p>
    <w:p>
      <w:pPr>
        <w:spacing w:after="0" w:line="239" w:lineRule="exact"/>
        <w:rPr>
          <w:sz w:val="20"/>
          <w:szCs w:val="20"/>
          <w:color w:val="auto"/>
        </w:rPr>
      </w:pPr>
    </w:p>
    <w:p>
      <w:pPr>
        <w:ind w:left="340"/>
        <w:spacing w:after="0"/>
        <w:rPr>
          <w:sz w:val="20"/>
          <w:szCs w:val="20"/>
          <w:color w:val="auto"/>
        </w:rPr>
      </w:pPr>
      <w:r>
        <w:rPr>
          <w:rFonts w:ascii="Arial" w:cs="Arial" w:eastAsia="Arial" w:hAnsi="Arial"/>
          <w:sz w:val="22"/>
          <w:szCs w:val="22"/>
          <w:color w:val="auto"/>
        </w:rPr>
        <w:t>Upon verification, the Sponsor opines that:</w:t>
      </w:r>
    </w:p>
    <w:p>
      <w:pPr>
        <w:spacing w:after="0" w:line="233" w:lineRule="exact"/>
        <w:rPr>
          <w:sz w:val="20"/>
          <w:szCs w:val="20"/>
          <w:color w:val="auto"/>
        </w:rPr>
      </w:pPr>
    </w:p>
    <w:p>
      <w:pPr>
        <w:jc w:val="both"/>
        <w:ind w:firstLine="324"/>
        <w:spacing w:after="0"/>
        <w:rPr>
          <w:sz w:val="20"/>
          <w:szCs w:val="20"/>
          <w:color w:val="auto"/>
        </w:rPr>
      </w:pPr>
      <w:r>
        <w:rPr>
          <w:rFonts w:ascii="Arial" w:cs="Arial" w:eastAsia="Arial" w:hAnsi="Arial"/>
          <w:sz w:val="22"/>
          <w:szCs w:val="22"/>
          <w:color w:val="auto"/>
        </w:rPr>
        <w:t>The Issuer set up the R&amp;D projects separately, received materials and calculated the costs separately according to the R&amp;D projects; the R&amp;D projects and production projects of the Issuers were distinguished from each other, without using the R&amp;D activities to customize and manufacture equipment for sales.</w:t>
      </w:r>
    </w:p>
    <w:p>
      <w:pPr>
        <w:spacing w:after="0" w:line="207" w:lineRule="exact"/>
        <w:rPr>
          <w:sz w:val="20"/>
          <w:szCs w:val="20"/>
          <w:color w:val="auto"/>
        </w:rPr>
      </w:pPr>
    </w:p>
    <w:p>
      <w:pPr>
        <w:ind w:left="340" w:right="1720" w:hanging="8"/>
        <w:spacing w:after="0" w:line="463" w:lineRule="auto"/>
        <w:tabs>
          <w:tab w:leader="none" w:pos="556" w:val="left"/>
        </w:tabs>
        <w:numPr>
          <w:ilvl w:val="0"/>
          <w:numId w:val="99"/>
        </w:numPr>
        <w:rPr>
          <w:rFonts w:ascii="Arial" w:cs="Arial" w:eastAsia="Arial" w:hAnsi="Arial"/>
          <w:sz w:val="22"/>
          <w:szCs w:val="22"/>
          <w:b w:val="1"/>
          <w:bCs w:val="1"/>
          <w:color w:val="auto"/>
        </w:rPr>
      </w:pPr>
      <w:r>
        <w:rPr>
          <w:rFonts w:ascii="Arial" w:cs="Arial" w:eastAsia="Arial" w:hAnsi="Arial"/>
          <w:sz w:val="22"/>
          <w:szCs w:val="22"/>
          <w:b w:val="1"/>
          <w:bCs w:val="1"/>
          <w:color w:val="auto"/>
        </w:rPr>
        <w:t>Other Challenge 9: About VAT (Index of Verification in Response to the Short-sell Report, No.25) Challenge in the Short-sell Report (Short-sell Report, p.30):</w:t>
      </w:r>
    </w:p>
    <w:p>
      <w:pPr>
        <w:spacing w:after="0" w:line="2" w:lineRule="exact"/>
        <w:rPr>
          <w:sz w:val="20"/>
          <w:szCs w:val="20"/>
          <w:color w:val="auto"/>
        </w:rPr>
      </w:pPr>
    </w:p>
    <w:p>
      <w:pPr>
        <w:jc w:val="both"/>
        <w:ind w:firstLine="324"/>
        <w:spacing w:after="0" w:line="238" w:lineRule="auto"/>
        <w:rPr>
          <w:sz w:val="20"/>
          <w:szCs w:val="20"/>
          <w:color w:val="auto"/>
        </w:rPr>
      </w:pPr>
      <w:r>
        <w:rPr>
          <w:rFonts w:ascii="Arial" w:cs="Arial" w:eastAsia="Arial" w:hAnsi="Arial"/>
          <w:sz w:val="22"/>
          <w:szCs w:val="22"/>
          <w:color w:val="auto"/>
        </w:rPr>
        <w:t>“In the itemized tax-payable table of ACMR’s disclosures, there is no disclosed Value-Added Tax (VAT) payable: this is highly unusual and in fact almost impossible for an equipment maker. We think the company improperly claims tax exemptions by reporting that parts are imported as part of its capital investment and for R&amp;D when really these are raw materials for operational production.”</w:t>
      </w:r>
    </w:p>
    <w:p>
      <w:pPr>
        <w:spacing w:after="0" w:line="390"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8-4-1-82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86" w:name="page87"/>
    <w:bookmarkEnd w:id="86"/>
    <w:p>
      <w:pPr>
        <w:ind w:left="340"/>
        <w:spacing w:after="0"/>
        <w:rPr>
          <w:sz w:val="20"/>
          <w:szCs w:val="20"/>
          <w:color w:val="auto"/>
        </w:rPr>
      </w:pPr>
      <w:r>
        <w:rPr>
          <w:rFonts w:ascii="Arial" w:cs="Arial" w:eastAsia="Arial" w:hAnsi="Arial"/>
          <w:sz w:val="22"/>
          <w:szCs w:val="22"/>
          <w:b w:val="1"/>
          <w:bCs w:val="1"/>
          <w:color w:val="auto"/>
        </w:rPr>
        <w:t>Response:</w:t>
      </w:r>
    </w:p>
    <w:p>
      <w:pPr>
        <w:spacing w:after="0" w:line="234" w:lineRule="exact"/>
        <w:rPr>
          <w:sz w:val="20"/>
          <w:szCs w:val="20"/>
          <w:color w:val="auto"/>
        </w:rPr>
      </w:pPr>
    </w:p>
    <w:p>
      <w:pPr>
        <w:ind w:left="340"/>
        <w:spacing w:after="0"/>
        <w:rPr>
          <w:sz w:val="20"/>
          <w:szCs w:val="20"/>
          <w:color w:val="auto"/>
        </w:rPr>
      </w:pPr>
      <w:r>
        <w:rPr>
          <w:rFonts w:ascii="Arial" w:cs="Arial" w:eastAsia="Arial" w:hAnsi="Arial"/>
          <w:sz w:val="22"/>
          <w:szCs w:val="22"/>
          <w:b w:val="1"/>
          <w:bCs w:val="1"/>
          <w:color w:val="auto"/>
        </w:rPr>
        <w:t>I. Clarification by the Issuer</w:t>
      </w:r>
    </w:p>
    <w:p>
      <w:pPr>
        <w:spacing w:after="0" w:line="239" w:lineRule="exact"/>
        <w:rPr>
          <w:sz w:val="20"/>
          <w:szCs w:val="20"/>
          <w:color w:val="auto"/>
        </w:rPr>
      </w:pPr>
    </w:p>
    <w:p>
      <w:pPr>
        <w:jc w:val="both"/>
        <w:ind w:firstLine="324"/>
        <w:spacing w:after="0" w:line="238" w:lineRule="auto"/>
        <w:rPr>
          <w:sz w:val="20"/>
          <w:szCs w:val="20"/>
          <w:color w:val="auto"/>
        </w:rPr>
      </w:pPr>
      <w:r>
        <w:rPr>
          <w:rFonts w:ascii="Arial" w:cs="Arial" w:eastAsia="Arial" w:hAnsi="Arial"/>
          <w:sz w:val="22"/>
          <w:szCs w:val="22"/>
          <w:color w:val="auto"/>
        </w:rPr>
        <w:t>It is reasonable and accurate that there was no VAT payable in the closing balance of taxes payable by the Issuer, and no production costs were included into the R&amp;D expenses. The Company has disclosed the R&amp;D expenses in “Q26.2” of the Reply to the Letter of First Round Review-related Inquiries and “Q3” of the Reply to the Letter of Second Round Review-related Inquiries.</w:t>
      </w:r>
    </w:p>
    <w:p>
      <w:pPr>
        <w:spacing w:after="0" w:line="206" w:lineRule="exact"/>
        <w:rPr>
          <w:sz w:val="20"/>
          <w:szCs w:val="20"/>
          <w:color w:val="auto"/>
        </w:rPr>
      </w:pPr>
    </w:p>
    <w:p>
      <w:pPr>
        <w:ind w:left="340"/>
        <w:spacing w:after="0"/>
        <w:rPr>
          <w:sz w:val="20"/>
          <w:szCs w:val="20"/>
          <w:color w:val="auto"/>
        </w:rPr>
      </w:pPr>
      <w:r>
        <w:rPr>
          <w:rFonts w:ascii="Arial" w:cs="Arial" w:eastAsia="Arial" w:hAnsi="Arial"/>
          <w:sz w:val="22"/>
          <w:szCs w:val="22"/>
          <w:b w:val="1"/>
          <w:bCs w:val="1"/>
          <w:color w:val="auto"/>
        </w:rPr>
        <w:t>(i) Relevant provisions on value added tax</w:t>
      </w:r>
    </w:p>
    <w:p>
      <w:pPr>
        <w:spacing w:after="0" w:line="246" w:lineRule="exact"/>
        <w:rPr>
          <w:sz w:val="20"/>
          <w:szCs w:val="20"/>
          <w:color w:val="auto"/>
        </w:rPr>
      </w:pPr>
    </w:p>
    <w:p>
      <w:pPr>
        <w:jc w:val="both"/>
        <w:ind w:firstLine="324"/>
        <w:spacing w:after="0" w:line="290" w:lineRule="auto"/>
        <w:rPr>
          <w:sz w:val="20"/>
          <w:szCs w:val="20"/>
          <w:color w:val="auto"/>
        </w:rPr>
      </w:pPr>
      <w:r>
        <w:rPr>
          <w:rFonts w:ascii="Arial" w:cs="Arial" w:eastAsia="Arial" w:hAnsi="Arial"/>
          <w:sz w:val="16"/>
          <w:szCs w:val="16"/>
          <w:color w:val="auto"/>
        </w:rPr>
        <w:t>According to the relevant provisions of China’s tax law, general trade and counter-purchase processing are the trading ways by which raw materials are imported. The import tariff and value-added tax shall be levied for raw materials imported through general trade, and the tax “exemption, offset and refund” measures shall apply to those exported through such a way. The import of raw materials through counter-purchase processing shall be filed with the customs, under which way the raw materials shall be tax-free when imported, while the processed products are subject to the “exemption, offset and refund” tax policy when exported. When importing raw materials for production and processing, the Issuer adopted the method of counter-purchase processing, and completed such procedures of raw material import, material requisition and production, export sales, and manual cancellation in accordance with the filing manual. When importing raw materials for purposes other than production and processing (such as parts sales or R&amp;D self-use), the Issuer did so through general trade, declaring and paying tariff and value-added tax for the import according to the regulations.</w:t>
      </w:r>
    </w:p>
    <w:p>
      <w:pPr>
        <w:spacing w:after="0" w:line="192" w:lineRule="exact"/>
        <w:rPr>
          <w:sz w:val="20"/>
          <w:szCs w:val="20"/>
          <w:color w:val="auto"/>
        </w:rPr>
      </w:pPr>
    </w:p>
    <w:p>
      <w:pPr>
        <w:jc w:val="both"/>
        <w:ind w:firstLine="324"/>
        <w:spacing w:after="0" w:line="288" w:lineRule="auto"/>
        <w:rPr>
          <w:sz w:val="20"/>
          <w:szCs w:val="20"/>
          <w:color w:val="auto"/>
        </w:rPr>
      </w:pPr>
      <w:r>
        <w:rPr>
          <w:rFonts w:ascii="Arial" w:cs="Arial" w:eastAsia="Arial" w:hAnsi="Arial"/>
          <w:sz w:val="16"/>
          <w:szCs w:val="16"/>
          <w:color w:val="auto"/>
        </w:rPr>
        <w:t>Section II. (8) of the Announcement of the State Administration of Taxation on Issues Concerning the Administrative Measures for Value-added Tax and Consumption Tax on Export Goods and Labor Services ( [2013] No. 12) stipulates that “goods governed by value-added tax refund (exemption) policies applicable to the export of integrated circuit design enterprises, software design enterprises, animation design enterprises and other high-tech enterprises which are treated as general value-added taxpayers, the tax exemption, offset and refund measures shall apply, and taxpayers shall apply for export tax refund (exemption) according to Article IV of the said Measures and the relevant provisions of this Announcement.” Accordingly, the Issuer is qualified to be identified for the purpose of taxation as a taxpayer enjoying tax refund (exemption) for export goods. When selling goods, the Issuer generally delivers the goods to the bonded area or logistics park as agreed by the relevant parties, and handles the export declaration procedures for each batch of goods in accordance with the relevant provisions. At the same time, according to the relevant provisions of the tax law, the goods sold to the bonded area or logistics park shall be deemed to have been exported, for which the Issuer can enjoy the “exemption, offset and refund” tax policy in terms of the VAT. After customs declaration, the Issuer will apply for export tax refund as per relevant regulations.</w:t>
      </w:r>
    </w:p>
    <w:p>
      <w:pPr>
        <w:spacing w:after="0" w:line="36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8-4-1-83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1" w:right="339" w:bottom="1440" w:gutter="0" w:footer="0" w:header="0"/>
        </w:sectPr>
      </w:pPr>
    </w:p>
    <w:bookmarkStart w:id="87" w:name="page88"/>
    <w:bookmarkEnd w:id="87"/>
    <w:p>
      <w:pPr>
        <w:ind w:left="340"/>
        <w:spacing w:after="0"/>
        <w:rPr>
          <w:sz w:val="20"/>
          <w:szCs w:val="20"/>
          <w:color w:val="auto"/>
        </w:rPr>
      </w:pPr>
      <w:r>
        <w:rPr>
          <w:rFonts w:ascii="Arial" w:cs="Arial" w:eastAsia="Arial" w:hAnsi="Arial"/>
          <w:sz w:val="22"/>
          <w:szCs w:val="22"/>
          <w:b w:val="1"/>
          <w:bCs w:val="1"/>
          <w:color w:val="auto"/>
        </w:rPr>
        <w:t>(ii) Export tax refund of the Company</w:t>
      </w:r>
    </w:p>
    <w:p>
      <w:pPr>
        <w:spacing w:after="0" w:line="240" w:lineRule="exact"/>
        <w:rPr>
          <w:sz w:val="20"/>
          <w:szCs w:val="20"/>
          <w:color w:val="auto"/>
        </w:rPr>
      </w:pPr>
    </w:p>
    <w:p>
      <w:pPr>
        <w:ind w:left="340"/>
        <w:spacing w:after="0"/>
        <w:rPr>
          <w:sz w:val="20"/>
          <w:szCs w:val="20"/>
          <w:color w:val="auto"/>
        </w:rPr>
      </w:pPr>
      <w:r>
        <w:rPr>
          <w:rFonts w:ascii="Arial" w:cs="Arial" w:eastAsia="Arial" w:hAnsi="Arial"/>
          <w:sz w:val="22"/>
          <w:szCs w:val="22"/>
          <w:color w:val="auto"/>
        </w:rPr>
        <w:t>In 2017, 2018 and 2019, the Issuer received export tax refunds as follows:</w:t>
      </w:r>
    </w:p>
    <w:p>
      <w:pPr>
        <w:spacing w:after="0" w:line="233" w:lineRule="exact"/>
        <w:rPr>
          <w:sz w:val="20"/>
          <w:szCs w:val="20"/>
          <w:color w:val="auto"/>
        </w:rPr>
      </w:pPr>
    </w:p>
    <w:tbl>
      <w:tblPr>
        <w:tblLayout w:type="fixed"/>
        <w:tblInd w:w="10" w:type="dxa"/>
        <w:tblCellMar>
          <w:top w:w="0" w:type="dxa"/>
          <w:left w:w="0" w:type="dxa"/>
          <w:bottom w:w="0" w:type="dxa"/>
          <w:right w:w="0" w:type="dxa"/>
        </w:tblCellMar>
      </w:tblPr>
      <w:tr>
        <w:trPr>
          <w:trHeight w:val="274"/>
        </w:trPr>
        <w:tc>
          <w:tcPr>
            <w:tcW w:w="3280" w:type="dxa"/>
            <w:vAlign w:val="bottom"/>
          </w:tcPr>
          <w:p>
            <w:pPr>
              <w:spacing w:after="0"/>
              <w:rPr>
                <w:sz w:val="23"/>
                <w:szCs w:val="23"/>
                <w:color w:val="auto"/>
              </w:rPr>
            </w:pPr>
          </w:p>
        </w:tc>
        <w:tc>
          <w:tcPr>
            <w:tcW w:w="2380" w:type="dxa"/>
            <w:vAlign w:val="bottom"/>
          </w:tcPr>
          <w:p>
            <w:pPr>
              <w:spacing w:after="0"/>
              <w:rPr>
                <w:sz w:val="23"/>
                <w:szCs w:val="23"/>
                <w:color w:val="auto"/>
              </w:rPr>
            </w:pPr>
          </w:p>
        </w:tc>
        <w:tc>
          <w:tcPr>
            <w:tcW w:w="2780" w:type="dxa"/>
            <w:vAlign w:val="bottom"/>
          </w:tcPr>
          <w:p>
            <w:pPr>
              <w:spacing w:after="0"/>
              <w:rPr>
                <w:sz w:val="23"/>
                <w:szCs w:val="23"/>
                <w:color w:val="auto"/>
              </w:rPr>
            </w:pPr>
          </w:p>
        </w:tc>
        <w:tc>
          <w:tcPr>
            <w:tcW w:w="2800" w:type="dxa"/>
            <w:vAlign w:val="bottom"/>
          </w:tcPr>
          <w:p>
            <w:pPr>
              <w:ind w:left="1220"/>
              <w:spacing w:after="0"/>
              <w:rPr>
                <w:sz w:val="20"/>
                <w:szCs w:val="20"/>
                <w:color w:val="auto"/>
              </w:rPr>
            </w:pPr>
            <w:r>
              <w:rPr>
                <w:rFonts w:ascii="Arial" w:cs="Arial" w:eastAsia="Arial" w:hAnsi="Arial"/>
                <w:sz w:val="22"/>
                <w:szCs w:val="22"/>
                <w:color w:val="auto"/>
                <w:w w:val="91"/>
              </w:rPr>
              <w:t>Unit: RMB10,000</w:t>
            </w:r>
          </w:p>
        </w:tc>
      </w:tr>
      <w:tr>
        <w:trPr>
          <w:trHeight w:val="240"/>
        </w:trPr>
        <w:tc>
          <w:tcPr>
            <w:tcW w:w="3280" w:type="dxa"/>
            <w:vAlign w:val="bottom"/>
            <w:tcBorders>
              <w:bottom w:val="single" w:sz="8" w:color="auto"/>
            </w:tcBorders>
          </w:tcPr>
          <w:p>
            <w:pPr>
              <w:spacing w:after="0"/>
              <w:rPr>
                <w:sz w:val="20"/>
                <w:szCs w:val="20"/>
                <w:color w:val="auto"/>
              </w:rPr>
            </w:pPr>
          </w:p>
        </w:tc>
        <w:tc>
          <w:tcPr>
            <w:tcW w:w="2380" w:type="dxa"/>
            <w:vAlign w:val="bottom"/>
            <w:tcBorders>
              <w:bottom w:val="single" w:sz="8" w:color="auto"/>
            </w:tcBorders>
          </w:tcPr>
          <w:p>
            <w:pPr>
              <w:spacing w:after="0"/>
              <w:rPr>
                <w:sz w:val="20"/>
                <w:szCs w:val="20"/>
                <w:color w:val="auto"/>
              </w:rPr>
            </w:pPr>
          </w:p>
        </w:tc>
        <w:tc>
          <w:tcPr>
            <w:tcW w:w="2780" w:type="dxa"/>
            <w:vAlign w:val="bottom"/>
            <w:tcBorders>
              <w:bottom w:val="single" w:sz="8" w:color="auto"/>
            </w:tcBorders>
          </w:tcPr>
          <w:p>
            <w:pPr>
              <w:spacing w:after="0"/>
              <w:rPr>
                <w:sz w:val="20"/>
                <w:szCs w:val="20"/>
                <w:color w:val="auto"/>
              </w:rPr>
            </w:pPr>
          </w:p>
        </w:tc>
        <w:tc>
          <w:tcPr>
            <w:tcW w:w="2800" w:type="dxa"/>
            <w:vAlign w:val="bottom"/>
            <w:tcBorders>
              <w:bottom w:val="single" w:sz="8" w:color="auto"/>
            </w:tcBorders>
          </w:tcPr>
          <w:p>
            <w:pPr>
              <w:spacing w:after="0"/>
              <w:rPr>
                <w:sz w:val="20"/>
                <w:szCs w:val="20"/>
                <w:color w:val="auto"/>
              </w:rPr>
            </w:pPr>
          </w:p>
        </w:tc>
      </w:tr>
      <w:tr>
        <w:trPr>
          <w:trHeight w:val="223"/>
        </w:trPr>
        <w:tc>
          <w:tcPr>
            <w:tcW w:w="328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97"/>
              </w:rPr>
              <w:t>Item</w:t>
            </w:r>
          </w:p>
        </w:tc>
        <w:tc>
          <w:tcPr>
            <w:tcW w:w="2380" w:type="dxa"/>
            <w:vAlign w:val="bottom"/>
            <w:tcBorders>
              <w:bottom w:val="single" w:sz="8" w:color="auto"/>
              <w:right w:val="single" w:sz="8" w:color="auto"/>
            </w:tcBorders>
          </w:tcPr>
          <w:p>
            <w:pPr>
              <w:jc w:val="right"/>
              <w:ind w:right="930"/>
              <w:spacing w:after="0"/>
              <w:rPr>
                <w:sz w:val="20"/>
                <w:szCs w:val="20"/>
                <w:color w:val="auto"/>
              </w:rPr>
            </w:pPr>
            <w:r>
              <w:rPr>
                <w:rFonts w:ascii="Arial" w:cs="Arial" w:eastAsia="Arial" w:hAnsi="Arial"/>
                <w:sz w:val="18"/>
                <w:szCs w:val="18"/>
                <w:b w:val="1"/>
                <w:bCs w:val="1"/>
                <w:color w:val="auto"/>
              </w:rPr>
              <w:t>2019</w:t>
            </w:r>
          </w:p>
        </w:tc>
        <w:tc>
          <w:tcPr>
            <w:tcW w:w="2780" w:type="dxa"/>
            <w:vAlign w:val="bottom"/>
            <w:tcBorders>
              <w:bottom w:val="single" w:sz="8" w:color="auto"/>
              <w:right w:val="single" w:sz="8" w:color="auto"/>
            </w:tcBorders>
          </w:tcPr>
          <w:p>
            <w:pPr>
              <w:jc w:val="right"/>
              <w:ind w:right="1130"/>
              <w:spacing w:after="0"/>
              <w:rPr>
                <w:sz w:val="20"/>
                <w:szCs w:val="20"/>
                <w:color w:val="auto"/>
              </w:rPr>
            </w:pPr>
            <w:r>
              <w:rPr>
                <w:rFonts w:ascii="Arial" w:cs="Arial" w:eastAsia="Arial" w:hAnsi="Arial"/>
                <w:sz w:val="18"/>
                <w:szCs w:val="18"/>
                <w:b w:val="1"/>
                <w:bCs w:val="1"/>
                <w:color w:val="auto"/>
              </w:rPr>
              <w:t>2018</w:t>
            </w:r>
          </w:p>
        </w:tc>
        <w:tc>
          <w:tcPr>
            <w:tcW w:w="2800" w:type="dxa"/>
            <w:vAlign w:val="bottom"/>
            <w:tcBorders>
              <w:bottom w:val="single" w:sz="8" w:color="auto"/>
              <w:right w:val="single" w:sz="8" w:color="auto"/>
            </w:tcBorders>
          </w:tcPr>
          <w:p>
            <w:pPr>
              <w:ind w:left="1200"/>
              <w:spacing w:after="0"/>
              <w:rPr>
                <w:sz w:val="20"/>
                <w:szCs w:val="20"/>
                <w:color w:val="auto"/>
              </w:rPr>
            </w:pPr>
            <w:r>
              <w:rPr>
                <w:rFonts w:ascii="Arial" w:cs="Arial" w:eastAsia="Arial" w:hAnsi="Arial"/>
                <w:sz w:val="18"/>
                <w:szCs w:val="18"/>
                <w:b w:val="1"/>
                <w:bCs w:val="1"/>
                <w:color w:val="auto"/>
              </w:rPr>
              <w:t>2017</w:t>
            </w:r>
          </w:p>
        </w:tc>
      </w:tr>
      <w:tr>
        <w:trPr>
          <w:trHeight w:val="223"/>
        </w:trPr>
        <w:tc>
          <w:tcPr>
            <w:tcW w:w="328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1"/>
              </w:rPr>
              <w:t>VAT refund received</w:t>
            </w:r>
          </w:p>
        </w:tc>
        <w:tc>
          <w:tcPr>
            <w:tcW w:w="238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5,141.52</w:t>
            </w:r>
          </w:p>
        </w:tc>
        <w:tc>
          <w:tcPr>
            <w:tcW w:w="278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3,161.69</w:t>
            </w:r>
          </w:p>
        </w:tc>
        <w:tc>
          <w:tcPr>
            <w:tcW w:w="280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2,294.49</w:t>
            </w:r>
          </w:p>
        </w:tc>
      </w:tr>
    </w:tbl>
    <w:p>
      <w:pPr>
        <w:spacing w:after="0" w:line="229"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The Issuer was entitled to the VAT exemption and refund policy according to the regulations. There was no VAT payable in the balance of the tax payable by the Issuer at the end of the Reporting Period.</w:t>
      </w:r>
    </w:p>
    <w:p>
      <w:pPr>
        <w:spacing w:after="0" w:line="193"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(iii) No production costs have been included by the Company into the R&amp;D expenses</w:t>
      </w:r>
    </w:p>
    <w:p>
      <w:pPr>
        <w:spacing w:after="0" w:line="256"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The Company’s R&amp;D expenses were all generated by actual R&amp;D activities; the Company has grouped the R&amp;D expenses and the production costs accurately, and no production costs have been included into the R&amp;D expenses. For relevant analysis, please refer to “Other Challenge 8: About R&amp;D Expenses” herein.</w:t>
      </w:r>
    </w:p>
    <w:p>
      <w:pPr>
        <w:spacing w:after="0" w:line="207" w:lineRule="exact"/>
        <w:rPr>
          <w:sz w:val="20"/>
          <w:szCs w:val="20"/>
          <w:color w:val="auto"/>
        </w:rPr>
      </w:pPr>
    </w:p>
    <w:p>
      <w:pPr>
        <w:ind w:left="560" w:hanging="228"/>
        <w:spacing w:after="0"/>
        <w:tabs>
          <w:tab w:leader="none" w:pos="560" w:val="left"/>
        </w:tabs>
        <w:numPr>
          <w:ilvl w:val="0"/>
          <w:numId w:val="100"/>
        </w:numPr>
        <w:rPr>
          <w:rFonts w:ascii="Arial" w:cs="Arial" w:eastAsia="Arial" w:hAnsi="Arial"/>
          <w:sz w:val="18"/>
          <w:szCs w:val="18"/>
          <w:b w:val="1"/>
          <w:bCs w:val="1"/>
          <w:color w:val="auto"/>
        </w:rPr>
      </w:pPr>
      <w:r>
        <w:rPr>
          <w:rFonts w:ascii="Arial" w:cs="Arial" w:eastAsia="Arial" w:hAnsi="Arial"/>
          <w:sz w:val="18"/>
          <w:szCs w:val="18"/>
          <w:b w:val="1"/>
          <w:bCs w:val="1"/>
          <w:color w:val="auto"/>
        </w:rPr>
        <w:t>Verification Procedures and Opinions</w:t>
      </w:r>
    </w:p>
    <w:p>
      <w:pPr>
        <w:spacing w:after="0" w:line="252" w:lineRule="exact"/>
        <w:rPr>
          <w:rFonts w:ascii="Arial" w:cs="Arial" w:eastAsia="Arial" w:hAnsi="Arial"/>
          <w:sz w:val="18"/>
          <w:szCs w:val="18"/>
          <w:b w:val="1"/>
          <w:bCs w:val="1"/>
          <w:color w:val="auto"/>
        </w:rPr>
      </w:pPr>
    </w:p>
    <w:p>
      <w:pPr>
        <w:ind w:left="340"/>
        <w:spacing w:after="0"/>
        <w:rPr>
          <w:rFonts w:ascii="Arial" w:cs="Arial" w:eastAsia="Arial" w:hAnsi="Arial"/>
          <w:sz w:val="18"/>
          <w:szCs w:val="18"/>
          <w:b w:val="1"/>
          <w:bCs w:val="1"/>
          <w:color w:val="auto"/>
        </w:rPr>
      </w:pPr>
      <w:r>
        <w:rPr>
          <w:rFonts w:ascii="Arial" w:cs="Arial" w:eastAsia="Arial" w:hAnsi="Arial"/>
          <w:sz w:val="18"/>
          <w:szCs w:val="18"/>
          <w:b w:val="1"/>
          <w:bCs w:val="1"/>
          <w:color w:val="auto"/>
        </w:rPr>
        <w:t>(i) Verification Procedures</w:t>
      </w:r>
    </w:p>
    <w:p>
      <w:pPr>
        <w:spacing w:after="0" w:line="256" w:lineRule="exact"/>
        <w:rPr>
          <w:sz w:val="20"/>
          <w:szCs w:val="20"/>
          <w:color w:val="auto"/>
        </w:rPr>
      </w:pPr>
    </w:p>
    <w:p>
      <w:pPr>
        <w:ind w:left="340"/>
        <w:spacing w:after="0"/>
        <w:rPr>
          <w:sz w:val="20"/>
          <w:szCs w:val="20"/>
          <w:color w:val="auto"/>
        </w:rPr>
      </w:pPr>
      <w:r>
        <w:rPr>
          <w:rFonts w:ascii="Arial" w:cs="Arial" w:eastAsia="Arial" w:hAnsi="Arial"/>
          <w:sz w:val="18"/>
          <w:szCs w:val="18"/>
          <w:color w:val="auto"/>
        </w:rPr>
        <w:t>Before the release of the Short-sell Report, the Sponsor performed the following verification procedures:</w:t>
      </w:r>
    </w:p>
    <w:p>
      <w:pPr>
        <w:spacing w:after="0" w:line="252" w:lineRule="exact"/>
        <w:rPr>
          <w:sz w:val="20"/>
          <w:szCs w:val="20"/>
          <w:color w:val="auto"/>
        </w:rPr>
      </w:pPr>
    </w:p>
    <w:p>
      <w:pPr>
        <w:ind w:left="520" w:hanging="188"/>
        <w:spacing w:after="0"/>
        <w:tabs>
          <w:tab w:leader="none" w:pos="520" w:val="left"/>
        </w:tabs>
        <w:numPr>
          <w:ilvl w:val="0"/>
          <w:numId w:val="101"/>
        </w:numPr>
        <w:rPr>
          <w:rFonts w:ascii="Arial" w:cs="Arial" w:eastAsia="Arial" w:hAnsi="Arial"/>
          <w:sz w:val="18"/>
          <w:szCs w:val="18"/>
          <w:color w:val="auto"/>
        </w:rPr>
      </w:pPr>
      <w:r>
        <w:rPr>
          <w:rFonts w:ascii="Arial" w:cs="Arial" w:eastAsia="Arial" w:hAnsi="Arial"/>
          <w:sz w:val="18"/>
          <w:szCs w:val="18"/>
          <w:color w:val="auto"/>
        </w:rPr>
        <w:t>Checking the relevant customs declaration methods for the Company to import raw materials;</w:t>
      </w:r>
    </w:p>
    <w:p>
      <w:pPr>
        <w:spacing w:after="0" w:line="252" w:lineRule="exact"/>
        <w:rPr>
          <w:rFonts w:ascii="Arial" w:cs="Arial" w:eastAsia="Arial" w:hAnsi="Arial"/>
          <w:sz w:val="18"/>
          <w:szCs w:val="18"/>
          <w:color w:val="auto"/>
        </w:rPr>
      </w:pPr>
    </w:p>
    <w:p>
      <w:pPr>
        <w:ind w:firstLine="332"/>
        <w:spacing w:after="0" w:line="277" w:lineRule="auto"/>
        <w:tabs>
          <w:tab w:leader="none" w:pos="510" w:val="left"/>
        </w:tabs>
        <w:numPr>
          <w:ilvl w:val="0"/>
          <w:numId w:val="101"/>
        </w:numPr>
        <w:rPr>
          <w:rFonts w:ascii="Arial" w:cs="Arial" w:eastAsia="Arial" w:hAnsi="Arial"/>
          <w:sz w:val="18"/>
          <w:szCs w:val="18"/>
          <w:color w:val="auto"/>
        </w:rPr>
      </w:pPr>
      <w:r>
        <w:rPr>
          <w:rFonts w:ascii="Arial" w:cs="Arial" w:eastAsia="Arial" w:hAnsi="Arial"/>
          <w:sz w:val="18"/>
          <w:szCs w:val="18"/>
          <w:color w:val="auto"/>
        </w:rPr>
        <w:t>Spot-checking the import declaration records and relevant import tax vouchers of imported raw materials for production and processing, parts sales or R&amp;D self use, respectively, of the Company;</w:t>
      </w:r>
    </w:p>
    <w:p>
      <w:pPr>
        <w:spacing w:after="0" w:line="197" w:lineRule="exact"/>
        <w:rPr>
          <w:rFonts w:ascii="Arial" w:cs="Arial" w:eastAsia="Arial" w:hAnsi="Arial"/>
          <w:sz w:val="18"/>
          <w:szCs w:val="18"/>
          <w:color w:val="auto"/>
        </w:rPr>
      </w:pPr>
    </w:p>
    <w:p>
      <w:pPr>
        <w:ind w:left="520" w:hanging="188"/>
        <w:spacing w:after="0"/>
        <w:tabs>
          <w:tab w:leader="none" w:pos="520" w:val="left"/>
        </w:tabs>
        <w:numPr>
          <w:ilvl w:val="0"/>
          <w:numId w:val="101"/>
        </w:numPr>
        <w:rPr>
          <w:rFonts w:ascii="Arial" w:cs="Arial" w:eastAsia="Arial" w:hAnsi="Arial"/>
          <w:sz w:val="17"/>
          <w:szCs w:val="17"/>
          <w:color w:val="auto"/>
        </w:rPr>
      </w:pPr>
      <w:r>
        <w:rPr>
          <w:rFonts w:ascii="Arial" w:cs="Arial" w:eastAsia="Arial" w:hAnsi="Arial"/>
          <w:sz w:val="17"/>
          <w:szCs w:val="17"/>
          <w:color w:val="auto"/>
        </w:rPr>
        <w:t>Acquiring the certificate of non-major tax violation issued by Shanghai Pudong New Area Tax Bureau under the State Taxation Administration;</w:t>
      </w:r>
    </w:p>
    <w:p>
      <w:pPr>
        <w:spacing w:after="0" w:line="263" w:lineRule="exact"/>
        <w:rPr>
          <w:rFonts w:ascii="Arial" w:cs="Arial" w:eastAsia="Arial" w:hAnsi="Arial"/>
          <w:sz w:val="17"/>
          <w:szCs w:val="17"/>
          <w:color w:val="auto"/>
        </w:rPr>
      </w:pPr>
    </w:p>
    <w:p>
      <w:pPr>
        <w:ind w:firstLine="332"/>
        <w:spacing w:after="0" w:line="277" w:lineRule="auto"/>
        <w:tabs>
          <w:tab w:leader="none" w:pos="506" w:val="left"/>
        </w:tabs>
        <w:numPr>
          <w:ilvl w:val="0"/>
          <w:numId w:val="101"/>
        </w:numPr>
        <w:rPr>
          <w:rFonts w:ascii="Arial" w:cs="Arial" w:eastAsia="Arial" w:hAnsi="Arial"/>
          <w:sz w:val="18"/>
          <w:szCs w:val="18"/>
          <w:color w:val="auto"/>
        </w:rPr>
      </w:pPr>
      <w:r>
        <w:rPr>
          <w:rFonts w:ascii="Arial" w:cs="Arial" w:eastAsia="Arial" w:hAnsi="Arial"/>
          <w:sz w:val="18"/>
          <w:szCs w:val="18"/>
          <w:color w:val="auto"/>
        </w:rPr>
        <w:t>Having access to the VAT declaration forms and the applications for export tax exemption and refund, checking the same with the book records, and having access to and checking the receipt vouchers of export tax refunds; and</w:t>
      </w:r>
    </w:p>
    <w:p>
      <w:pPr>
        <w:spacing w:after="0" w:line="197" w:lineRule="exact"/>
        <w:rPr>
          <w:rFonts w:ascii="Arial" w:cs="Arial" w:eastAsia="Arial" w:hAnsi="Arial"/>
          <w:sz w:val="18"/>
          <w:szCs w:val="18"/>
          <w:color w:val="auto"/>
        </w:rPr>
      </w:pPr>
    </w:p>
    <w:p>
      <w:pPr>
        <w:jc w:val="both"/>
        <w:ind w:firstLine="332"/>
        <w:spacing w:after="0" w:line="342" w:lineRule="auto"/>
        <w:tabs>
          <w:tab w:leader="none" w:pos="508" w:val="left"/>
        </w:tabs>
        <w:numPr>
          <w:ilvl w:val="0"/>
          <w:numId w:val="101"/>
        </w:numPr>
        <w:rPr>
          <w:rFonts w:ascii="Arial" w:cs="Arial" w:eastAsia="Arial" w:hAnsi="Arial"/>
          <w:sz w:val="16"/>
          <w:szCs w:val="16"/>
          <w:color w:val="auto"/>
        </w:rPr>
      </w:pPr>
      <w:r>
        <w:rPr>
          <w:rFonts w:ascii="Arial" w:cs="Arial" w:eastAsia="Arial" w:hAnsi="Arial"/>
          <w:sz w:val="16"/>
          <w:szCs w:val="16"/>
          <w:color w:val="auto"/>
        </w:rPr>
        <w:t>Having access to the ledgers, lists, proposals, acceptance reports and other data of R&amp;D projects, double-checking the accuracy of R&amp;D investment identification; checking the materials requisitions related to R&amp;D activities to verify the rationality and accuracy of R&amp;D expenses grouping and allocation.</w:t>
      </w:r>
    </w:p>
    <w:p>
      <w:pPr>
        <w:spacing w:after="0" w:line="151" w:lineRule="exact"/>
        <w:rPr>
          <w:sz w:val="20"/>
          <w:szCs w:val="20"/>
          <w:color w:val="auto"/>
        </w:rPr>
      </w:pPr>
    </w:p>
    <w:p>
      <w:pPr>
        <w:ind w:right="20" w:firstLine="324"/>
        <w:spacing w:after="0" w:line="277" w:lineRule="auto"/>
        <w:rPr>
          <w:sz w:val="20"/>
          <w:szCs w:val="20"/>
          <w:color w:val="auto"/>
        </w:rPr>
      </w:pPr>
      <w:r>
        <w:rPr>
          <w:rFonts w:ascii="Arial" w:cs="Arial" w:eastAsia="Arial" w:hAnsi="Arial"/>
          <w:sz w:val="18"/>
          <w:szCs w:val="18"/>
          <w:color w:val="auto"/>
        </w:rPr>
        <w:t>After the release of the Short-sell Report, the Sponsor performed the following further procedures with respect to the situation that there is no VAT payable in the closing balance of taxes payable:</w:t>
      </w:r>
    </w:p>
    <w:p>
      <w:pPr>
        <w:spacing w:after="0" w:line="197" w:lineRule="exact"/>
        <w:rPr>
          <w:sz w:val="20"/>
          <w:szCs w:val="20"/>
          <w:color w:val="auto"/>
        </w:rPr>
      </w:pPr>
    </w:p>
    <w:p>
      <w:pPr>
        <w:ind w:left="520" w:hanging="188"/>
        <w:spacing w:after="0"/>
        <w:tabs>
          <w:tab w:leader="none" w:pos="520" w:val="left"/>
        </w:tabs>
        <w:numPr>
          <w:ilvl w:val="0"/>
          <w:numId w:val="102"/>
        </w:numPr>
        <w:rPr>
          <w:rFonts w:ascii="Arial" w:cs="Arial" w:eastAsia="Arial" w:hAnsi="Arial"/>
          <w:sz w:val="18"/>
          <w:szCs w:val="18"/>
          <w:color w:val="auto"/>
        </w:rPr>
      </w:pPr>
      <w:r>
        <w:rPr>
          <w:rFonts w:ascii="Arial" w:cs="Arial" w:eastAsia="Arial" w:hAnsi="Arial"/>
          <w:sz w:val="18"/>
          <w:szCs w:val="18"/>
          <w:color w:val="auto"/>
        </w:rPr>
        <w:t>Further spot-checking the relevant declaration materials of the Company’s imported raw materials;</w:t>
      </w:r>
    </w:p>
    <w:p>
      <w:pPr>
        <w:spacing w:after="0" w:line="252" w:lineRule="exact"/>
        <w:rPr>
          <w:rFonts w:ascii="Arial" w:cs="Arial" w:eastAsia="Arial" w:hAnsi="Arial"/>
          <w:sz w:val="18"/>
          <w:szCs w:val="18"/>
          <w:color w:val="auto"/>
        </w:rPr>
      </w:pPr>
    </w:p>
    <w:p>
      <w:pPr>
        <w:ind w:left="520" w:hanging="188"/>
        <w:spacing w:after="0"/>
        <w:tabs>
          <w:tab w:leader="none" w:pos="520" w:val="left"/>
        </w:tabs>
        <w:numPr>
          <w:ilvl w:val="0"/>
          <w:numId w:val="102"/>
        </w:numPr>
        <w:rPr>
          <w:rFonts w:ascii="Arial" w:cs="Arial" w:eastAsia="Arial" w:hAnsi="Arial"/>
          <w:sz w:val="18"/>
          <w:szCs w:val="18"/>
          <w:color w:val="auto"/>
        </w:rPr>
      </w:pPr>
      <w:r>
        <w:rPr>
          <w:rFonts w:ascii="Arial" w:cs="Arial" w:eastAsia="Arial" w:hAnsi="Arial"/>
          <w:sz w:val="18"/>
          <w:szCs w:val="18"/>
          <w:color w:val="auto"/>
        </w:rPr>
        <w:t>Further consulting the measures concerning “exemption, offset and refund” of export taxes;</w:t>
      </w:r>
    </w:p>
    <w:p>
      <w:pPr>
        <w:spacing w:after="0" w:line="252" w:lineRule="exact"/>
        <w:rPr>
          <w:rFonts w:ascii="Arial" w:cs="Arial" w:eastAsia="Arial" w:hAnsi="Arial"/>
          <w:sz w:val="18"/>
          <w:szCs w:val="18"/>
          <w:color w:val="auto"/>
        </w:rPr>
      </w:pPr>
    </w:p>
    <w:p>
      <w:pPr>
        <w:ind w:left="520" w:hanging="188"/>
        <w:spacing w:after="0"/>
        <w:tabs>
          <w:tab w:leader="none" w:pos="520" w:val="left"/>
        </w:tabs>
        <w:numPr>
          <w:ilvl w:val="0"/>
          <w:numId w:val="102"/>
        </w:numPr>
        <w:rPr>
          <w:rFonts w:ascii="Arial" w:cs="Arial" w:eastAsia="Arial" w:hAnsi="Arial"/>
          <w:sz w:val="18"/>
          <w:szCs w:val="18"/>
          <w:color w:val="auto"/>
        </w:rPr>
      </w:pPr>
      <w:r>
        <w:rPr>
          <w:rFonts w:ascii="Arial" w:cs="Arial" w:eastAsia="Arial" w:hAnsi="Arial"/>
          <w:sz w:val="18"/>
          <w:szCs w:val="18"/>
          <w:color w:val="auto"/>
        </w:rPr>
        <w:t>Further reviewing the VAT declaration forms and export tax exemption and refund application forms; and</w:t>
      </w: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8-4-1-84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1" w:right="339" w:bottom="1440" w:gutter="0" w:footer="0" w:header="0"/>
        </w:sectPr>
      </w:pPr>
    </w:p>
    <w:bookmarkStart w:id="88" w:name="page89"/>
    <w:bookmarkEnd w:id="88"/>
    <w:p>
      <w:pPr>
        <w:ind w:left="340"/>
        <w:spacing w:after="0"/>
        <w:rPr>
          <w:sz w:val="20"/>
          <w:szCs w:val="20"/>
          <w:color w:val="auto"/>
        </w:rPr>
      </w:pPr>
      <w:r>
        <w:rPr>
          <w:rFonts w:ascii="Arial" w:cs="Arial" w:eastAsia="Arial" w:hAnsi="Arial"/>
          <w:sz w:val="22"/>
          <w:szCs w:val="22"/>
          <w:color w:val="auto"/>
        </w:rPr>
        <w:t>4. Further checking the information on the Company’s R&amp;D expenditure and grouping.</w:t>
      </w:r>
    </w:p>
    <w:p>
      <w:pPr>
        <w:spacing w:after="0" w:line="228" w:lineRule="exact"/>
        <w:rPr>
          <w:sz w:val="20"/>
          <w:szCs w:val="20"/>
          <w:color w:val="auto"/>
        </w:rPr>
      </w:pPr>
    </w:p>
    <w:p>
      <w:pPr>
        <w:ind w:left="340"/>
        <w:spacing w:after="0"/>
        <w:rPr>
          <w:sz w:val="20"/>
          <w:szCs w:val="20"/>
          <w:color w:val="auto"/>
        </w:rPr>
      </w:pPr>
      <w:r>
        <w:rPr>
          <w:rFonts w:ascii="Arial" w:cs="Arial" w:eastAsia="Arial" w:hAnsi="Arial"/>
          <w:sz w:val="22"/>
          <w:szCs w:val="22"/>
          <w:b w:val="1"/>
          <w:bCs w:val="1"/>
          <w:color w:val="auto"/>
        </w:rPr>
        <w:t>(ii) Verification Opinions</w:t>
      </w:r>
    </w:p>
    <w:p>
      <w:pPr>
        <w:spacing w:after="0" w:line="239" w:lineRule="exact"/>
        <w:rPr>
          <w:sz w:val="20"/>
          <w:szCs w:val="20"/>
          <w:color w:val="auto"/>
        </w:rPr>
      </w:pPr>
    </w:p>
    <w:p>
      <w:pPr>
        <w:ind w:left="340"/>
        <w:spacing w:after="0"/>
        <w:rPr>
          <w:sz w:val="20"/>
          <w:szCs w:val="20"/>
          <w:color w:val="auto"/>
        </w:rPr>
      </w:pPr>
      <w:r>
        <w:rPr>
          <w:rFonts w:ascii="Arial" w:cs="Arial" w:eastAsia="Arial" w:hAnsi="Arial"/>
          <w:sz w:val="22"/>
          <w:szCs w:val="22"/>
          <w:color w:val="auto"/>
        </w:rPr>
        <w:t>Upon verification, the Sponsor opines that:</w:t>
      </w:r>
    </w:p>
    <w:p>
      <w:pPr>
        <w:spacing w:after="0" w:line="233" w:lineRule="exact"/>
        <w:rPr>
          <w:sz w:val="20"/>
          <w:szCs w:val="20"/>
          <w:color w:val="auto"/>
        </w:rPr>
      </w:pPr>
    </w:p>
    <w:p>
      <w:pPr>
        <w:ind w:right="20" w:firstLine="324"/>
        <w:spacing w:after="0" w:line="250" w:lineRule="auto"/>
        <w:rPr>
          <w:sz w:val="20"/>
          <w:szCs w:val="20"/>
          <w:color w:val="auto"/>
        </w:rPr>
      </w:pPr>
      <w:r>
        <w:rPr>
          <w:rFonts w:ascii="Arial" w:cs="Arial" w:eastAsia="Arial" w:hAnsi="Arial"/>
          <w:sz w:val="22"/>
          <w:szCs w:val="22"/>
          <w:color w:val="auto"/>
        </w:rPr>
        <w:t>At the end of each reporting period, it is reasonable that there is no VAT payable in the closing balance of taxes payable by the Issuer, and no production costs have been found to be included into the R&amp;D expenses.</w:t>
      </w:r>
    </w:p>
    <w:p>
      <w:pPr>
        <w:spacing w:after="0" w:line="196" w:lineRule="exact"/>
        <w:rPr>
          <w:sz w:val="20"/>
          <w:szCs w:val="20"/>
          <w:color w:val="auto"/>
        </w:rPr>
      </w:pPr>
    </w:p>
    <w:p>
      <w:pPr>
        <w:ind w:firstLine="332"/>
        <w:spacing w:after="0" w:line="256" w:lineRule="auto"/>
        <w:tabs>
          <w:tab w:leader="none" w:pos="719" w:val="left"/>
        </w:tabs>
        <w:numPr>
          <w:ilvl w:val="0"/>
          <w:numId w:val="103"/>
        </w:numPr>
        <w:rPr>
          <w:rFonts w:ascii="Arial" w:cs="Arial" w:eastAsia="Arial" w:hAnsi="Arial"/>
          <w:sz w:val="22"/>
          <w:szCs w:val="22"/>
          <w:b w:val="1"/>
          <w:bCs w:val="1"/>
          <w:color w:val="auto"/>
        </w:rPr>
      </w:pPr>
      <w:r>
        <w:rPr>
          <w:rFonts w:ascii="Arial" w:cs="Arial" w:eastAsia="Arial" w:hAnsi="Arial"/>
          <w:sz w:val="22"/>
          <w:szCs w:val="22"/>
          <w:b w:val="1"/>
          <w:bCs w:val="1"/>
          <w:color w:val="auto"/>
        </w:rPr>
        <w:t>Other Challenge 10: About the False Declaration of Goods Imported through Pudong Airport (Index of Verification in Response to the Short-sell Report, No. 26)</w:t>
      </w:r>
    </w:p>
    <w:p>
      <w:pPr>
        <w:spacing w:after="0" w:line="189" w:lineRule="exact"/>
        <w:rPr>
          <w:sz w:val="20"/>
          <w:szCs w:val="20"/>
          <w:color w:val="auto"/>
        </w:rPr>
      </w:pPr>
    </w:p>
    <w:p>
      <w:pPr>
        <w:ind w:left="340"/>
        <w:spacing w:after="0"/>
        <w:rPr>
          <w:sz w:val="20"/>
          <w:szCs w:val="20"/>
          <w:color w:val="auto"/>
        </w:rPr>
      </w:pPr>
      <w:r>
        <w:rPr>
          <w:rFonts w:ascii="Arial" w:cs="Arial" w:eastAsia="Arial" w:hAnsi="Arial"/>
          <w:sz w:val="22"/>
          <w:szCs w:val="22"/>
          <w:b w:val="1"/>
          <w:bCs w:val="1"/>
          <w:color w:val="auto"/>
        </w:rPr>
        <w:t>Challenge in the Short-sell Report (Short-sell Report, pp.30-31):</w:t>
      </w:r>
    </w:p>
    <w:p>
      <w:pPr>
        <w:spacing w:after="0" w:line="246"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“False declarations of goods imported through the Pudong Airport. We think the company improperly claims tax exemptions by reporting that parts are imported as part of its capital investment and for R&amp;D when really these are raw materials for operational production. A supplier told us he believes the CEO, David Wang, may hand-carry some of the components to China. This would seem too petty a means for evading taxes, but there is evidence from the disclosures that it is true. ACMR had to pay a fine on October 9, 2019 for a false declaration at the Shanghai Pudong International Airport, where ACMR staff apparently carried parts ‘used for power of silicon chip cleaning machine.’ Procuring inventory via staff air luggage is not sustainable for a publicly listed company that claims to be expanding operations.”</w:t>
      </w:r>
    </w:p>
    <w:p>
      <w:pPr>
        <w:spacing w:after="0" w:line="215"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Response:</w:t>
      </w:r>
    </w:p>
    <w:p>
      <w:pPr>
        <w:spacing w:after="0" w:line="252"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I. Clarification by the Issuer</w:t>
      </w:r>
    </w:p>
    <w:p>
      <w:pPr>
        <w:spacing w:after="0" w:line="256"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The Company has disclosed the administrative penalty by Pudong Airport Customs, which was imposed due to the wrong declaration of commodity code, rather than “ACMR staff apparently carried parts ‘used for power of silicon chip cleaning machine’” as alleged in the Short-sell Report; the import declaration procedures have been completed by it for imported parts and no production cost was included by it into the R&amp;D expenses. Relevant disclosures of administrative penalties have been made by the Company in “Section VII.VI. Violations of Laws or Regulations by the Issuer” in the Prospectus and in “Q11” of the Reply to the Letter of First Round Review-related Inquiries. The facts that the Company did not include the production costs into the R&amp;D expenses have been disclosed by it in “Q26.2” of the Reply to the Letter of First Round Review-related Inquiries and in “Q3” of the Reply to the Letter of Second Round Review-related Inquiries.</w:t>
      </w:r>
    </w:p>
    <w:p>
      <w:pPr>
        <w:spacing w:after="0" w:line="218"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(i) Penalty imposed by Shanghai Pudong International Airport on the Company</w:t>
      </w:r>
    </w:p>
    <w:p>
      <w:pPr>
        <w:spacing w:after="0" w:line="256"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On October 9, 2019, Shanghai Pudong International Airport issued an Administrative Penalty Decision (Hu Pu Ji Guan Jian Wei Zi [2019] No. 2546) to the Company, stating that “the party involved holding the declaration form numbered 223320191001125917 applied to the customs authority for importing goods in the trading means of general trade, but the declaration was found to be untrue after examination: the specifications and model of goods in the third item were declared as resistors switching different value of resistance through band switches within the designated scope of frequency, but were actually used for power attenuation of silicon wafer cleaning machines; the commodity code was declared as 8543709990 but actually was 8548900002.” According to Article 86.3 of the Customs Law of the PRC and Article 15(1) of the Regulation of the PRC on the Implementation of Customs Administrative Penalty, a fine of RMB1,000 was imposed on the Company.</w:t>
      </w:r>
    </w:p>
    <w:p>
      <w:pPr>
        <w:spacing w:after="0" w:line="39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8-4-1-85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89" w:name="page90"/>
    <w:bookmarkEnd w:id="89"/>
    <w:p>
      <w:pPr>
        <w:jc w:val="both"/>
        <w:ind w:right="20" w:firstLine="324"/>
        <w:spacing w:after="0" w:line="251" w:lineRule="auto"/>
        <w:rPr>
          <w:sz w:val="20"/>
          <w:szCs w:val="20"/>
          <w:color w:val="auto"/>
        </w:rPr>
      </w:pPr>
      <w:r>
        <w:rPr>
          <w:rFonts w:ascii="Arial" w:cs="Arial" w:eastAsia="Arial" w:hAnsi="Arial"/>
          <w:sz w:val="22"/>
          <w:szCs w:val="22"/>
          <w:color w:val="auto"/>
        </w:rPr>
        <w:t>The above-mentioned customs administrative penalty imposed on the Company does not amount to a major violation of laws and regulations given the fine was in a small sum and has been paid in full.</w:t>
      </w:r>
    </w:p>
    <w:p>
      <w:pPr>
        <w:spacing w:after="0" w:line="208"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According to Administrative Penalty Decision, the administrative penalty was imposed on the Company because of the wrong declaration of the commodity code.</w:t>
      </w:r>
    </w:p>
    <w:p>
      <w:pPr>
        <w:spacing w:after="0" w:line="197" w:lineRule="exact"/>
        <w:rPr>
          <w:sz w:val="20"/>
          <w:szCs w:val="20"/>
          <w:color w:val="auto"/>
        </w:rPr>
      </w:pPr>
    </w:p>
    <w:p>
      <w:pPr>
        <w:ind w:left="340"/>
        <w:spacing w:after="0"/>
        <w:rPr>
          <w:sz w:val="20"/>
          <w:szCs w:val="20"/>
          <w:color w:val="auto"/>
        </w:rPr>
      </w:pPr>
      <w:r>
        <w:rPr>
          <w:rFonts w:ascii="Arial" w:cs="Arial" w:eastAsia="Arial" w:hAnsi="Arial"/>
          <w:sz w:val="17"/>
          <w:szCs w:val="17"/>
          <w:color w:val="auto"/>
        </w:rPr>
        <w:t>The above information has been disclosed and clarified in “Section VII.VI. Violations of Laws or Regulations by the Issuer” of the Prospectus.</w:t>
      </w:r>
    </w:p>
    <w:p>
      <w:pPr>
        <w:spacing w:after="0" w:line="260"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(ii) The Company has completed the import declaration procedures for imported parts</w:t>
      </w:r>
    </w:p>
    <w:p>
      <w:pPr>
        <w:spacing w:after="0" w:line="256"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The Company has completed the import declaration procedures for the imported parts and paid relevant taxes and fees, never evading the customs declaration procedures to avoid the import tariff.</w:t>
      </w:r>
    </w:p>
    <w:p>
      <w:pPr>
        <w:spacing w:after="0" w:line="197" w:lineRule="exact"/>
        <w:rPr>
          <w:sz w:val="20"/>
          <w:szCs w:val="20"/>
          <w:color w:val="auto"/>
        </w:rPr>
      </w:pPr>
    </w:p>
    <w:p>
      <w:pPr>
        <w:ind w:left="340"/>
        <w:spacing w:after="0"/>
        <w:rPr>
          <w:sz w:val="20"/>
          <w:szCs w:val="20"/>
          <w:color w:val="auto"/>
        </w:rPr>
      </w:pPr>
      <w:r>
        <w:rPr>
          <w:rFonts w:ascii="Arial" w:cs="Arial" w:eastAsia="Arial" w:hAnsi="Arial"/>
          <w:sz w:val="17"/>
          <w:szCs w:val="17"/>
          <w:color w:val="auto"/>
        </w:rPr>
        <w:t>For the relevant procedures for imported parts of the Company, please refer to “Other Challenge 11: About Overseas Procurement” herein.</w:t>
      </w:r>
    </w:p>
    <w:p>
      <w:pPr>
        <w:spacing w:after="0" w:line="260"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(iii) The Company has not included production costs into R&amp;D expenses</w:t>
      </w:r>
    </w:p>
    <w:p>
      <w:pPr>
        <w:spacing w:after="0" w:line="256"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The Company’s R&amp;D expenses were all generated by actual R&amp;D activities; the Company has accurately grouped the R&amp;D expenses and production costs, and has not included the production costs into the R&amp;D expenses. For relevant analysis, please refer to “Other Challenge 8: About R&amp;D Expenses” herein.</w:t>
      </w:r>
    </w:p>
    <w:p>
      <w:pPr>
        <w:spacing w:after="0" w:line="207" w:lineRule="exact"/>
        <w:rPr>
          <w:sz w:val="20"/>
          <w:szCs w:val="20"/>
          <w:color w:val="auto"/>
        </w:rPr>
      </w:pPr>
    </w:p>
    <w:p>
      <w:pPr>
        <w:ind w:left="560" w:hanging="228"/>
        <w:spacing w:after="0"/>
        <w:tabs>
          <w:tab w:leader="none" w:pos="560" w:val="left"/>
        </w:tabs>
        <w:numPr>
          <w:ilvl w:val="0"/>
          <w:numId w:val="104"/>
        </w:numPr>
        <w:rPr>
          <w:rFonts w:ascii="Arial" w:cs="Arial" w:eastAsia="Arial" w:hAnsi="Arial"/>
          <w:sz w:val="18"/>
          <w:szCs w:val="18"/>
          <w:b w:val="1"/>
          <w:bCs w:val="1"/>
          <w:color w:val="auto"/>
        </w:rPr>
      </w:pPr>
      <w:r>
        <w:rPr>
          <w:rFonts w:ascii="Arial" w:cs="Arial" w:eastAsia="Arial" w:hAnsi="Arial"/>
          <w:sz w:val="18"/>
          <w:szCs w:val="18"/>
          <w:b w:val="1"/>
          <w:bCs w:val="1"/>
          <w:color w:val="auto"/>
        </w:rPr>
        <w:t>Verification Procedures and Opinions</w:t>
      </w:r>
    </w:p>
    <w:p>
      <w:pPr>
        <w:spacing w:after="0" w:line="252" w:lineRule="exact"/>
        <w:rPr>
          <w:rFonts w:ascii="Arial" w:cs="Arial" w:eastAsia="Arial" w:hAnsi="Arial"/>
          <w:sz w:val="18"/>
          <w:szCs w:val="18"/>
          <w:b w:val="1"/>
          <w:bCs w:val="1"/>
          <w:color w:val="auto"/>
        </w:rPr>
      </w:pPr>
    </w:p>
    <w:p>
      <w:pPr>
        <w:ind w:left="340"/>
        <w:spacing w:after="0"/>
        <w:rPr>
          <w:rFonts w:ascii="Arial" w:cs="Arial" w:eastAsia="Arial" w:hAnsi="Arial"/>
          <w:sz w:val="18"/>
          <w:szCs w:val="18"/>
          <w:b w:val="1"/>
          <w:bCs w:val="1"/>
          <w:color w:val="auto"/>
        </w:rPr>
      </w:pPr>
      <w:r>
        <w:rPr>
          <w:rFonts w:ascii="Arial" w:cs="Arial" w:eastAsia="Arial" w:hAnsi="Arial"/>
          <w:sz w:val="18"/>
          <w:szCs w:val="18"/>
          <w:b w:val="1"/>
          <w:bCs w:val="1"/>
          <w:color w:val="auto"/>
        </w:rPr>
        <w:t>(i) Verification Procedures</w:t>
      </w:r>
    </w:p>
    <w:p>
      <w:pPr>
        <w:spacing w:after="0" w:line="256" w:lineRule="exact"/>
        <w:rPr>
          <w:sz w:val="20"/>
          <w:szCs w:val="20"/>
          <w:color w:val="auto"/>
        </w:rPr>
      </w:pPr>
    </w:p>
    <w:p>
      <w:pPr>
        <w:ind w:left="340"/>
        <w:spacing w:after="0"/>
        <w:rPr>
          <w:sz w:val="20"/>
          <w:szCs w:val="20"/>
          <w:color w:val="auto"/>
        </w:rPr>
      </w:pPr>
      <w:r>
        <w:rPr>
          <w:rFonts w:ascii="Arial" w:cs="Arial" w:eastAsia="Arial" w:hAnsi="Arial"/>
          <w:sz w:val="18"/>
          <w:szCs w:val="18"/>
          <w:color w:val="auto"/>
        </w:rPr>
        <w:t>Before the release of the Short-sell Report, the Sponsor performed the following verification procedures:</w:t>
      </w:r>
    </w:p>
    <w:p>
      <w:pPr>
        <w:spacing w:after="0" w:line="245" w:lineRule="exact"/>
        <w:rPr>
          <w:sz w:val="20"/>
          <w:szCs w:val="20"/>
          <w:color w:val="auto"/>
        </w:rPr>
      </w:pPr>
    </w:p>
    <w:p>
      <w:pPr>
        <w:ind w:right="20" w:firstLine="332"/>
        <w:spacing w:after="0" w:line="250" w:lineRule="auto"/>
        <w:tabs>
          <w:tab w:leader="none" w:pos="564" w:val="left"/>
        </w:tabs>
        <w:numPr>
          <w:ilvl w:val="0"/>
          <w:numId w:val="105"/>
        </w:numPr>
        <w:rPr>
          <w:rFonts w:ascii="Arial" w:cs="Arial" w:eastAsia="Arial" w:hAnsi="Arial"/>
          <w:sz w:val="22"/>
          <w:szCs w:val="22"/>
          <w:color w:val="auto"/>
        </w:rPr>
      </w:pPr>
      <w:r>
        <w:rPr>
          <w:rFonts w:ascii="Arial" w:cs="Arial" w:eastAsia="Arial" w:hAnsi="Arial"/>
          <w:sz w:val="22"/>
          <w:szCs w:val="22"/>
          <w:color w:val="auto"/>
        </w:rPr>
        <w:t>Having access to the Administrative Penalty Decision issued by Shanghai Pudong International Airport Customs to the Company and the fine payment voucher thereof to verify the penalty situation;</w:t>
      </w:r>
    </w:p>
    <w:p>
      <w:pPr>
        <w:spacing w:after="0" w:line="201" w:lineRule="exact"/>
        <w:rPr>
          <w:rFonts w:ascii="Arial" w:cs="Arial" w:eastAsia="Arial" w:hAnsi="Arial"/>
          <w:sz w:val="22"/>
          <w:szCs w:val="22"/>
          <w:color w:val="auto"/>
        </w:rPr>
      </w:pPr>
    </w:p>
    <w:p>
      <w:pPr>
        <w:jc w:val="both"/>
        <w:ind w:right="20" w:firstLine="332"/>
        <w:spacing w:after="0"/>
        <w:tabs>
          <w:tab w:leader="none" w:pos="554" w:val="left"/>
        </w:tabs>
        <w:numPr>
          <w:ilvl w:val="0"/>
          <w:numId w:val="105"/>
        </w:numPr>
        <w:rPr>
          <w:rFonts w:ascii="Arial" w:cs="Arial" w:eastAsia="Arial" w:hAnsi="Arial"/>
          <w:sz w:val="22"/>
          <w:szCs w:val="22"/>
          <w:color w:val="auto"/>
        </w:rPr>
      </w:pPr>
      <w:r>
        <w:rPr>
          <w:rFonts w:ascii="Arial" w:cs="Arial" w:eastAsia="Arial" w:hAnsi="Arial"/>
          <w:sz w:val="22"/>
          <w:szCs w:val="22"/>
          <w:color w:val="auto"/>
        </w:rPr>
        <w:t>Reviewing relevant provisions of the Customs Law of the PRC and the Regulation of the PRC on the Implementation of Customs Administrative Penalty to confirm whether the administrative penalty imposed on the Company is a major violation of laws and regulations;</w:t>
      </w:r>
    </w:p>
    <w:p>
      <w:pPr>
        <w:spacing w:after="0" w:line="213" w:lineRule="exact"/>
        <w:rPr>
          <w:rFonts w:ascii="Arial" w:cs="Arial" w:eastAsia="Arial" w:hAnsi="Arial"/>
          <w:sz w:val="22"/>
          <w:szCs w:val="22"/>
          <w:color w:val="auto"/>
        </w:rPr>
      </w:pPr>
    </w:p>
    <w:p>
      <w:pPr>
        <w:jc w:val="both"/>
        <w:ind w:firstLine="332"/>
        <w:spacing w:after="0"/>
        <w:tabs>
          <w:tab w:leader="none" w:pos="569" w:val="left"/>
        </w:tabs>
        <w:numPr>
          <w:ilvl w:val="0"/>
          <w:numId w:val="105"/>
        </w:numPr>
        <w:rPr>
          <w:rFonts w:ascii="Arial" w:cs="Arial" w:eastAsia="Arial" w:hAnsi="Arial"/>
          <w:sz w:val="22"/>
          <w:szCs w:val="22"/>
          <w:color w:val="auto"/>
        </w:rPr>
      </w:pPr>
      <w:r>
        <w:rPr>
          <w:rFonts w:ascii="Arial" w:cs="Arial" w:eastAsia="Arial" w:hAnsi="Arial"/>
          <w:sz w:val="22"/>
          <w:szCs w:val="22"/>
          <w:color w:val="auto"/>
        </w:rPr>
        <w:t>Having access to the ledgers, lists, proposals, acceptance reports and other data of R&amp;D projects, double-checking the accuracy of R&amp;D investment identification; checking the materials requisitions related to R&amp;D activities to verify the rationality and accuracy of R&amp;D expenses grouping and allocation;</w:t>
      </w:r>
    </w:p>
    <w:p>
      <w:pPr>
        <w:spacing w:after="0" w:line="391"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8-4-1-86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90" w:name="page91"/>
    <w:bookmarkEnd w:id="90"/>
    <w:p>
      <w:pPr>
        <w:ind w:firstLine="332"/>
        <w:spacing w:after="0" w:line="277" w:lineRule="auto"/>
        <w:tabs>
          <w:tab w:leader="none" w:pos="506" w:val="left"/>
        </w:tabs>
        <w:numPr>
          <w:ilvl w:val="0"/>
          <w:numId w:val="106"/>
        </w:numPr>
        <w:rPr>
          <w:rFonts w:ascii="Arial" w:cs="Arial" w:eastAsia="Arial" w:hAnsi="Arial"/>
          <w:sz w:val="18"/>
          <w:szCs w:val="18"/>
          <w:color w:val="auto"/>
        </w:rPr>
      </w:pPr>
      <w:r>
        <w:rPr>
          <w:rFonts w:ascii="Arial" w:cs="Arial" w:eastAsia="Arial" w:hAnsi="Arial"/>
          <w:sz w:val="18"/>
          <w:szCs w:val="18"/>
          <w:color w:val="auto"/>
        </w:rPr>
        <w:t>Having access to the import declaration certificates, import documents, tax payment vouchers and other documents concerning the imported parts of the Issuer to verify whether the Issuer has fulfilled the customs import declaration procedures; and</w:t>
      </w:r>
    </w:p>
    <w:p>
      <w:pPr>
        <w:spacing w:after="0" w:line="197" w:lineRule="exact"/>
        <w:rPr>
          <w:rFonts w:ascii="Arial" w:cs="Arial" w:eastAsia="Arial" w:hAnsi="Arial"/>
          <w:sz w:val="18"/>
          <w:szCs w:val="18"/>
          <w:color w:val="auto"/>
        </w:rPr>
      </w:pPr>
    </w:p>
    <w:p>
      <w:pPr>
        <w:ind w:left="520" w:hanging="188"/>
        <w:spacing w:after="0"/>
        <w:tabs>
          <w:tab w:leader="none" w:pos="520" w:val="left"/>
        </w:tabs>
        <w:numPr>
          <w:ilvl w:val="0"/>
          <w:numId w:val="106"/>
        </w:numPr>
        <w:rPr>
          <w:rFonts w:ascii="Arial" w:cs="Arial" w:eastAsia="Arial" w:hAnsi="Arial"/>
          <w:sz w:val="18"/>
          <w:szCs w:val="18"/>
          <w:color w:val="auto"/>
        </w:rPr>
      </w:pPr>
      <w:r>
        <w:rPr>
          <w:rFonts w:ascii="Arial" w:cs="Arial" w:eastAsia="Arial" w:hAnsi="Arial"/>
          <w:sz w:val="18"/>
          <w:szCs w:val="18"/>
          <w:color w:val="auto"/>
        </w:rPr>
        <w:t>Checking the website of the Customs to find out whether the Company was or is subject to any administrative penalty.</w:t>
      </w:r>
    </w:p>
    <w:p>
      <w:pPr>
        <w:spacing w:after="0" w:line="252"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After the release of the Short-sell Report, the Sponsor performed the following further procedures with respect to the import of parts:</w:t>
      </w:r>
    </w:p>
    <w:p>
      <w:pPr>
        <w:spacing w:after="0" w:line="252" w:lineRule="exact"/>
        <w:rPr>
          <w:sz w:val="20"/>
          <w:szCs w:val="20"/>
          <w:color w:val="auto"/>
        </w:rPr>
      </w:pPr>
    </w:p>
    <w:p>
      <w:pPr>
        <w:ind w:left="520" w:hanging="188"/>
        <w:spacing w:after="0"/>
        <w:tabs>
          <w:tab w:leader="none" w:pos="520" w:val="left"/>
        </w:tabs>
        <w:numPr>
          <w:ilvl w:val="0"/>
          <w:numId w:val="107"/>
        </w:numPr>
        <w:rPr>
          <w:rFonts w:ascii="Arial" w:cs="Arial" w:eastAsia="Arial" w:hAnsi="Arial"/>
          <w:sz w:val="18"/>
          <w:szCs w:val="18"/>
          <w:color w:val="auto"/>
        </w:rPr>
      </w:pPr>
      <w:r>
        <w:rPr>
          <w:rFonts w:ascii="Arial" w:cs="Arial" w:eastAsia="Arial" w:hAnsi="Arial"/>
          <w:sz w:val="18"/>
          <w:szCs w:val="18"/>
          <w:color w:val="auto"/>
        </w:rPr>
        <w:t>Further spot-checking the relevant declaration materials of the Company’s imported raw materials;</w:t>
      </w:r>
    </w:p>
    <w:p>
      <w:pPr>
        <w:spacing w:after="0" w:line="252" w:lineRule="exact"/>
        <w:rPr>
          <w:rFonts w:ascii="Arial" w:cs="Arial" w:eastAsia="Arial" w:hAnsi="Arial"/>
          <w:sz w:val="18"/>
          <w:szCs w:val="18"/>
          <w:color w:val="auto"/>
        </w:rPr>
      </w:pPr>
    </w:p>
    <w:p>
      <w:pPr>
        <w:ind w:left="520" w:hanging="188"/>
        <w:spacing w:after="0"/>
        <w:tabs>
          <w:tab w:leader="none" w:pos="520" w:val="left"/>
        </w:tabs>
        <w:numPr>
          <w:ilvl w:val="0"/>
          <w:numId w:val="107"/>
        </w:numPr>
        <w:rPr>
          <w:rFonts w:ascii="Arial" w:cs="Arial" w:eastAsia="Arial" w:hAnsi="Arial"/>
          <w:sz w:val="16"/>
          <w:szCs w:val="16"/>
          <w:color w:val="auto"/>
        </w:rPr>
      </w:pPr>
      <w:r>
        <w:rPr>
          <w:rFonts w:ascii="Arial" w:cs="Arial" w:eastAsia="Arial" w:hAnsi="Arial"/>
          <w:sz w:val="16"/>
          <w:szCs w:val="16"/>
          <w:color w:val="auto"/>
        </w:rPr>
        <w:t>Further reviewing the administrative penalty decision issued by Shanghai Pudong International Airport Customs to ACMSH (before restructuring);</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and</w:t>
      </w:r>
    </w:p>
    <w:p>
      <w:pPr>
        <w:spacing w:after="0" w:line="238" w:lineRule="exact"/>
        <w:rPr>
          <w:sz w:val="20"/>
          <w:szCs w:val="20"/>
          <w:color w:val="auto"/>
        </w:rPr>
      </w:pPr>
    </w:p>
    <w:p>
      <w:pPr>
        <w:ind w:right="20" w:firstLine="332"/>
        <w:spacing w:after="0" w:line="277" w:lineRule="auto"/>
        <w:tabs>
          <w:tab w:leader="none" w:pos="517" w:val="left"/>
        </w:tabs>
        <w:numPr>
          <w:ilvl w:val="0"/>
          <w:numId w:val="108"/>
        </w:numPr>
        <w:rPr>
          <w:rFonts w:ascii="Arial" w:cs="Arial" w:eastAsia="Arial" w:hAnsi="Arial"/>
          <w:sz w:val="18"/>
          <w:szCs w:val="18"/>
          <w:color w:val="auto"/>
        </w:rPr>
      </w:pPr>
      <w:r>
        <w:rPr>
          <w:rFonts w:ascii="Arial" w:cs="Arial" w:eastAsia="Arial" w:hAnsi="Arial"/>
          <w:sz w:val="18"/>
          <w:szCs w:val="18"/>
          <w:color w:val="auto"/>
        </w:rPr>
        <w:t>Further checking from the Issuer about the handling procedures of imported parts and the specific reasons for the administrative penalty decision issued by Shanghai Pudong International Airport Customs to ACMSH (before restructuring).</w:t>
      </w:r>
    </w:p>
    <w:p>
      <w:pPr>
        <w:spacing w:after="0" w:line="193"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(ii) Verification Opinions</w:t>
      </w:r>
    </w:p>
    <w:p>
      <w:pPr>
        <w:spacing w:after="0" w:line="256" w:lineRule="exact"/>
        <w:rPr>
          <w:sz w:val="20"/>
          <w:szCs w:val="20"/>
          <w:color w:val="auto"/>
        </w:rPr>
      </w:pPr>
    </w:p>
    <w:p>
      <w:pPr>
        <w:ind w:left="340"/>
        <w:spacing w:after="0"/>
        <w:rPr>
          <w:sz w:val="20"/>
          <w:szCs w:val="20"/>
          <w:color w:val="auto"/>
        </w:rPr>
      </w:pPr>
      <w:r>
        <w:rPr>
          <w:rFonts w:ascii="Arial" w:cs="Arial" w:eastAsia="Arial" w:hAnsi="Arial"/>
          <w:sz w:val="18"/>
          <w:szCs w:val="18"/>
          <w:color w:val="auto"/>
        </w:rPr>
        <w:t>Upon verification, the Sponsor opines that:</w:t>
      </w:r>
    </w:p>
    <w:p>
      <w:pPr>
        <w:spacing w:after="0" w:line="252"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7"/>
          <w:szCs w:val="17"/>
          <w:color w:val="auto"/>
        </w:rPr>
        <w:t>The above-mentioned customs administrative penalty on the Company does not amount to a major violation of laws and regulation given the small fine imposed; the administrative penalty imposed on the Company was due to the wrong declaration of commodity; the Company has completed the import declaration procedures for imported parts; and the Company has never included the production costs in R&amp;D expenses.</w:t>
      </w:r>
    </w:p>
    <w:p>
      <w:pPr>
        <w:spacing w:after="0" w:line="179" w:lineRule="exact"/>
        <w:rPr>
          <w:sz w:val="20"/>
          <w:szCs w:val="20"/>
          <w:color w:val="auto"/>
        </w:rPr>
      </w:pPr>
    </w:p>
    <w:p>
      <w:pPr>
        <w:ind w:left="680" w:hanging="348"/>
        <w:spacing w:after="0"/>
        <w:tabs>
          <w:tab w:leader="none" w:pos="680" w:val="left"/>
        </w:tabs>
        <w:numPr>
          <w:ilvl w:val="0"/>
          <w:numId w:val="109"/>
        </w:numPr>
        <w:rPr>
          <w:rFonts w:ascii="Arial" w:cs="Arial" w:eastAsia="Arial" w:hAnsi="Arial"/>
          <w:sz w:val="19"/>
          <w:szCs w:val="19"/>
          <w:b w:val="1"/>
          <w:bCs w:val="1"/>
          <w:color w:val="auto"/>
        </w:rPr>
      </w:pPr>
      <w:r>
        <w:rPr>
          <w:rFonts w:ascii="Arial" w:cs="Arial" w:eastAsia="Arial" w:hAnsi="Arial"/>
          <w:sz w:val="19"/>
          <w:szCs w:val="19"/>
          <w:b w:val="1"/>
          <w:bCs w:val="1"/>
          <w:color w:val="auto"/>
        </w:rPr>
        <w:t>Other Challenge 11: About Overseas Procurement (Index of Verification in Response to the Short-sell Report,</w:t>
      </w:r>
    </w:p>
    <w:p>
      <w:pPr>
        <w:spacing w:after="0" w:line="48" w:lineRule="exact"/>
        <w:rPr>
          <w:rFonts w:ascii="Arial" w:cs="Arial" w:eastAsia="Arial" w:hAnsi="Arial"/>
          <w:sz w:val="19"/>
          <w:szCs w:val="19"/>
          <w:b w:val="1"/>
          <w:bCs w:val="1"/>
          <w:color w:val="auto"/>
        </w:rPr>
      </w:pPr>
    </w:p>
    <w:p>
      <w:pPr>
        <w:spacing w:after="0"/>
        <w:rPr>
          <w:rFonts w:ascii="Arial" w:cs="Arial" w:eastAsia="Arial" w:hAnsi="Arial"/>
          <w:sz w:val="19"/>
          <w:szCs w:val="19"/>
          <w:b w:val="1"/>
          <w:bCs w:val="1"/>
          <w:color w:val="auto"/>
        </w:rPr>
      </w:pPr>
      <w:r>
        <w:rPr>
          <w:rFonts w:ascii="Arial" w:cs="Arial" w:eastAsia="Arial" w:hAnsi="Arial"/>
          <w:sz w:val="22"/>
          <w:szCs w:val="22"/>
          <w:b w:val="1"/>
          <w:bCs w:val="1"/>
          <w:color w:val="auto"/>
        </w:rPr>
        <w:t>No.33)</w:t>
      </w:r>
    </w:p>
    <w:p>
      <w:pPr>
        <w:spacing w:after="0" w:line="209" w:lineRule="exact"/>
        <w:rPr>
          <w:sz w:val="20"/>
          <w:szCs w:val="20"/>
          <w:color w:val="auto"/>
        </w:rPr>
      </w:pPr>
    </w:p>
    <w:p>
      <w:pPr>
        <w:ind w:left="340"/>
        <w:spacing w:after="0"/>
        <w:rPr>
          <w:sz w:val="20"/>
          <w:szCs w:val="20"/>
          <w:color w:val="auto"/>
        </w:rPr>
      </w:pPr>
      <w:r>
        <w:rPr>
          <w:rFonts w:ascii="Arial" w:cs="Arial" w:eastAsia="Arial" w:hAnsi="Arial"/>
          <w:sz w:val="22"/>
          <w:szCs w:val="22"/>
          <w:b w:val="1"/>
          <w:bCs w:val="1"/>
          <w:color w:val="auto"/>
        </w:rPr>
        <w:t>Challenge in the Short-sell Report (Short-sell Report, p.88):</w:t>
      </w:r>
    </w:p>
    <w:p>
      <w:pPr>
        <w:spacing w:after="0" w:line="239" w:lineRule="exact"/>
        <w:rPr>
          <w:sz w:val="20"/>
          <w:szCs w:val="20"/>
          <w:color w:val="auto"/>
        </w:rPr>
      </w:pPr>
    </w:p>
    <w:p>
      <w:pPr>
        <w:jc w:val="both"/>
        <w:ind w:firstLine="324"/>
        <w:spacing w:after="0"/>
        <w:rPr>
          <w:sz w:val="20"/>
          <w:szCs w:val="20"/>
          <w:color w:val="auto"/>
        </w:rPr>
      </w:pPr>
      <w:r>
        <w:rPr>
          <w:rFonts w:ascii="Arial" w:cs="Arial" w:eastAsia="Arial" w:hAnsi="Arial"/>
          <w:sz w:val="22"/>
          <w:szCs w:val="22"/>
          <w:color w:val="auto"/>
        </w:rPr>
        <w:t>“ACMR discloses that the U.S. company purchases parts and ships them to China. However, U.S. bills of lading show no exports by ACMR. Because the volume of manufacturing is small—about 25 machines per year—and the most valuable parts relatively small, the parts could be carried into China, thus avoiding import tariffs.”</w:t>
      </w:r>
    </w:p>
    <w:p>
      <w:pPr>
        <w:spacing w:after="0" w:line="207" w:lineRule="exact"/>
        <w:rPr>
          <w:sz w:val="20"/>
          <w:szCs w:val="20"/>
          <w:color w:val="auto"/>
        </w:rPr>
      </w:pPr>
    </w:p>
    <w:p>
      <w:pPr>
        <w:ind w:left="340"/>
        <w:spacing w:after="0"/>
        <w:rPr>
          <w:sz w:val="20"/>
          <w:szCs w:val="20"/>
          <w:color w:val="auto"/>
        </w:rPr>
      </w:pPr>
      <w:r>
        <w:rPr>
          <w:rFonts w:ascii="Arial" w:cs="Arial" w:eastAsia="Arial" w:hAnsi="Arial"/>
          <w:sz w:val="22"/>
          <w:szCs w:val="22"/>
          <w:b w:val="1"/>
          <w:bCs w:val="1"/>
          <w:color w:val="auto"/>
        </w:rPr>
        <w:t>Response:</w:t>
      </w:r>
    </w:p>
    <w:p>
      <w:pPr>
        <w:spacing w:after="0" w:line="233" w:lineRule="exact"/>
        <w:rPr>
          <w:sz w:val="20"/>
          <w:szCs w:val="20"/>
          <w:color w:val="auto"/>
        </w:rPr>
      </w:pPr>
    </w:p>
    <w:p>
      <w:pPr>
        <w:ind w:left="340"/>
        <w:spacing w:after="0"/>
        <w:rPr>
          <w:sz w:val="20"/>
          <w:szCs w:val="20"/>
          <w:color w:val="auto"/>
        </w:rPr>
      </w:pPr>
      <w:r>
        <w:rPr>
          <w:rFonts w:ascii="Arial" w:cs="Arial" w:eastAsia="Arial" w:hAnsi="Arial"/>
          <w:sz w:val="22"/>
          <w:szCs w:val="22"/>
          <w:b w:val="1"/>
          <w:bCs w:val="1"/>
          <w:color w:val="auto"/>
        </w:rPr>
        <w:t>I. Clarification by the Issuer</w:t>
      </w:r>
    </w:p>
    <w:p>
      <w:pPr>
        <w:spacing w:after="0" w:line="239" w:lineRule="exact"/>
        <w:rPr>
          <w:sz w:val="20"/>
          <w:szCs w:val="20"/>
          <w:color w:val="auto"/>
        </w:rPr>
      </w:pPr>
    </w:p>
    <w:p>
      <w:pPr>
        <w:jc w:val="both"/>
        <w:ind w:right="20" w:firstLine="324"/>
        <w:spacing w:after="0" w:line="250" w:lineRule="auto"/>
        <w:rPr>
          <w:sz w:val="20"/>
          <w:szCs w:val="20"/>
          <w:color w:val="auto"/>
        </w:rPr>
      </w:pPr>
      <w:r>
        <w:rPr>
          <w:rFonts w:ascii="Arial" w:cs="Arial" w:eastAsia="Arial" w:hAnsi="Arial"/>
          <w:sz w:val="22"/>
          <w:szCs w:val="22"/>
          <w:color w:val="auto"/>
        </w:rPr>
        <w:t>The Company has fulfilled the customs declaration procedures for imported parts, and the senior executives or employees of the Issuer have never carried parts to avoid import tariffs.</w:t>
      </w:r>
    </w:p>
    <w:p>
      <w:pPr>
        <w:spacing w:after="0" w:line="202" w:lineRule="exact"/>
        <w:rPr>
          <w:sz w:val="20"/>
          <w:szCs w:val="20"/>
          <w:color w:val="auto"/>
        </w:rPr>
      </w:pPr>
    </w:p>
    <w:p>
      <w:pPr>
        <w:ind w:firstLine="332"/>
        <w:spacing w:after="0" w:line="250" w:lineRule="auto"/>
        <w:tabs>
          <w:tab w:leader="none" w:pos="553" w:val="left"/>
        </w:tabs>
        <w:numPr>
          <w:ilvl w:val="0"/>
          <w:numId w:val="110"/>
        </w:numPr>
        <w:rPr>
          <w:rFonts w:ascii="Arial" w:cs="Arial" w:eastAsia="Arial" w:hAnsi="Arial"/>
          <w:sz w:val="22"/>
          <w:szCs w:val="22"/>
          <w:color w:val="auto"/>
        </w:rPr>
      </w:pPr>
      <w:r>
        <w:rPr>
          <w:rFonts w:ascii="Arial" w:cs="Arial" w:eastAsia="Arial" w:hAnsi="Arial"/>
          <w:sz w:val="22"/>
          <w:szCs w:val="22"/>
          <w:color w:val="auto"/>
        </w:rPr>
        <w:t>The Company has completed the customs declaration procedures relating to imported goods for the parts purchased from ACMR and the imported parts.</w:t>
      </w:r>
    </w:p>
    <w:p>
      <w:pPr>
        <w:spacing w:after="0" w:line="38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8-4-1-87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91" w:name="page92"/>
    <w:bookmarkEnd w:id="91"/>
    <w:p>
      <w:pPr>
        <w:jc w:val="both"/>
        <w:ind w:firstLine="324"/>
        <w:spacing w:after="0" w:line="249" w:lineRule="auto"/>
        <w:rPr>
          <w:sz w:val="20"/>
          <w:szCs w:val="20"/>
          <w:color w:val="auto"/>
        </w:rPr>
      </w:pPr>
      <w:r>
        <w:rPr>
          <w:rFonts w:ascii="Arial" w:cs="Arial" w:eastAsia="Arial" w:hAnsi="Arial"/>
          <w:sz w:val="21"/>
          <w:szCs w:val="21"/>
          <w:color w:val="auto"/>
        </w:rPr>
        <w:t>The Company purchased parts from ACMR, some of which were delivered directly to the Issuer by the end suppliers, and some were delivered to the Issuer by ACMR. In case of the former, it is the suppliers who went through the export-related procedures directly; likewise, in case of the latter, it is ACMR who handled the customs declaration procedures. The Company has completed the import customs declaration procedures for the parts purchased from ACMR and other suppliers, never evading the customs declaration procedures to avoid the import tariffs.</w:t>
      </w:r>
    </w:p>
    <w:p>
      <w:pPr>
        <w:spacing w:after="0" w:line="206" w:lineRule="exact"/>
        <w:rPr>
          <w:sz w:val="20"/>
          <w:szCs w:val="20"/>
          <w:color w:val="auto"/>
        </w:rPr>
      </w:pPr>
    </w:p>
    <w:p>
      <w:pPr>
        <w:ind w:left="340"/>
        <w:spacing w:after="0"/>
        <w:rPr>
          <w:sz w:val="20"/>
          <w:szCs w:val="20"/>
          <w:color w:val="auto"/>
        </w:rPr>
      </w:pPr>
      <w:r>
        <w:rPr>
          <w:rFonts w:ascii="Arial" w:cs="Arial" w:eastAsia="Arial" w:hAnsi="Arial"/>
          <w:sz w:val="22"/>
          <w:szCs w:val="22"/>
          <w:color w:val="auto"/>
        </w:rPr>
        <w:t>2. It is unfeasible to carry the main parts purchased from ACMR and the imported parts.</w:t>
      </w:r>
    </w:p>
    <w:p>
      <w:pPr>
        <w:spacing w:after="0" w:line="233" w:lineRule="exact"/>
        <w:rPr>
          <w:sz w:val="20"/>
          <w:szCs w:val="20"/>
          <w:color w:val="auto"/>
        </w:rPr>
      </w:pPr>
    </w:p>
    <w:p>
      <w:pPr>
        <w:jc w:val="both"/>
        <w:ind w:firstLine="324"/>
        <w:spacing w:after="0" w:line="238" w:lineRule="auto"/>
        <w:rPr>
          <w:sz w:val="20"/>
          <w:szCs w:val="20"/>
          <w:color w:val="auto"/>
        </w:rPr>
      </w:pPr>
      <w:r>
        <w:rPr>
          <w:rFonts w:ascii="Arial" w:cs="Arial" w:eastAsia="Arial" w:hAnsi="Arial"/>
          <w:sz w:val="22"/>
          <w:szCs w:val="22"/>
          <w:color w:val="auto"/>
        </w:rPr>
        <w:t>The parts imported by the Company from ACMR are mainly valves, flow meters, megasonic generators, etc., with a large number of parts and various specifications. Taking the purchase of megasonic generators (the core part of cleaning equipment) as an example, the Company purchased 271 megasonic generators each of which is large in size in 2019, so it is unfeasible to carry them.</w:t>
      </w:r>
    </w:p>
    <w:p>
      <w:pPr>
        <w:spacing w:after="0" w:line="212" w:lineRule="exact"/>
        <w:rPr>
          <w:sz w:val="20"/>
          <w:szCs w:val="20"/>
          <w:color w:val="auto"/>
        </w:rPr>
      </w:pPr>
    </w:p>
    <w:p>
      <w:pPr>
        <w:ind w:left="340"/>
        <w:spacing w:after="0"/>
        <w:rPr>
          <w:sz w:val="20"/>
          <w:szCs w:val="20"/>
          <w:color w:val="auto"/>
        </w:rPr>
      </w:pPr>
      <w:r>
        <w:rPr>
          <w:rFonts w:ascii="Arial" w:cs="Arial" w:eastAsia="Arial" w:hAnsi="Arial"/>
          <w:sz w:val="22"/>
          <w:szCs w:val="22"/>
          <w:color w:val="auto"/>
        </w:rPr>
        <w:t>3. It is unnecessary to carry the main parts purchased from ACMR and the imported parts.</w:t>
      </w:r>
    </w:p>
    <w:p>
      <w:pPr>
        <w:spacing w:after="0" w:line="240"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The semiconductor special equipment industry, which the Company is in, is one of the industries that China strongly encourages to develop. In order to promote the development of the semiconductor industry, enhance the industrial innovation ability and international competitiveness, the central and local governments of China have launched a series of policies to encourage and support the development of such industry, including the exemption of customs duties and import value-added tax on the imported goods within the list for integrated chip manufacturers importing productive raw materials and consumables for their own use. The parts imported by the Company are mainly key parts, most of which are within the list and enjoy the preferential treatment for exemption of tariffs and import value-added tax on imported goods. It is unnecessary for the Company to import key parts by having representatives carry them.</w:t>
      </w:r>
    </w:p>
    <w:p>
      <w:pPr>
        <w:spacing w:after="0" w:line="222" w:lineRule="exact"/>
        <w:rPr>
          <w:sz w:val="20"/>
          <w:szCs w:val="20"/>
          <w:color w:val="auto"/>
        </w:rPr>
      </w:pPr>
    </w:p>
    <w:p>
      <w:pPr>
        <w:ind w:left="340"/>
        <w:spacing w:after="0"/>
        <w:rPr>
          <w:sz w:val="20"/>
          <w:szCs w:val="20"/>
          <w:color w:val="auto"/>
        </w:rPr>
      </w:pPr>
      <w:r>
        <w:rPr>
          <w:rFonts w:ascii="Arial" w:cs="Arial" w:eastAsia="Arial" w:hAnsi="Arial"/>
          <w:sz w:val="18"/>
          <w:szCs w:val="18"/>
          <w:color w:val="auto"/>
        </w:rPr>
        <w:t>4. The Company has not engaged in tax evasion or smuggling.</w:t>
      </w:r>
    </w:p>
    <w:p>
      <w:pPr>
        <w:spacing w:after="0" w:line="252" w:lineRule="exact"/>
        <w:rPr>
          <w:sz w:val="20"/>
          <w:szCs w:val="20"/>
          <w:color w:val="auto"/>
        </w:rPr>
      </w:pPr>
    </w:p>
    <w:p>
      <w:pPr>
        <w:jc w:val="both"/>
        <w:ind w:firstLine="324"/>
        <w:spacing w:after="0" w:line="275" w:lineRule="auto"/>
        <w:rPr>
          <w:sz w:val="20"/>
          <w:szCs w:val="20"/>
          <w:color w:val="auto"/>
        </w:rPr>
      </w:pPr>
      <w:r>
        <w:rPr>
          <w:rFonts w:ascii="Arial" w:cs="Arial" w:eastAsia="Arial" w:hAnsi="Arial"/>
          <w:sz w:val="17"/>
          <w:szCs w:val="17"/>
          <w:color w:val="auto"/>
        </w:rPr>
        <w:t>According to the Enterprise Credit Status Certificate issued by Shanghai Customs and the inquiry from the website of the credit publicity platform of import and export business of Customs of the PRC (website: http://credit.customs.gov.cn/), the Company is recognized by custom as an enterprise with general credit. The Company has not been identified as a dishonest enterprise, representing that it has not committed smuggling crime, evasion of tariffs, etc. as stipulated in Article 12 of the Measures of the Customs of the PRC for the Administration of Enterprise Credit. In addition, according to the documents issued by the local tax authority where the Company is located, the Company has not evaded taxes.</w:t>
      </w:r>
    </w:p>
    <w:p>
      <w:pPr>
        <w:spacing w:after="0" w:line="199" w:lineRule="exact"/>
        <w:rPr>
          <w:sz w:val="20"/>
          <w:szCs w:val="20"/>
          <w:color w:val="auto"/>
        </w:rPr>
      </w:pPr>
    </w:p>
    <w:p>
      <w:pPr>
        <w:ind w:left="560" w:hanging="228"/>
        <w:spacing w:after="0"/>
        <w:tabs>
          <w:tab w:leader="none" w:pos="560" w:val="left"/>
        </w:tabs>
        <w:numPr>
          <w:ilvl w:val="0"/>
          <w:numId w:val="111"/>
        </w:numPr>
        <w:rPr>
          <w:rFonts w:ascii="Arial" w:cs="Arial" w:eastAsia="Arial" w:hAnsi="Arial"/>
          <w:sz w:val="18"/>
          <w:szCs w:val="18"/>
          <w:b w:val="1"/>
          <w:bCs w:val="1"/>
          <w:color w:val="auto"/>
        </w:rPr>
      </w:pPr>
      <w:r>
        <w:rPr>
          <w:rFonts w:ascii="Arial" w:cs="Arial" w:eastAsia="Arial" w:hAnsi="Arial"/>
          <w:sz w:val="18"/>
          <w:szCs w:val="18"/>
          <w:b w:val="1"/>
          <w:bCs w:val="1"/>
          <w:color w:val="auto"/>
        </w:rPr>
        <w:t>Verification Procedures and Opinions</w:t>
      </w:r>
    </w:p>
    <w:p>
      <w:pPr>
        <w:spacing w:after="0" w:line="252" w:lineRule="exact"/>
        <w:rPr>
          <w:rFonts w:ascii="Arial" w:cs="Arial" w:eastAsia="Arial" w:hAnsi="Arial"/>
          <w:sz w:val="18"/>
          <w:szCs w:val="18"/>
          <w:b w:val="1"/>
          <w:bCs w:val="1"/>
          <w:color w:val="auto"/>
        </w:rPr>
      </w:pPr>
    </w:p>
    <w:p>
      <w:pPr>
        <w:ind w:left="340"/>
        <w:spacing w:after="0"/>
        <w:rPr>
          <w:rFonts w:ascii="Arial" w:cs="Arial" w:eastAsia="Arial" w:hAnsi="Arial"/>
          <w:sz w:val="18"/>
          <w:szCs w:val="18"/>
          <w:b w:val="1"/>
          <w:bCs w:val="1"/>
          <w:color w:val="auto"/>
        </w:rPr>
      </w:pPr>
      <w:r>
        <w:rPr>
          <w:rFonts w:ascii="Arial" w:cs="Arial" w:eastAsia="Arial" w:hAnsi="Arial"/>
          <w:sz w:val="18"/>
          <w:szCs w:val="18"/>
          <w:b w:val="1"/>
          <w:bCs w:val="1"/>
          <w:color w:val="auto"/>
        </w:rPr>
        <w:t>(i) Verification Procedures</w:t>
      </w:r>
    </w:p>
    <w:p>
      <w:pPr>
        <w:spacing w:after="0" w:line="256" w:lineRule="exact"/>
        <w:rPr>
          <w:sz w:val="20"/>
          <w:szCs w:val="20"/>
          <w:color w:val="auto"/>
        </w:rPr>
      </w:pPr>
    </w:p>
    <w:p>
      <w:pPr>
        <w:ind w:left="340"/>
        <w:spacing w:after="0"/>
        <w:rPr>
          <w:sz w:val="20"/>
          <w:szCs w:val="20"/>
          <w:color w:val="auto"/>
        </w:rPr>
      </w:pPr>
      <w:r>
        <w:rPr>
          <w:rFonts w:ascii="Arial" w:cs="Arial" w:eastAsia="Arial" w:hAnsi="Arial"/>
          <w:sz w:val="18"/>
          <w:szCs w:val="18"/>
          <w:color w:val="auto"/>
        </w:rPr>
        <w:t>Before the release of the Short-sell Report, the Sponsor performed the following verification procedures:</w:t>
      </w:r>
    </w:p>
    <w:p>
      <w:pPr>
        <w:spacing w:after="0" w:line="245" w:lineRule="exact"/>
        <w:rPr>
          <w:sz w:val="20"/>
          <w:szCs w:val="20"/>
          <w:color w:val="auto"/>
        </w:rPr>
      </w:pPr>
    </w:p>
    <w:p>
      <w:pPr>
        <w:ind w:firstLine="332"/>
        <w:spacing w:after="0" w:line="250" w:lineRule="auto"/>
        <w:tabs>
          <w:tab w:leader="none" w:pos="546" w:val="left"/>
        </w:tabs>
        <w:numPr>
          <w:ilvl w:val="0"/>
          <w:numId w:val="112"/>
        </w:numPr>
        <w:rPr>
          <w:rFonts w:ascii="Arial" w:cs="Arial" w:eastAsia="Arial" w:hAnsi="Arial"/>
          <w:sz w:val="22"/>
          <w:szCs w:val="22"/>
          <w:color w:val="auto"/>
        </w:rPr>
      </w:pPr>
      <w:r>
        <w:rPr>
          <w:rFonts w:ascii="Arial" w:cs="Arial" w:eastAsia="Arial" w:hAnsi="Arial"/>
          <w:sz w:val="22"/>
          <w:szCs w:val="22"/>
          <w:color w:val="auto"/>
        </w:rPr>
        <w:t>Reviewing the purchase agreements, orders and purchase lists signed between the Issuer and ACMR to check the status of parts purchased by the Issuer from ACMR;</w:t>
      </w:r>
    </w:p>
    <w:p>
      <w:pPr>
        <w:spacing w:after="0" w:line="201" w:lineRule="exact"/>
        <w:rPr>
          <w:rFonts w:ascii="Arial" w:cs="Arial" w:eastAsia="Arial" w:hAnsi="Arial"/>
          <w:sz w:val="22"/>
          <w:szCs w:val="22"/>
          <w:color w:val="auto"/>
        </w:rPr>
      </w:pPr>
    </w:p>
    <w:p>
      <w:pPr>
        <w:ind w:firstLine="332"/>
        <w:spacing w:after="0" w:line="250" w:lineRule="auto"/>
        <w:tabs>
          <w:tab w:leader="none" w:pos="570" w:val="left"/>
        </w:tabs>
        <w:numPr>
          <w:ilvl w:val="0"/>
          <w:numId w:val="112"/>
        </w:numPr>
        <w:rPr>
          <w:rFonts w:ascii="Arial" w:cs="Arial" w:eastAsia="Arial" w:hAnsi="Arial"/>
          <w:sz w:val="22"/>
          <w:szCs w:val="22"/>
          <w:color w:val="auto"/>
        </w:rPr>
      </w:pPr>
      <w:r>
        <w:rPr>
          <w:rFonts w:ascii="Arial" w:cs="Arial" w:eastAsia="Arial" w:hAnsi="Arial"/>
          <w:sz w:val="22"/>
          <w:szCs w:val="22"/>
          <w:color w:val="auto"/>
        </w:rPr>
        <w:t>Having access to the customs declaration certificates, export certificates and other documents of the parts exported by ACMR to verify whether ACMR has fulfilled the customs declaration procedures for export;</w:t>
      </w:r>
    </w:p>
    <w:p>
      <w:pPr>
        <w:spacing w:after="0" w:line="38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8-4-1-88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92" w:name="page93"/>
    <w:bookmarkEnd w:id="92"/>
    <w:p>
      <w:pPr>
        <w:ind w:firstLine="332"/>
        <w:spacing w:after="0" w:line="329" w:lineRule="auto"/>
        <w:tabs>
          <w:tab w:leader="none" w:pos="559" w:val="left"/>
        </w:tabs>
        <w:numPr>
          <w:ilvl w:val="0"/>
          <w:numId w:val="113"/>
        </w:numPr>
        <w:rPr>
          <w:rFonts w:ascii="Arial" w:cs="Arial" w:eastAsia="Arial" w:hAnsi="Arial"/>
          <w:sz w:val="19"/>
          <w:szCs w:val="19"/>
          <w:color w:val="auto"/>
        </w:rPr>
      </w:pPr>
      <w:r>
        <w:rPr>
          <w:rFonts w:ascii="Arial" w:cs="Arial" w:eastAsia="Arial" w:hAnsi="Arial"/>
          <w:sz w:val="19"/>
          <w:szCs w:val="19"/>
          <w:color w:val="auto"/>
        </w:rPr>
        <w:t>Having access to the import declaration certificates, import documents, tax payment vouchers and other materials of the parts imported by the Issuer to verify whether the Issuer has fulfilled the customs declaration procedures for import;</w:t>
      </w:r>
    </w:p>
    <w:p>
      <w:pPr>
        <w:spacing w:after="0" w:line="130" w:lineRule="exact"/>
        <w:rPr>
          <w:rFonts w:ascii="Arial" w:cs="Arial" w:eastAsia="Arial" w:hAnsi="Arial"/>
          <w:sz w:val="19"/>
          <w:szCs w:val="19"/>
          <w:color w:val="auto"/>
        </w:rPr>
      </w:pPr>
    </w:p>
    <w:p>
      <w:pPr>
        <w:ind w:left="540" w:hanging="208"/>
        <w:spacing w:after="0"/>
        <w:tabs>
          <w:tab w:leader="none" w:pos="540" w:val="left"/>
        </w:tabs>
        <w:numPr>
          <w:ilvl w:val="0"/>
          <w:numId w:val="113"/>
        </w:numPr>
        <w:rPr>
          <w:rFonts w:ascii="Arial" w:cs="Arial" w:eastAsia="Arial" w:hAnsi="Arial"/>
          <w:sz w:val="19"/>
          <w:szCs w:val="19"/>
          <w:color w:val="auto"/>
        </w:rPr>
      </w:pPr>
      <w:r>
        <w:rPr>
          <w:rFonts w:ascii="Arial" w:cs="Arial" w:eastAsia="Arial" w:hAnsi="Arial"/>
          <w:sz w:val="19"/>
          <w:szCs w:val="19"/>
          <w:color w:val="auto"/>
        </w:rPr>
        <w:t>Checking the website of the customs to find out whether the Company was or is subject to any administrative penalty;</w:t>
      </w:r>
    </w:p>
    <w:p>
      <w:pPr>
        <w:spacing w:after="0" w:line="274" w:lineRule="exact"/>
        <w:rPr>
          <w:rFonts w:ascii="Arial" w:cs="Arial" w:eastAsia="Arial" w:hAnsi="Arial"/>
          <w:sz w:val="19"/>
          <w:szCs w:val="19"/>
          <w:color w:val="auto"/>
        </w:rPr>
      </w:pPr>
    </w:p>
    <w:p>
      <w:pPr>
        <w:ind w:left="540" w:hanging="208"/>
        <w:spacing w:after="0"/>
        <w:tabs>
          <w:tab w:leader="none" w:pos="540" w:val="left"/>
        </w:tabs>
        <w:numPr>
          <w:ilvl w:val="0"/>
          <w:numId w:val="113"/>
        </w:numPr>
        <w:rPr>
          <w:rFonts w:ascii="Arial" w:cs="Arial" w:eastAsia="Arial" w:hAnsi="Arial"/>
          <w:sz w:val="17"/>
          <w:szCs w:val="17"/>
          <w:color w:val="auto"/>
        </w:rPr>
      </w:pPr>
      <w:r>
        <w:rPr>
          <w:rFonts w:ascii="Arial" w:cs="Arial" w:eastAsia="Arial" w:hAnsi="Arial"/>
          <w:sz w:val="17"/>
          <w:szCs w:val="17"/>
          <w:color w:val="auto"/>
        </w:rPr>
        <w:t>Reviewing the Enterprise Credit Status Certificate issued by Shanghai Customs and relevant supporting policies for the related integrated chip</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industry; and</w:t>
      </w:r>
    </w:p>
    <w:p>
      <w:pPr>
        <w:spacing w:after="0" w:line="238" w:lineRule="exact"/>
        <w:rPr>
          <w:sz w:val="20"/>
          <w:szCs w:val="20"/>
          <w:color w:val="auto"/>
        </w:rPr>
      </w:pPr>
    </w:p>
    <w:p>
      <w:pPr>
        <w:ind w:left="340"/>
        <w:spacing w:after="0"/>
        <w:rPr>
          <w:sz w:val="20"/>
          <w:szCs w:val="20"/>
          <w:color w:val="auto"/>
        </w:rPr>
      </w:pPr>
      <w:r>
        <w:rPr>
          <w:rFonts w:ascii="Arial" w:cs="Arial" w:eastAsia="Arial" w:hAnsi="Arial"/>
          <w:sz w:val="18"/>
          <w:szCs w:val="18"/>
          <w:color w:val="auto"/>
        </w:rPr>
        <w:t>6. Reviewing the documents issued by the local tax authority where the Company is located.</w:t>
      </w:r>
    </w:p>
    <w:p>
      <w:pPr>
        <w:spacing w:after="0" w:line="252"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After the release of the Short-sell Report, the Sponsor performed the following further procedures with respect to the import of parts:</w:t>
      </w:r>
    </w:p>
    <w:p>
      <w:pPr>
        <w:spacing w:after="0" w:line="252" w:lineRule="exact"/>
        <w:rPr>
          <w:sz w:val="20"/>
          <w:szCs w:val="20"/>
          <w:color w:val="auto"/>
        </w:rPr>
      </w:pPr>
    </w:p>
    <w:p>
      <w:pPr>
        <w:ind w:left="520" w:hanging="188"/>
        <w:spacing w:after="0"/>
        <w:tabs>
          <w:tab w:leader="none" w:pos="520" w:val="left"/>
        </w:tabs>
        <w:numPr>
          <w:ilvl w:val="0"/>
          <w:numId w:val="114"/>
        </w:numPr>
        <w:rPr>
          <w:rFonts w:ascii="Arial" w:cs="Arial" w:eastAsia="Arial" w:hAnsi="Arial"/>
          <w:sz w:val="18"/>
          <w:szCs w:val="18"/>
          <w:color w:val="auto"/>
        </w:rPr>
      </w:pPr>
      <w:r>
        <w:rPr>
          <w:rFonts w:ascii="Arial" w:cs="Arial" w:eastAsia="Arial" w:hAnsi="Arial"/>
          <w:sz w:val="18"/>
          <w:szCs w:val="18"/>
          <w:color w:val="auto"/>
        </w:rPr>
        <w:t>Further spot-checking the relevant declaration materials of the Company’s imported raw materials;</w:t>
      </w:r>
    </w:p>
    <w:p>
      <w:pPr>
        <w:spacing w:after="0" w:line="252" w:lineRule="exact"/>
        <w:rPr>
          <w:rFonts w:ascii="Arial" w:cs="Arial" w:eastAsia="Arial" w:hAnsi="Arial"/>
          <w:sz w:val="18"/>
          <w:szCs w:val="18"/>
          <w:color w:val="auto"/>
        </w:rPr>
      </w:pPr>
    </w:p>
    <w:p>
      <w:pPr>
        <w:ind w:left="520" w:hanging="188"/>
        <w:spacing w:after="0"/>
        <w:tabs>
          <w:tab w:leader="none" w:pos="520" w:val="left"/>
        </w:tabs>
        <w:numPr>
          <w:ilvl w:val="0"/>
          <w:numId w:val="114"/>
        </w:numPr>
        <w:rPr>
          <w:rFonts w:ascii="Arial" w:cs="Arial" w:eastAsia="Arial" w:hAnsi="Arial"/>
          <w:sz w:val="18"/>
          <w:szCs w:val="18"/>
          <w:color w:val="auto"/>
        </w:rPr>
      </w:pPr>
      <w:r>
        <w:rPr>
          <w:rFonts w:ascii="Arial" w:cs="Arial" w:eastAsia="Arial" w:hAnsi="Arial"/>
          <w:sz w:val="18"/>
          <w:szCs w:val="18"/>
          <w:color w:val="auto"/>
        </w:rPr>
        <w:t>Further querying whether the Company has been imposed with other customs administrative penalties through the network; and</w:t>
      </w:r>
    </w:p>
    <w:p>
      <w:pPr>
        <w:spacing w:after="0" w:line="244" w:lineRule="exact"/>
        <w:rPr>
          <w:rFonts w:ascii="Arial" w:cs="Arial" w:eastAsia="Arial" w:hAnsi="Arial"/>
          <w:sz w:val="18"/>
          <w:szCs w:val="18"/>
          <w:color w:val="auto"/>
        </w:rPr>
      </w:pPr>
    </w:p>
    <w:p>
      <w:pPr>
        <w:ind w:left="540" w:hanging="208"/>
        <w:spacing w:after="0"/>
        <w:tabs>
          <w:tab w:leader="none" w:pos="540" w:val="left"/>
        </w:tabs>
        <w:numPr>
          <w:ilvl w:val="0"/>
          <w:numId w:val="114"/>
        </w:numPr>
        <w:rPr>
          <w:rFonts w:ascii="Arial" w:cs="Arial" w:eastAsia="Arial" w:hAnsi="Arial"/>
          <w:sz w:val="22"/>
          <w:szCs w:val="22"/>
          <w:color w:val="auto"/>
        </w:rPr>
      </w:pPr>
      <w:r>
        <w:rPr>
          <w:rFonts w:ascii="Arial" w:cs="Arial" w:eastAsia="Arial" w:hAnsi="Arial"/>
          <w:sz w:val="22"/>
          <w:szCs w:val="22"/>
          <w:color w:val="auto"/>
        </w:rPr>
        <w:t>Further checking the handling procedures for imported parts from the Issuer.</w:t>
      </w:r>
    </w:p>
    <w:p>
      <w:pPr>
        <w:spacing w:after="0" w:line="227" w:lineRule="exact"/>
        <w:rPr>
          <w:sz w:val="20"/>
          <w:szCs w:val="20"/>
          <w:color w:val="auto"/>
        </w:rPr>
      </w:pPr>
    </w:p>
    <w:p>
      <w:pPr>
        <w:ind w:left="340"/>
        <w:spacing w:after="0"/>
        <w:rPr>
          <w:sz w:val="20"/>
          <w:szCs w:val="20"/>
          <w:color w:val="auto"/>
        </w:rPr>
      </w:pPr>
      <w:r>
        <w:rPr>
          <w:rFonts w:ascii="Arial" w:cs="Arial" w:eastAsia="Arial" w:hAnsi="Arial"/>
          <w:sz w:val="22"/>
          <w:szCs w:val="22"/>
          <w:b w:val="1"/>
          <w:bCs w:val="1"/>
          <w:color w:val="auto"/>
        </w:rPr>
        <w:t>(ii) Verification Opinions</w:t>
      </w:r>
    </w:p>
    <w:p>
      <w:pPr>
        <w:spacing w:after="0" w:line="239" w:lineRule="exact"/>
        <w:rPr>
          <w:sz w:val="20"/>
          <w:szCs w:val="20"/>
          <w:color w:val="auto"/>
        </w:rPr>
      </w:pPr>
    </w:p>
    <w:p>
      <w:pPr>
        <w:ind w:left="340"/>
        <w:spacing w:after="0"/>
        <w:rPr>
          <w:sz w:val="20"/>
          <w:szCs w:val="20"/>
          <w:color w:val="auto"/>
        </w:rPr>
      </w:pPr>
      <w:r>
        <w:rPr>
          <w:rFonts w:ascii="Arial" w:cs="Arial" w:eastAsia="Arial" w:hAnsi="Arial"/>
          <w:sz w:val="22"/>
          <w:szCs w:val="22"/>
          <w:color w:val="auto"/>
        </w:rPr>
        <w:t>Upon verification, the Sponsor opines that:</w:t>
      </w:r>
    </w:p>
    <w:p>
      <w:pPr>
        <w:spacing w:after="0" w:line="233" w:lineRule="exact"/>
        <w:rPr>
          <w:sz w:val="20"/>
          <w:szCs w:val="20"/>
          <w:color w:val="auto"/>
        </w:rPr>
      </w:pPr>
    </w:p>
    <w:p>
      <w:pPr>
        <w:ind w:left="340"/>
        <w:spacing w:after="0"/>
        <w:rPr>
          <w:sz w:val="20"/>
          <w:szCs w:val="20"/>
          <w:color w:val="auto"/>
        </w:rPr>
      </w:pPr>
      <w:r>
        <w:rPr>
          <w:rFonts w:ascii="Arial" w:cs="Arial" w:eastAsia="Arial" w:hAnsi="Arial"/>
          <w:sz w:val="22"/>
          <w:szCs w:val="22"/>
          <w:color w:val="auto"/>
        </w:rPr>
        <w:t>The Company has fulfilled the import declaration procedures for imported parts.</w:t>
      </w:r>
    </w:p>
    <w:p>
      <w:pPr>
        <w:spacing w:after="0" w:line="227" w:lineRule="exact"/>
        <w:rPr>
          <w:sz w:val="20"/>
          <w:szCs w:val="20"/>
          <w:color w:val="auto"/>
        </w:rPr>
      </w:pPr>
    </w:p>
    <w:p>
      <w:pPr>
        <w:ind w:firstLine="332"/>
        <w:spacing w:after="0" w:line="256" w:lineRule="auto"/>
        <w:tabs>
          <w:tab w:leader="none" w:pos="661" w:val="left"/>
        </w:tabs>
        <w:numPr>
          <w:ilvl w:val="0"/>
          <w:numId w:val="115"/>
        </w:numPr>
        <w:rPr>
          <w:rFonts w:ascii="Arial" w:cs="Arial" w:eastAsia="Arial" w:hAnsi="Arial"/>
          <w:sz w:val="22"/>
          <w:szCs w:val="22"/>
          <w:b w:val="1"/>
          <w:bCs w:val="1"/>
          <w:color w:val="auto"/>
        </w:rPr>
      </w:pPr>
      <w:r>
        <w:rPr>
          <w:rFonts w:ascii="Arial" w:cs="Arial" w:eastAsia="Arial" w:hAnsi="Arial"/>
          <w:sz w:val="22"/>
          <w:szCs w:val="22"/>
          <w:b w:val="1"/>
          <w:bCs w:val="1"/>
          <w:color w:val="auto"/>
        </w:rPr>
        <w:t>Other Challenge 12: About Sales Quantity of Electroplating Equipment (Index of Verification in Response to the Short-sell Report, No.15)</w:t>
      </w:r>
    </w:p>
    <w:p>
      <w:pPr>
        <w:spacing w:after="0" w:line="189" w:lineRule="exact"/>
        <w:rPr>
          <w:sz w:val="20"/>
          <w:szCs w:val="20"/>
          <w:color w:val="auto"/>
        </w:rPr>
      </w:pPr>
    </w:p>
    <w:p>
      <w:pPr>
        <w:ind w:left="340"/>
        <w:spacing w:after="0"/>
        <w:rPr>
          <w:sz w:val="20"/>
          <w:szCs w:val="20"/>
          <w:color w:val="auto"/>
        </w:rPr>
      </w:pPr>
      <w:r>
        <w:rPr>
          <w:rFonts w:ascii="Arial" w:cs="Arial" w:eastAsia="Arial" w:hAnsi="Arial"/>
          <w:sz w:val="22"/>
          <w:szCs w:val="22"/>
          <w:b w:val="1"/>
          <w:bCs w:val="1"/>
          <w:color w:val="auto"/>
        </w:rPr>
        <w:t>Challenge in the Short-sell Report (Short-sell Report, p.21):</w:t>
      </w:r>
    </w:p>
    <w:p>
      <w:pPr>
        <w:spacing w:after="0" w:line="239" w:lineRule="exact"/>
        <w:rPr>
          <w:sz w:val="20"/>
          <w:szCs w:val="20"/>
          <w:color w:val="auto"/>
        </w:rPr>
      </w:pPr>
    </w:p>
    <w:p>
      <w:pPr>
        <w:ind w:right="20" w:firstLine="324"/>
        <w:spacing w:after="0" w:line="250" w:lineRule="auto"/>
        <w:rPr>
          <w:sz w:val="20"/>
          <w:szCs w:val="20"/>
          <w:color w:val="auto"/>
        </w:rPr>
      </w:pPr>
      <w:r>
        <w:rPr>
          <w:rFonts w:ascii="Arial" w:cs="Arial" w:eastAsia="Arial" w:hAnsi="Arial"/>
          <w:sz w:val="22"/>
          <w:szCs w:val="22"/>
          <w:color w:val="auto"/>
        </w:rPr>
        <w:t>“ACMR reported making far fewer electroplating machines indicated in interviews with two former executives with direct knowledge of the electroplating operation.”</w:t>
      </w:r>
    </w:p>
    <w:p>
      <w:pPr>
        <w:spacing w:after="0" w:line="196" w:lineRule="exact"/>
        <w:rPr>
          <w:sz w:val="20"/>
          <w:szCs w:val="20"/>
          <w:color w:val="auto"/>
        </w:rPr>
      </w:pPr>
    </w:p>
    <w:p>
      <w:pPr>
        <w:ind w:left="340"/>
        <w:spacing w:after="0"/>
        <w:rPr>
          <w:sz w:val="20"/>
          <w:szCs w:val="20"/>
          <w:color w:val="auto"/>
        </w:rPr>
      </w:pPr>
      <w:r>
        <w:rPr>
          <w:rFonts w:ascii="Arial" w:cs="Arial" w:eastAsia="Arial" w:hAnsi="Arial"/>
          <w:sz w:val="22"/>
          <w:szCs w:val="22"/>
          <w:b w:val="1"/>
          <w:bCs w:val="1"/>
          <w:color w:val="auto"/>
        </w:rPr>
        <w:t>Response:</w:t>
      </w:r>
    </w:p>
    <w:p>
      <w:pPr>
        <w:spacing w:after="0" w:line="233" w:lineRule="exact"/>
        <w:rPr>
          <w:sz w:val="20"/>
          <w:szCs w:val="20"/>
          <w:color w:val="auto"/>
        </w:rPr>
      </w:pPr>
    </w:p>
    <w:p>
      <w:pPr>
        <w:ind w:left="340"/>
        <w:spacing w:after="0"/>
        <w:rPr>
          <w:sz w:val="20"/>
          <w:szCs w:val="20"/>
          <w:color w:val="auto"/>
        </w:rPr>
      </w:pPr>
      <w:r>
        <w:rPr>
          <w:rFonts w:ascii="Arial" w:cs="Arial" w:eastAsia="Arial" w:hAnsi="Arial"/>
          <w:sz w:val="22"/>
          <w:szCs w:val="22"/>
          <w:b w:val="1"/>
          <w:bCs w:val="1"/>
          <w:color w:val="auto"/>
        </w:rPr>
        <w:t>I. Clarification by the Issuer</w:t>
      </w:r>
    </w:p>
    <w:p>
      <w:pPr>
        <w:spacing w:after="0" w:line="246" w:lineRule="exact"/>
        <w:rPr>
          <w:sz w:val="20"/>
          <w:szCs w:val="20"/>
          <w:color w:val="auto"/>
        </w:rPr>
      </w:pPr>
    </w:p>
    <w:p>
      <w:pPr>
        <w:ind w:right="20" w:firstLine="324"/>
        <w:spacing w:after="0" w:line="277" w:lineRule="auto"/>
        <w:rPr>
          <w:sz w:val="20"/>
          <w:szCs w:val="20"/>
          <w:color w:val="auto"/>
        </w:rPr>
      </w:pPr>
      <w:r>
        <w:rPr>
          <w:rFonts w:ascii="Arial" w:cs="Arial" w:eastAsia="Arial" w:hAnsi="Arial"/>
          <w:sz w:val="18"/>
          <w:szCs w:val="18"/>
          <w:color w:val="auto"/>
        </w:rPr>
        <w:t>The output and sales volume of semiconductor electroplating equipment disclosed by the Company are accurate, which have been disclosed in “Section VI.III.(I) Output and Sales of Main Products” of the Prospectus, as detailed below:</w:t>
      </w:r>
    </w:p>
    <w:p>
      <w:pPr>
        <w:spacing w:after="0" w:line="368"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8-4-1-89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93" w:name="page94"/>
    <w:bookmarkEnd w:id="93"/>
    <w:p>
      <w:pPr>
        <w:ind w:left="340"/>
        <w:spacing w:after="0"/>
        <w:rPr>
          <w:sz w:val="20"/>
          <w:szCs w:val="20"/>
          <w:color w:val="auto"/>
        </w:rPr>
      </w:pPr>
      <w:r>
        <w:rPr>
          <w:rFonts w:ascii="Arial" w:cs="Arial" w:eastAsia="Arial" w:hAnsi="Arial"/>
          <w:sz w:val="22"/>
          <w:szCs w:val="22"/>
          <w:color w:val="auto"/>
        </w:rPr>
        <w:t>“During the reporting period, the Company’s output and sales were as follows:</w:t>
      </w:r>
    </w:p>
    <w:p>
      <w:pPr>
        <w:spacing w:after="0" w:line="234" w:lineRule="exact"/>
        <w:rPr>
          <w:sz w:val="20"/>
          <w:szCs w:val="20"/>
          <w:color w:val="auto"/>
        </w:rPr>
      </w:pPr>
    </w:p>
    <w:tbl>
      <w:tblPr>
        <w:tblLayout w:type="fixed"/>
        <w:tblInd w:w="10" w:type="dxa"/>
        <w:tblCellMar>
          <w:top w:w="0" w:type="dxa"/>
          <w:left w:w="0" w:type="dxa"/>
          <w:bottom w:w="0" w:type="dxa"/>
          <w:right w:w="0" w:type="dxa"/>
        </w:tblCellMar>
      </w:tblPr>
      <w:tr>
        <w:trPr>
          <w:trHeight w:val="274"/>
        </w:trPr>
        <w:tc>
          <w:tcPr>
            <w:tcW w:w="2200" w:type="dxa"/>
            <w:vAlign w:val="bottom"/>
          </w:tcPr>
          <w:p>
            <w:pPr>
              <w:spacing w:after="0"/>
              <w:rPr>
                <w:sz w:val="23"/>
                <w:szCs w:val="23"/>
                <w:color w:val="auto"/>
              </w:rPr>
            </w:pPr>
          </w:p>
        </w:tc>
        <w:tc>
          <w:tcPr>
            <w:tcW w:w="1340" w:type="dxa"/>
            <w:vAlign w:val="bottom"/>
          </w:tcPr>
          <w:p>
            <w:pPr>
              <w:spacing w:after="0"/>
              <w:rPr>
                <w:sz w:val="23"/>
                <w:szCs w:val="23"/>
                <w:color w:val="auto"/>
              </w:rPr>
            </w:pPr>
          </w:p>
        </w:tc>
        <w:tc>
          <w:tcPr>
            <w:tcW w:w="2160" w:type="dxa"/>
            <w:vAlign w:val="bottom"/>
          </w:tcPr>
          <w:p>
            <w:pPr>
              <w:spacing w:after="0"/>
              <w:rPr>
                <w:sz w:val="23"/>
                <w:szCs w:val="23"/>
                <w:color w:val="auto"/>
              </w:rPr>
            </w:pPr>
          </w:p>
        </w:tc>
        <w:tc>
          <w:tcPr>
            <w:tcW w:w="1840" w:type="dxa"/>
            <w:vAlign w:val="bottom"/>
          </w:tcPr>
          <w:p>
            <w:pPr>
              <w:spacing w:after="0"/>
              <w:rPr>
                <w:sz w:val="23"/>
                <w:szCs w:val="23"/>
                <w:color w:val="auto"/>
              </w:rPr>
            </w:pPr>
          </w:p>
        </w:tc>
        <w:tc>
          <w:tcPr>
            <w:tcW w:w="1860" w:type="dxa"/>
            <w:vAlign w:val="bottom"/>
          </w:tcPr>
          <w:p>
            <w:pPr>
              <w:spacing w:after="0"/>
              <w:rPr>
                <w:sz w:val="23"/>
                <w:szCs w:val="23"/>
                <w:color w:val="auto"/>
              </w:rPr>
            </w:pPr>
          </w:p>
        </w:tc>
        <w:tc>
          <w:tcPr>
            <w:tcW w:w="1840" w:type="dxa"/>
            <w:vAlign w:val="bottom"/>
          </w:tcPr>
          <w:p>
            <w:pPr>
              <w:jc w:val="right"/>
              <w:spacing w:after="0"/>
              <w:rPr>
                <w:sz w:val="20"/>
                <w:szCs w:val="20"/>
                <w:color w:val="auto"/>
              </w:rPr>
            </w:pPr>
            <w:r>
              <w:rPr>
                <w:rFonts w:ascii="Arial" w:cs="Arial" w:eastAsia="Arial" w:hAnsi="Arial"/>
                <w:sz w:val="22"/>
                <w:szCs w:val="22"/>
                <w:color w:val="auto"/>
              </w:rPr>
              <w:t>Unit: Set</w:t>
            </w:r>
          </w:p>
        </w:tc>
        <w:tc>
          <w:tcPr>
            <w:tcW w:w="0" w:type="dxa"/>
            <w:vAlign w:val="bottom"/>
          </w:tcPr>
          <w:p>
            <w:pPr>
              <w:spacing w:after="0"/>
              <w:rPr>
                <w:sz w:val="1"/>
                <w:szCs w:val="1"/>
                <w:color w:val="auto"/>
              </w:rPr>
            </w:pPr>
          </w:p>
        </w:tc>
      </w:tr>
      <w:tr>
        <w:trPr>
          <w:trHeight w:val="240"/>
        </w:trPr>
        <w:tc>
          <w:tcPr>
            <w:tcW w:w="220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spacing w:after="0"/>
              <w:rPr>
                <w:sz w:val="20"/>
                <w:szCs w:val="20"/>
                <w:color w:val="auto"/>
              </w:rPr>
            </w:pPr>
          </w:p>
        </w:tc>
        <w:tc>
          <w:tcPr>
            <w:tcW w:w="2160" w:type="dxa"/>
            <w:vAlign w:val="bottom"/>
            <w:tcBorders>
              <w:bottom w:val="single" w:sz="8" w:color="auto"/>
            </w:tcBorders>
          </w:tcPr>
          <w:p>
            <w:pPr>
              <w:spacing w:after="0"/>
              <w:rPr>
                <w:sz w:val="20"/>
                <w:szCs w:val="20"/>
                <w:color w:val="auto"/>
              </w:rPr>
            </w:pPr>
          </w:p>
        </w:tc>
        <w:tc>
          <w:tcPr>
            <w:tcW w:w="1840" w:type="dxa"/>
            <w:vAlign w:val="bottom"/>
            <w:tcBorders>
              <w:bottom w:val="single" w:sz="8" w:color="auto"/>
            </w:tcBorders>
          </w:tcPr>
          <w:p>
            <w:pPr>
              <w:spacing w:after="0"/>
              <w:rPr>
                <w:sz w:val="20"/>
                <w:szCs w:val="20"/>
                <w:color w:val="auto"/>
              </w:rPr>
            </w:pPr>
          </w:p>
        </w:tc>
        <w:tc>
          <w:tcPr>
            <w:tcW w:w="1860" w:type="dxa"/>
            <w:vAlign w:val="bottom"/>
            <w:tcBorders>
              <w:bottom w:val="single" w:sz="8" w:color="auto"/>
            </w:tcBorders>
          </w:tcPr>
          <w:p>
            <w:pPr>
              <w:spacing w:after="0"/>
              <w:rPr>
                <w:sz w:val="20"/>
                <w:szCs w:val="20"/>
                <w:color w:val="auto"/>
              </w:rPr>
            </w:pPr>
          </w:p>
        </w:tc>
        <w:tc>
          <w:tcPr>
            <w:tcW w:w="184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2200" w:type="dxa"/>
            <w:vAlign w:val="bottom"/>
            <w:tcBorders>
              <w:left w:val="single" w:sz="8" w:color="auto"/>
              <w:right w:val="single" w:sz="8" w:color="auto"/>
            </w:tcBorders>
          </w:tcPr>
          <w:p>
            <w:pPr>
              <w:jc w:val="center"/>
              <w:spacing w:after="0" w:line="198" w:lineRule="exact"/>
              <w:rPr>
                <w:sz w:val="20"/>
                <w:szCs w:val="20"/>
                <w:color w:val="auto"/>
              </w:rPr>
            </w:pPr>
            <w:r>
              <w:rPr>
                <w:rFonts w:ascii="Arial" w:cs="Arial" w:eastAsia="Arial" w:hAnsi="Arial"/>
                <w:sz w:val="18"/>
                <w:szCs w:val="18"/>
                <w:b w:val="1"/>
                <w:bCs w:val="1"/>
                <w:color w:val="auto"/>
                <w:w w:val="88"/>
              </w:rPr>
              <w:t>Product</w:t>
            </w:r>
          </w:p>
        </w:tc>
        <w:tc>
          <w:tcPr>
            <w:tcW w:w="134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b w:val="1"/>
                <w:bCs w:val="1"/>
                <w:color w:val="auto"/>
                <w:w w:val="97"/>
              </w:rPr>
              <w:t>Item</w:t>
            </w:r>
          </w:p>
        </w:tc>
        <w:tc>
          <w:tcPr>
            <w:tcW w:w="2160" w:type="dxa"/>
            <w:vAlign w:val="bottom"/>
            <w:tcBorders>
              <w:right w:val="single" w:sz="8" w:color="auto"/>
            </w:tcBorders>
            <w:vMerge w:val="restart"/>
          </w:tcPr>
          <w:p>
            <w:pPr>
              <w:jc w:val="right"/>
              <w:ind w:right="450"/>
              <w:spacing w:after="0"/>
              <w:rPr>
                <w:sz w:val="20"/>
                <w:szCs w:val="20"/>
                <w:color w:val="auto"/>
              </w:rPr>
            </w:pPr>
            <w:r>
              <w:rPr>
                <w:rFonts w:ascii="Arial" w:cs="Arial" w:eastAsia="Arial" w:hAnsi="Arial"/>
                <w:sz w:val="18"/>
                <w:szCs w:val="18"/>
                <w:b w:val="1"/>
                <w:bCs w:val="1"/>
                <w:color w:val="auto"/>
              </w:rPr>
              <w:t>Jan.-Jun. 2020</w:t>
            </w:r>
          </w:p>
        </w:tc>
        <w:tc>
          <w:tcPr>
            <w:tcW w:w="1840" w:type="dxa"/>
            <w:vAlign w:val="bottom"/>
            <w:tcBorders>
              <w:right w:val="single" w:sz="8" w:color="auto"/>
            </w:tcBorders>
            <w:vMerge w:val="restart"/>
          </w:tcPr>
          <w:p>
            <w:pPr>
              <w:jc w:val="right"/>
              <w:ind w:right="670"/>
              <w:spacing w:after="0"/>
              <w:rPr>
                <w:sz w:val="20"/>
                <w:szCs w:val="20"/>
                <w:color w:val="auto"/>
              </w:rPr>
            </w:pPr>
            <w:r>
              <w:rPr>
                <w:rFonts w:ascii="Arial" w:cs="Arial" w:eastAsia="Arial" w:hAnsi="Arial"/>
                <w:sz w:val="18"/>
                <w:szCs w:val="18"/>
                <w:b w:val="1"/>
                <w:bCs w:val="1"/>
                <w:color w:val="auto"/>
              </w:rPr>
              <w:t>2019</w:t>
            </w:r>
          </w:p>
        </w:tc>
        <w:tc>
          <w:tcPr>
            <w:tcW w:w="1860" w:type="dxa"/>
            <w:vAlign w:val="bottom"/>
            <w:tcBorders>
              <w:right w:val="single" w:sz="8" w:color="auto"/>
            </w:tcBorders>
            <w:vMerge w:val="restart"/>
          </w:tcPr>
          <w:p>
            <w:pPr>
              <w:jc w:val="right"/>
              <w:ind w:right="670"/>
              <w:spacing w:after="0"/>
              <w:rPr>
                <w:sz w:val="20"/>
                <w:szCs w:val="20"/>
                <w:color w:val="auto"/>
              </w:rPr>
            </w:pPr>
            <w:r>
              <w:rPr>
                <w:rFonts w:ascii="Arial" w:cs="Arial" w:eastAsia="Arial" w:hAnsi="Arial"/>
                <w:sz w:val="18"/>
                <w:szCs w:val="18"/>
                <w:b w:val="1"/>
                <w:bCs w:val="1"/>
                <w:color w:val="auto"/>
              </w:rPr>
              <w:t>2018</w:t>
            </w:r>
          </w:p>
        </w:tc>
        <w:tc>
          <w:tcPr>
            <w:tcW w:w="1840" w:type="dxa"/>
            <w:vAlign w:val="bottom"/>
            <w:tcBorders>
              <w:right w:val="single" w:sz="8" w:color="auto"/>
            </w:tcBorders>
            <w:vMerge w:val="restart"/>
          </w:tcPr>
          <w:p>
            <w:pPr>
              <w:jc w:val="right"/>
              <w:ind w:right="668"/>
              <w:spacing w:after="0"/>
              <w:rPr>
                <w:sz w:val="20"/>
                <w:szCs w:val="20"/>
                <w:color w:val="auto"/>
              </w:rPr>
            </w:pPr>
            <w:r>
              <w:rPr>
                <w:rFonts w:ascii="Arial" w:cs="Arial" w:eastAsia="Arial" w:hAnsi="Arial"/>
                <w:sz w:val="18"/>
                <w:szCs w:val="18"/>
                <w:b w:val="1"/>
                <w:bCs w:val="1"/>
                <w:color w:val="auto"/>
              </w:rPr>
              <w:t>2017</w:t>
            </w:r>
          </w:p>
        </w:tc>
        <w:tc>
          <w:tcPr>
            <w:tcW w:w="0" w:type="dxa"/>
            <w:vAlign w:val="bottom"/>
          </w:tcPr>
          <w:p>
            <w:pPr>
              <w:spacing w:after="0"/>
              <w:rPr>
                <w:sz w:val="1"/>
                <w:szCs w:val="1"/>
                <w:color w:val="auto"/>
              </w:rPr>
            </w:pPr>
          </w:p>
        </w:tc>
      </w:tr>
      <w:tr>
        <w:trPr>
          <w:trHeight w:val="126"/>
        </w:trPr>
        <w:tc>
          <w:tcPr>
            <w:tcW w:w="220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18"/>
                <w:szCs w:val="18"/>
                <w:b w:val="1"/>
                <w:bCs w:val="1"/>
                <w:color w:val="auto"/>
                <w:w w:val="92"/>
              </w:rPr>
              <w:t>Category</w:t>
            </w:r>
          </w:p>
        </w:tc>
        <w:tc>
          <w:tcPr>
            <w:tcW w:w="1340" w:type="dxa"/>
            <w:vAlign w:val="bottom"/>
            <w:tcBorders>
              <w:right w:val="single" w:sz="8" w:color="auto"/>
            </w:tcBorders>
            <w:vMerge w:val="continue"/>
          </w:tcPr>
          <w:p>
            <w:pPr>
              <w:spacing w:after="0"/>
              <w:rPr>
                <w:sz w:val="10"/>
                <w:szCs w:val="10"/>
                <w:color w:val="auto"/>
              </w:rPr>
            </w:pPr>
          </w:p>
        </w:tc>
        <w:tc>
          <w:tcPr>
            <w:tcW w:w="2160" w:type="dxa"/>
            <w:vAlign w:val="bottom"/>
            <w:tcBorders>
              <w:right w:val="single" w:sz="8" w:color="auto"/>
            </w:tcBorders>
            <w:vMerge w:val="continue"/>
          </w:tcPr>
          <w:p>
            <w:pPr>
              <w:spacing w:after="0"/>
              <w:rPr>
                <w:sz w:val="10"/>
                <w:szCs w:val="10"/>
                <w:color w:val="auto"/>
              </w:rPr>
            </w:pPr>
          </w:p>
        </w:tc>
        <w:tc>
          <w:tcPr>
            <w:tcW w:w="1840" w:type="dxa"/>
            <w:vAlign w:val="bottom"/>
            <w:tcBorders>
              <w:right w:val="single" w:sz="8" w:color="auto"/>
            </w:tcBorders>
            <w:vMerge w:val="continue"/>
          </w:tcPr>
          <w:p>
            <w:pPr>
              <w:spacing w:after="0"/>
              <w:rPr>
                <w:sz w:val="10"/>
                <w:szCs w:val="10"/>
                <w:color w:val="auto"/>
              </w:rPr>
            </w:pPr>
          </w:p>
        </w:tc>
        <w:tc>
          <w:tcPr>
            <w:tcW w:w="1860" w:type="dxa"/>
            <w:vAlign w:val="bottom"/>
            <w:tcBorders>
              <w:right w:val="single" w:sz="8" w:color="auto"/>
            </w:tcBorders>
            <w:vMerge w:val="continue"/>
          </w:tcPr>
          <w:p>
            <w:pPr>
              <w:spacing w:after="0"/>
              <w:rPr>
                <w:sz w:val="10"/>
                <w:szCs w:val="10"/>
                <w:color w:val="auto"/>
              </w:rPr>
            </w:pPr>
          </w:p>
        </w:tc>
        <w:tc>
          <w:tcPr>
            <w:tcW w:w="1840" w:type="dxa"/>
            <w:vAlign w:val="bottom"/>
            <w:tcBorders>
              <w:right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15"/>
        </w:trPr>
        <w:tc>
          <w:tcPr>
            <w:tcW w:w="2200" w:type="dxa"/>
            <w:vAlign w:val="bottom"/>
            <w:tcBorders>
              <w:left w:val="single" w:sz="8" w:color="auto"/>
              <w:bottom w:val="single" w:sz="8" w:color="auto"/>
              <w:right w:val="single" w:sz="8" w:color="auto"/>
            </w:tcBorders>
            <w:vMerge w:val="continue"/>
          </w:tcPr>
          <w:p>
            <w:pPr>
              <w:spacing w:after="0"/>
              <w:rPr>
                <w:sz w:val="10"/>
                <w:szCs w:val="10"/>
                <w:color w:val="auto"/>
              </w:rPr>
            </w:pPr>
          </w:p>
        </w:tc>
        <w:tc>
          <w:tcPr>
            <w:tcW w:w="1340" w:type="dxa"/>
            <w:vAlign w:val="bottom"/>
            <w:tcBorders>
              <w:bottom w:val="single" w:sz="8" w:color="auto"/>
              <w:right w:val="single" w:sz="8" w:color="auto"/>
            </w:tcBorders>
          </w:tcPr>
          <w:p>
            <w:pPr>
              <w:spacing w:after="0"/>
              <w:rPr>
                <w:sz w:val="10"/>
                <w:szCs w:val="10"/>
                <w:color w:val="auto"/>
              </w:rPr>
            </w:pPr>
          </w:p>
        </w:tc>
        <w:tc>
          <w:tcPr>
            <w:tcW w:w="2160" w:type="dxa"/>
            <w:vAlign w:val="bottom"/>
            <w:tcBorders>
              <w:bottom w:val="single" w:sz="8" w:color="auto"/>
              <w:right w:val="single" w:sz="8" w:color="auto"/>
            </w:tcBorders>
          </w:tcPr>
          <w:p>
            <w:pPr>
              <w:spacing w:after="0"/>
              <w:rPr>
                <w:sz w:val="10"/>
                <w:szCs w:val="10"/>
                <w:color w:val="auto"/>
              </w:rPr>
            </w:pPr>
          </w:p>
        </w:tc>
        <w:tc>
          <w:tcPr>
            <w:tcW w:w="1840" w:type="dxa"/>
            <w:vAlign w:val="bottom"/>
            <w:tcBorders>
              <w:bottom w:val="single" w:sz="8" w:color="auto"/>
              <w:right w:val="single" w:sz="8" w:color="auto"/>
            </w:tcBorders>
          </w:tcPr>
          <w:p>
            <w:pPr>
              <w:spacing w:after="0"/>
              <w:rPr>
                <w:sz w:val="10"/>
                <w:szCs w:val="10"/>
                <w:color w:val="auto"/>
              </w:rPr>
            </w:pPr>
          </w:p>
        </w:tc>
        <w:tc>
          <w:tcPr>
            <w:tcW w:w="1860" w:type="dxa"/>
            <w:vAlign w:val="bottom"/>
            <w:tcBorders>
              <w:bottom w:val="single" w:sz="8" w:color="auto"/>
              <w:right w:val="single" w:sz="8" w:color="auto"/>
            </w:tcBorders>
          </w:tcPr>
          <w:p>
            <w:pPr>
              <w:spacing w:after="0"/>
              <w:rPr>
                <w:sz w:val="10"/>
                <w:szCs w:val="10"/>
                <w:color w:val="auto"/>
              </w:rPr>
            </w:pPr>
          </w:p>
        </w:tc>
        <w:tc>
          <w:tcPr>
            <w:tcW w:w="1840" w:type="dxa"/>
            <w:vAlign w:val="bottom"/>
            <w:tcBorders>
              <w:bottom w:val="single" w:sz="8" w:color="auto"/>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223"/>
        </w:trPr>
        <w:tc>
          <w:tcPr>
            <w:tcW w:w="220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9"/>
              </w:rPr>
              <w:t>Semiconductor</w:t>
            </w:r>
          </w:p>
        </w:tc>
        <w:tc>
          <w:tcPr>
            <w:tcW w:w="13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2"/>
              </w:rPr>
              <w:t>Output</w:t>
            </w:r>
          </w:p>
        </w:tc>
        <w:tc>
          <w:tcPr>
            <w:tcW w:w="216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19</w:t>
            </w:r>
          </w:p>
        </w:tc>
        <w:tc>
          <w:tcPr>
            <w:tcW w:w="184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28</w:t>
            </w:r>
          </w:p>
        </w:tc>
        <w:tc>
          <w:tcPr>
            <w:tcW w:w="186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22</w:t>
            </w:r>
          </w:p>
        </w:tc>
        <w:tc>
          <w:tcPr>
            <w:tcW w:w="184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23"/>
        </w:trPr>
        <w:tc>
          <w:tcPr>
            <w:tcW w:w="220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9"/>
              </w:rPr>
              <w:t>cleaning</w:t>
            </w:r>
          </w:p>
        </w:tc>
        <w:tc>
          <w:tcPr>
            <w:tcW w:w="13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4"/>
              </w:rPr>
              <w:t>Sales</w:t>
            </w:r>
          </w:p>
        </w:tc>
        <w:tc>
          <w:tcPr>
            <w:tcW w:w="216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13</w:t>
            </w:r>
          </w:p>
        </w:tc>
        <w:tc>
          <w:tcPr>
            <w:tcW w:w="184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26</w:t>
            </w:r>
          </w:p>
        </w:tc>
        <w:tc>
          <w:tcPr>
            <w:tcW w:w="186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21</w:t>
            </w:r>
          </w:p>
        </w:tc>
        <w:tc>
          <w:tcPr>
            <w:tcW w:w="184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23"/>
        </w:trPr>
        <w:tc>
          <w:tcPr>
            <w:tcW w:w="2200" w:type="dxa"/>
            <w:vAlign w:val="bottom"/>
            <w:tcBorders>
              <w:left w:val="single" w:sz="8" w:color="auto"/>
              <w:bottom w:val="single" w:sz="8" w:color="auto"/>
              <w:right w:val="single" w:sz="8" w:color="auto"/>
            </w:tcBorders>
          </w:tcPr>
          <w:p>
            <w:pPr>
              <w:jc w:val="center"/>
              <w:spacing w:after="0" w:line="203" w:lineRule="exact"/>
              <w:rPr>
                <w:sz w:val="20"/>
                <w:szCs w:val="20"/>
                <w:color w:val="auto"/>
              </w:rPr>
            </w:pPr>
            <w:r>
              <w:rPr>
                <w:rFonts w:ascii="Arial" w:cs="Arial" w:eastAsia="Arial" w:hAnsi="Arial"/>
                <w:sz w:val="18"/>
                <w:szCs w:val="18"/>
                <w:color w:val="auto"/>
                <w:w w:val="90"/>
              </w:rPr>
              <w:t>equipment</w:t>
            </w:r>
          </w:p>
        </w:tc>
        <w:tc>
          <w:tcPr>
            <w:tcW w:w="13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9"/>
              </w:rPr>
              <w:t>Sales-output ratio</w:t>
            </w:r>
          </w:p>
        </w:tc>
        <w:tc>
          <w:tcPr>
            <w:tcW w:w="216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68.42%</w:t>
            </w:r>
          </w:p>
        </w:tc>
        <w:tc>
          <w:tcPr>
            <w:tcW w:w="184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92.86%</w:t>
            </w:r>
          </w:p>
        </w:tc>
        <w:tc>
          <w:tcPr>
            <w:tcW w:w="186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95.45%</w:t>
            </w:r>
          </w:p>
        </w:tc>
        <w:tc>
          <w:tcPr>
            <w:tcW w:w="184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23"/>
        </w:trPr>
        <w:tc>
          <w:tcPr>
            <w:tcW w:w="220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9"/>
              </w:rPr>
              <w:t>Semiconductor</w:t>
            </w:r>
          </w:p>
        </w:tc>
        <w:tc>
          <w:tcPr>
            <w:tcW w:w="13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2"/>
              </w:rPr>
              <w:t>Output</w:t>
            </w:r>
          </w:p>
        </w:tc>
        <w:tc>
          <w:tcPr>
            <w:tcW w:w="216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184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4</w:t>
            </w:r>
          </w:p>
        </w:tc>
        <w:tc>
          <w:tcPr>
            <w:tcW w:w="186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84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23"/>
        </w:trPr>
        <w:tc>
          <w:tcPr>
            <w:tcW w:w="220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3"/>
              </w:rPr>
              <w:t>electroplating</w:t>
            </w:r>
          </w:p>
        </w:tc>
        <w:tc>
          <w:tcPr>
            <w:tcW w:w="13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4"/>
              </w:rPr>
              <w:t>Sales</w:t>
            </w:r>
          </w:p>
        </w:tc>
        <w:tc>
          <w:tcPr>
            <w:tcW w:w="216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84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4</w:t>
            </w:r>
          </w:p>
        </w:tc>
        <w:tc>
          <w:tcPr>
            <w:tcW w:w="186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184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2200" w:type="dxa"/>
            <w:vAlign w:val="bottom"/>
            <w:tcBorders>
              <w:left w:val="single" w:sz="8" w:color="auto"/>
              <w:bottom w:val="single" w:sz="8" w:color="auto"/>
              <w:right w:val="single" w:sz="8" w:color="auto"/>
            </w:tcBorders>
          </w:tcPr>
          <w:p>
            <w:pPr>
              <w:jc w:val="center"/>
              <w:spacing w:after="0" w:line="203" w:lineRule="exact"/>
              <w:rPr>
                <w:sz w:val="20"/>
                <w:szCs w:val="20"/>
                <w:color w:val="auto"/>
              </w:rPr>
            </w:pPr>
            <w:r>
              <w:rPr>
                <w:rFonts w:ascii="Arial" w:cs="Arial" w:eastAsia="Arial" w:hAnsi="Arial"/>
                <w:sz w:val="18"/>
                <w:szCs w:val="18"/>
                <w:color w:val="auto"/>
                <w:w w:val="90"/>
              </w:rPr>
              <w:t>equipment</w:t>
            </w:r>
          </w:p>
        </w:tc>
        <w:tc>
          <w:tcPr>
            <w:tcW w:w="13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9"/>
              </w:rPr>
              <w:t>Sales-output ratio</w:t>
            </w:r>
          </w:p>
        </w:tc>
        <w:tc>
          <w:tcPr>
            <w:tcW w:w="216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84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100%</w:t>
            </w:r>
          </w:p>
        </w:tc>
        <w:tc>
          <w:tcPr>
            <w:tcW w:w="186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84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220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9"/>
              </w:rPr>
              <w:t>Advanced</w:t>
            </w:r>
          </w:p>
        </w:tc>
        <w:tc>
          <w:tcPr>
            <w:tcW w:w="13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2"/>
              </w:rPr>
              <w:t>Output</w:t>
            </w:r>
          </w:p>
        </w:tc>
        <w:tc>
          <w:tcPr>
            <w:tcW w:w="216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7</w:t>
            </w:r>
          </w:p>
        </w:tc>
        <w:tc>
          <w:tcPr>
            <w:tcW w:w="184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9</w:t>
            </w:r>
          </w:p>
        </w:tc>
        <w:tc>
          <w:tcPr>
            <w:tcW w:w="186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13</w:t>
            </w:r>
          </w:p>
        </w:tc>
        <w:tc>
          <w:tcPr>
            <w:tcW w:w="184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23"/>
        </w:trPr>
        <w:tc>
          <w:tcPr>
            <w:tcW w:w="220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0"/>
              </w:rPr>
              <w:t>packaging wet</w:t>
            </w:r>
          </w:p>
        </w:tc>
        <w:tc>
          <w:tcPr>
            <w:tcW w:w="13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4"/>
              </w:rPr>
              <w:t>Sales</w:t>
            </w:r>
          </w:p>
        </w:tc>
        <w:tc>
          <w:tcPr>
            <w:tcW w:w="216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10</w:t>
            </w:r>
          </w:p>
        </w:tc>
        <w:tc>
          <w:tcPr>
            <w:tcW w:w="184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7</w:t>
            </w:r>
          </w:p>
        </w:tc>
        <w:tc>
          <w:tcPr>
            <w:tcW w:w="186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6</w:t>
            </w:r>
          </w:p>
        </w:tc>
        <w:tc>
          <w:tcPr>
            <w:tcW w:w="184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23"/>
        </w:trPr>
        <w:tc>
          <w:tcPr>
            <w:tcW w:w="2200" w:type="dxa"/>
            <w:vAlign w:val="bottom"/>
            <w:tcBorders>
              <w:left w:val="single" w:sz="8" w:color="auto"/>
              <w:bottom w:val="single" w:sz="8" w:color="auto"/>
              <w:right w:val="single" w:sz="8" w:color="auto"/>
            </w:tcBorders>
          </w:tcPr>
          <w:p>
            <w:pPr>
              <w:jc w:val="center"/>
              <w:spacing w:after="0" w:line="203" w:lineRule="exact"/>
              <w:rPr>
                <w:sz w:val="20"/>
                <w:szCs w:val="20"/>
                <w:color w:val="auto"/>
              </w:rPr>
            </w:pPr>
            <w:r>
              <w:rPr>
                <w:rFonts w:ascii="Arial" w:cs="Arial" w:eastAsia="Arial" w:hAnsi="Arial"/>
                <w:sz w:val="18"/>
                <w:szCs w:val="18"/>
                <w:color w:val="auto"/>
                <w:w w:val="89"/>
              </w:rPr>
              <w:t>process equipment</w:t>
            </w:r>
          </w:p>
        </w:tc>
        <w:tc>
          <w:tcPr>
            <w:tcW w:w="13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9"/>
              </w:rPr>
              <w:t>Sales-output ratio</w:t>
            </w:r>
          </w:p>
        </w:tc>
        <w:tc>
          <w:tcPr>
            <w:tcW w:w="216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142.86%</w:t>
            </w:r>
          </w:p>
        </w:tc>
        <w:tc>
          <w:tcPr>
            <w:tcW w:w="184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77.78%</w:t>
            </w:r>
          </w:p>
        </w:tc>
        <w:tc>
          <w:tcPr>
            <w:tcW w:w="186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46.15%</w:t>
            </w:r>
          </w:p>
        </w:tc>
        <w:tc>
          <w:tcPr>
            <w:tcW w:w="184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bl>
    <w:p>
      <w:pPr>
        <w:spacing w:after="0" w:line="222" w:lineRule="exact"/>
        <w:rPr>
          <w:sz w:val="20"/>
          <w:szCs w:val="20"/>
          <w:color w:val="auto"/>
        </w:rPr>
      </w:pPr>
    </w:p>
    <w:p>
      <w:pPr>
        <w:jc w:val="both"/>
        <w:ind w:firstLine="324"/>
        <w:spacing w:after="0" w:line="234" w:lineRule="auto"/>
        <w:rPr>
          <w:sz w:val="20"/>
          <w:szCs w:val="20"/>
          <w:color w:val="auto"/>
        </w:rPr>
      </w:pPr>
      <w:r>
        <w:rPr>
          <w:rFonts w:ascii="Arial" w:cs="Arial" w:eastAsia="Arial" w:hAnsi="Arial"/>
          <w:sz w:val="22"/>
          <w:szCs w:val="22"/>
          <w:color w:val="auto"/>
        </w:rPr>
        <w:t>Since its establishment, the Company has been dedicated to the R&amp;D, production and sales of semiconductor special equipment. ACMR, the controlling shareholder of the Company, was established in 1998, and since then has been engaged in the R&amp;D of semiconductor special equipment. In 2005, ACMR invested in the establishment of the Company’s predecessor ACMSH (before restructuring) in Shanghai, and also invested the right to use the semiconductor special equipment-related technologies developed by ACMR in the early stage therein. On the basis of such technologies, the Issuer has carried out further technological development and innovation, and continued the technical R&amp;D and technology accumulation of semiconductor special equipment.</w:t>
      </w:r>
    </w:p>
    <w:p>
      <w:pPr>
        <w:spacing w:after="0" w:line="225"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After years of R&amp;D and marketing promotion of the back-end advanced packaging electroplating equipment as one of its early business directions, the Company obtained orders for the same from JCET in 2018. The front-end copper interconnection electroplating equipment was ordered by Huahong Group in 2019.</w:t>
      </w: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8-4-1-90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94" w:name="page95"/>
    <w:bookmarkEnd w:id="94"/>
    <w:p>
      <w:pPr>
        <w:ind w:left="340"/>
        <w:spacing w:after="0"/>
        <w:rPr>
          <w:sz w:val="20"/>
          <w:szCs w:val="20"/>
          <w:color w:val="auto"/>
        </w:rPr>
      </w:pPr>
      <w:r>
        <w:rPr>
          <w:rFonts w:ascii="Arial" w:cs="Arial" w:eastAsia="Arial" w:hAnsi="Arial"/>
          <w:sz w:val="22"/>
          <w:szCs w:val="22"/>
          <w:b w:val="1"/>
          <w:bCs w:val="1"/>
          <w:color w:val="auto"/>
        </w:rPr>
        <w:t>(i) Semiconductor electroplating equipment formed by production</w:t>
      </w:r>
    </w:p>
    <w:p>
      <w:pPr>
        <w:spacing w:after="0" w:line="24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Changes in the output of semiconductor electroplating equipment of the Company in 2017, 2018 and 2019 were as follows:</w:t>
      </w:r>
    </w:p>
    <w:p>
      <w:pPr>
        <w:spacing w:after="0" w:line="246" w:lineRule="exact"/>
        <w:rPr>
          <w:sz w:val="20"/>
          <w:szCs w:val="20"/>
          <w:color w:val="auto"/>
        </w:rPr>
      </w:pPr>
    </w:p>
    <w:tbl>
      <w:tblPr>
        <w:tblLayout w:type="fixed"/>
        <w:tblInd w:w="10" w:type="dxa"/>
        <w:tblCellMar>
          <w:top w:w="0" w:type="dxa"/>
          <w:left w:w="0" w:type="dxa"/>
          <w:bottom w:w="0" w:type="dxa"/>
          <w:right w:w="0" w:type="dxa"/>
        </w:tblCellMar>
      </w:tblPr>
      <w:tr>
        <w:trPr>
          <w:trHeight w:val="250"/>
        </w:trPr>
        <w:tc>
          <w:tcPr>
            <w:tcW w:w="1020" w:type="dxa"/>
            <w:vAlign w:val="bottom"/>
            <w:tcBorders>
              <w:top w:val="single" w:sz="8" w:color="auto"/>
              <w:left w:val="single" w:sz="8" w:color="auto"/>
              <w:right w:val="single" w:sz="8" w:color="auto"/>
            </w:tcBorders>
          </w:tcPr>
          <w:p>
            <w:pPr>
              <w:spacing w:after="0"/>
              <w:rPr>
                <w:sz w:val="21"/>
                <w:szCs w:val="21"/>
                <w:color w:val="auto"/>
              </w:rPr>
            </w:pPr>
          </w:p>
        </w:tc>
        <w:tc>
          <w:tcPr>
            <w:tcW w:w="1020" w:type="dxa"/>
            <w:vAlign w:val="bottom"/>
            <w:tcBorders>
              <w:top w:val="single" w:sz="8" w:color="auto"/>
              <w:bottom w:val="single" w:sz="8" w:color="auto"/>
            </w:tcBorders>
          </w:tcPr>
          <w:p>
            <w:pPr>
              <w:spacing w:after="0"/>
              <w:rPr>
                <w:sz w:val="21"/>
                <w:szCs w:val="21"/>
                <w:color w:val="auto"/>
              </w:rPr>
            </w:pPr>
          </w:p>
        </w:tc>
        <w:tc>
          <w:tcPr>
            <w:tcW w:w="1020" w:type="dxa"/>
            <w:vAlign w:val="bottom"/>
            <w:tcBorders>
              <w:top w:val="single" w:sz="8" w:color="auto"/>
              <w:bottom w:val="single" w:sz="8" w:color="auto"/>
            </w:tcBorders>
            <w:gridSpan w:val="2"/>
          </w:tcPr>
          <w:p>
            <w:pPr>
              <w:jc w:val="right"/>
              <w:ind w:right="40"/>
              <w:spacing w:after="0"/>
              <w:rPr>
                <w:sz w:val="20"/>
                <w:szCs w:val="20"/>
                <w:color w:val="auto"/>
              </w:rPr>
            </w:pPr>
            <w:r>
              <w:rPr>
                <w:rFonts w:ascii="Arial" w:cs="Arial" w:eastAsia="Arial" w:hAnsi="Arial"/>
                <w:sz w:val="18"/>
                <w:szCs w:val="18"/>
                <w:b w:val="1"/>
                <w:bCs w:val="1"/>
                <w:color w:val="auto"/>
              </w:rPr>
              <w:t>2017</w:t>
            </w:r>
          </w:p>
        </w:tc>
        <w:tc>
          <w:tcPr>
            <w:tcW w:w="760" w:type="dxa"/>
            <w:vAlign w:val="bottom"/>
            <w:tcBorders>
              <w:top w:val="single" w:sz="8" w:color="auto"/>
              <w:bottom w:val="single" w:sz="8" w:color="auto"/>
            </w:tcBorders>
          </w:tcPr>
          <w:p>
            <w:pPr>
              <w:spacing w:after="0"/>
              <w:rPr>
                <w:sz w:val="21"/>
                <w:szCs w:val="21"/>
                <w:color w:val="auto"/>
              </w:rPr>
            </w:pPr>
          </w:p>
        </w:tc>
        <w:tc>
          <w:tcPr>
            <w:tcW w:w="880" w:type="dxa"/>
            <w:vAlign w:val="bottom"/>
            <w:tcBorders>
              <w:top w:val="single" w:sz="8" w:color="auto"/>
              <w:bottom w:val="single" w:sz="8" w:color="auto"/>
              <w:right w:val="single" w:sz="8" w:color="auto"/>
            </w:tcBorders>
          </w:tcPr>
          <w:p>
            <w:pPr>
              <w:spacing w:after="0"/>
              <w:rPr>
                <w:sz w:val="21"/>
                <w:szCs w:val="21"/>
                <w:color w:val="auto"/>
              </w:rPr>
            </w:pPr>
          </w:p>
        </w:tc>
        <w:tc>
          <w:tcPr>
            <w:tcW w:w="900" w:type="dxa"/>
            <w:vAlign w:val="bottom"/>
            <w:tcBorders>
              <w:top w:val="single" w:sz="8" w:color="auto"/>
              <w:bottom w:val="single" w:sz="8" w:color="auto"/>
            </w:tcBorders>
          </w:tcPr>
          <w:p>
            <w:pPr>
              <w:spacing w:after="0"/>
              <w:rPr>
                <w:sz w:val="21"/>
                <w:szCs w:val="21"/>
                <w:color w:val="auto"/>
              </w:rPr>
            </w:pPr>
          </w:p>
        </w:tc>
        <w:tc>
          <w:tcPr>
            <w:tcW w:w="880" w:type="dxa"/>
            <w:vAlign w:val="bottom"/>
            <w:tcBorders>
              <w:top w:val="single" w:sz="8" w:color="auto"/>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rPr>
              <w:t>2018</w:t>
            </w:r>
          </w:p>
        </w:tc>
        <w:tc>
          <w:tcPr>
            <w:tcW w:w="900" w:type="dxa"/>
            <w:vAlign w:val="bottom"/>
            <w:tcBorders>
              <w:top w:val="single" w:sz="8" w:color="auto"/>
              <w:bottom w:val="single" w:sz="8" w:color="auto"/>
              <w:right w:val="single" w:sz="8" w:color="auto"/>
            </w:tcBorders>
          </w:tcPr>
          <w:p>
            <w:pPr>
              <w:spacing w:after="0"/>
              <w:rPr>
                <w:sz w:val="21"/>
                <w:szCs w:val="21"/>
                <w:color w:val="auto"/>
              </w:rPr>
            </w:pPr>
          </w:p>
        </w:tc>
        <w:tc>
          <w:tcPr>
            <w:tcW w:w="880" w:type="dxa"/>
            <w:vAlign w:val="bottom"/>
            <w:tcBorders>
              <w:top w:val="single" w:sz="8" w:color="auto"/>
              <w:bottom w:val="single" w:sz="8" w:color="auto"/>
            </w:tcBorders>
          </w:tcPr>
          <w:p>
            <w:pPr>
              <w:spacing w:after="0"/>
              <w:rPr>
                <w:sz w:val="21"/>
                <w:szCs w:val="21"/>
                <w:color w:val="auto"/>
              </w:rPr>
            </w:pPr>
          </w:p>
        </w:tc>
        <w:tc>
          <w:tcPr>
            <w:tcW w:w="88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2019</w:t>
            </w:r>
          </w:p>
        </w:tc>
        <w:tc>
          <w:tcPr>
            <w:tcW w:w="880" w:type="dxa"/>
            <w:vAlign w:val="bottom"/>
            <w:tcBorders>
              <w:top w:val="single" w:sz="8" w:color="auto"/>
              <w:bottom w:val="single" w:sz="8" w:color="auto"/>
              <w:right w:val="single" w:sz="8" w:color="auto"/>
            </w:tcBorders>
          </w:tcPr>
          <w:p>
            <w:pPr>
              <w:spacing w:after="0"/>
              <w:rPr>
                <w:sz w:val="21"/>
                <w:szCs w:val="21"/>
                <w:color w:val="auto"/>
              </w:rPr>
            </w:pPr>
          </w:p>
        </w:tc>
        <w:tc>
          <w:tcPr>
            <w:tcW w:w="1220" w:type="dxa"/>
            <w:vAlign w:val="bottom"/>
            <w:tcBorders>
              <w:top w:val="single" w:sz="8" w:color="auto"/>
              <w:bottom w:val="single" w:sz="8" w:color="auto"/>
              <w:right w:val="single" w:sz="8" w:color="auto"/>
            </w:tcBorders>
            <w:vMerge w:val="restart"/>
          </w:tcPr>
          <w:p>
            <w:pPr>
              <w:jc w:val="center"/>
              <w:spacing w:after="0"/>
              <w:rPr>
                <w:sz w:val="20"/>
                <w:szCs w:val="20"/>
                <w:color w:val="auto"/>
              </w:rPr>
            </w:pPr>
            <w:r>
              <w:rPr>
                <w:rFonts w:ascii="Arial" w:cs="Arial" w:eastAsia="Arial" w:hAnsi="Arial"/>
                <w:sz w:val="18"/>
                <w:szCs w:val="18"/>
                <w:b w:val="1"/>
                <w:bCs w:val="1"/>
                <w:color w:val="auto"/>
                <w:w w:val="87"/>
              </w:rPr>
              <w:t>Revenue</w:t>
            </w:r>
          </w:p>
        </w:tc>
        <w:tc>
          <w:tcPr>
            <w:tcW w:w="0" w:type="dxa"/>
            <w:vAlign w:val="bottom"/>
          </w:tcPr>
          <w:p>
            <w:pPr>
              <w:spacing w:after="0"/>
              <w:rPr>
                <w:sz w:val="1"/>
                <w:szCs w:val="1"/>
                <w:color w:val="auto"/>
              </w:rPr>
            </w:pPr>
          </w:p>
        </w:tc>
      </w:tr>
      <w:tr>
        <w:trPr>
          <w:trHeight w:val="76"/>
        </w:trPr>
        <w:tc>
          <w:tcPr>
            <w:tcW w:w="1020" w:type="dxa"/>
            <w:vAlign w:val="bottom"/>
            <w:tcBorders>
              <w:left w:val="single" w:sz="8" w:color="auto"/>
              <w:right w:val="single" w:sz="8" w:color="auto"/>
            </w:tcBorders>
          </w:tcPr>
          <w:p>
            <w:pPr>
              <w:spacing w:after="0"/>
              <w:rPr>
                <w:sz w:val="6"/>
                <w:szCs w:val="6"/>
                <w:color w:val="auto"/>
              </w:rPr>
            </w:pPr>
          </w:p>
        </w:tc>
        <w:tc>
          <w:tcPr>
            <w:tcW w:w="1020" w:type="dxa"/>
            <w:vAlign w:val="bottom"/>
            <w:tcBorders>
              <w:right w:val="single" w:sz="8" w:color="auto"/>
            </w:tcBorders>
            <w:vMerge w:val="restart"/>
          </w:tcPr>
          <w:p>
            <w:pPr>
              <w:jc w:val="center"/>
              <w:spacing w:after="0" w:line="198" w:lineRule="exact"/>
              <w:rPr>
                <w:sz w:val="20"/>
                <w:szCs w:val="20"/>
                <w:color w:val="auto"/>
              </w:rPr>
            </w:pPr>
            <w:r>
              <w:rPr>
                <w:rFonts w:ascii="Arial" w:cs="Arial" w:eastAsia="Arial" w:hAnsi="Arial"/>
                <w:sz w:val="18"/>
                <w:szCs w:val="18"/>
                <w:b w:val="1"/>
                <w:bCs w:val="1"/>
                <w:color w:val="auto"/>
                <w:w w:val="90"/>
              </w:rPr>
              <w:t>Opening</w:t>
            </w:r>
          </w:p>
        </w:tc>
        <w:tc>
          <w:tcPr>
            <w:tcW w:w="880" w:type="dxa"/>
            <w:vAlign w:val="bottom"/>
            <w:tcBorders>
              <w:right w:val="single" w:sz="8" w:color="auto"/>
            </w:tcBorders>
          </w:tcPr>
          <w:p>
            <w:pPr>
              <w:spacing w:after="0"/>
              <w:rPr>
                <w:sz w:val="6"/>
                <w:szCs w:val="6"/>
                <w:color w:val="auto"/>
              </w:rPr>
            </w:pPr>
          </w:p>
        </w:tc>
        <w:tc>
          <w:tcPr>
            <w:tcW w:w="140" w:type="dxa"/>
            <w:vAlign w:val="bottom"/>
          </w:tcPr>
          <w:p>
            <w:pPr>
              <w:spacing w:after="0"/>
              <w:rPr>
                <w:sz w:val="6"/>
                <w:szCs w:val="6"/>
                <w:color w:val="auto"/>
              </w:rPr>
            </w:pPr>
          </w:p>
        </w:tc>
        <w:tc>
          <w:tcPr>
            <w:tcW w:w="760" w:type="dxa"/>
            <w:vAlign w:val="bottom"/>
            <w:tcBorders>
              <w:right w:val="single" w:sz="8" w:color="auto"/>
            </w:tcBorders>
          </w:tcPr>
          <w:p>
            <w:pPr>
              <w:spacing w:after="0"/>
              <w:rPr>
                <w:sz w:val="6"/>
                <w:szCs w:val="6"/>
                <w:color w:val="auto"/>
              </w:rPr>
            </w:pPr>
          </w:p>
        </w:tc>
        <w:tc>
          <w:tcPr>
            <w:tcW w:w="880" w:type="dxa"/>
            <w:vAlign w:val="bottom"/>
            <w:tcBorders>
              <w:right w:val="single" w:sz="8" w:color="auto"/>
            </w:tcBorders>
            <w:vMerge w:val="restart"/>
          </w:tcPr>
          <w:p>
            <w:pPr>
              <w:jc w:val="center"/>
              <w:spacing w:after="0" w:line="198" w:lineRule="exact"/>
              <w:rPr>
                <w:sz w:val="20"/>
                <w:szCs w:val="20"/>
                <w:color w:val="auto"/>
              </w:rPr>
            </w:pPr>
            <w:r>
              <w:rPr>
                <w:rFonts w:ascii="Arial" w:cs="Arial" w:eastAsia="Arial" w:hAnsi="Arial"/>
                <w:sz w:val="18"/>
                <w:szCs w:val="18"/>
                <w:b w:val="1"/>
                <w:bCs w:val="1"/>
                <w:color w:val="auto"/>
                <w:w w:val="87"/>
              </w:rPr>
              <w:t>Closing</w:t>
            </w:r>
          </w:p>
        </w:tc>
        <w:tc>
          <w:tcPr>
            <w:tcW w:w="900" w:type="dxa"/>
            <w:vAlign w:val="bottom"/>
            <w:tcBorders>
              <w:right w:val="single" w:sz="8" w:color="auto"/>
            </w:tcBorders>
          </w:tcPr>
          <w:p>
            <w:pPr>
              <w:spacing w:after="0"/>
              <w:rPr>
                <w:sz w:val="6"/>
                <w:szCs w:val="6"/>
                <w:color w:val="auto"/>
              </w:rPr>
            </w:pPr>
          </w:p>
        </w:tc>
        <w:tc>
          <w:tcPr>
            <w:tcW w:w="880" w:type="dxa"/>
            <w:vAlign w:val="bottom"/>
            <w:tcBorders>
              <w:right w:val="single" w:sz="8" w:color="auto"/>
            </w:tcBorders>
          </w:tcPr>
          <w:p>
            <w:pPr>
              <w:spacing w:after="0"/>
              <w:rPr>
                <w:sz w:val="6"/>
                <w:szCs w:val="6"/>
                <w:color w:val="auto"/>
              </w:rPr>
            </w:pPr>
          </w:p>
        </w:tc>
        <w:tc>
          <w:tcPr>
            <w:tcW w:w="900" w:type="dxa"/>
            <w:vAlign w:val="bottom"/>
            <w:tcBorders>
              <w:right w:val="single" w:sz="8" w:color="auto"/>
            </w:tcBorders>
            <w:vMerge w:val="restart"/>
          </w:tcPr>
          <w:p>
            <w:pPr>
              <w:jc w:val="center"/>
              <w:spacing w:after="0" w:line="198" w:lineRule="exact"/>
              <w:rPr>
                <w:sz w:val="20"/>
                <w:szCs w:val="20"/>
                <w:color w:val="auto"/>
              </w:rPr>
            </w:pPr>
            <w:r>
              <w:rPr>
                <w:rFonts w:ascii="Arial" w:cs="Arial" w:eastAsia="Arial" w:hAnsi="Arial"/>
                <w:sz w:val="18"/>
                <w:szCs w:val="18"/>
                <w:b w:val="1"/>
                <w:bCs w:val="1"/>
                <w:color w:val="auto"/>
                <w:w w:val="87"/>
              </w:rPr>
              <w:t>Closing</w:t>
            </w:r>
          </w:p>
        </w:tc>
        <w:tc>
          <w:tcPr>
            <w:tcW w:w="880" w:type="dxa"/>
            <w:vAlign w:val="bottom"/>
            <w:tcBorders>
              <w:right w:val="single" w:sz="8" w:color="auto"/>
            </w:tcBorders>
          </w:tcPr>
          <w:p>
            <w:pPr>
              <w:spacing w:after="0"/>
              <w:rPr>
                <w:sz w:val="6"/>
                <w:szCs w:val="6"/>
                <w:color w:val="auto"/>
              </w:rPr>
            </w:pPr>
          </w:p>
        </w:tc>
        <w:tc>
          <w:tcPr>
            <w:tcW w:w="880" w:type="dxa"/>
            <w:vAlign w:val="bottom"/>
            <w:tcBorders>
              <w:right w:val="single" w:sz="8" w:color="auto"/>
            </w:tcBorders>
          </w:tcPr>
          <w:p>
            <w:pPr>
              <w:spacing w:after="0"/>
              <w:rPr>
                <w:sz w:val="6"/>
                <w:szCs w:val="6"/>
                <w:color w:val="auto"/>
              </w:rPr>
            </w:pPr>
          </w:p>
        </w:tc>
        <w:tc>
          <w:tcPr>
            <w:tcW w:w="880" w:type="dxa"/>
            <w:vAlign w:val="bottom"/>
            <w:tcBorders>
              <w:right w:val="single" w:sz="8" w:color="auto"/>
            </w:tcBorders>
            <w:vMerge w:val="restart"/>
          </w:tcPr>
          <w:p>
            <w:pPr>
              <w:jc w:val="center"/>
              <w:spacing w:after="0" w:line="198" w:lineRule="exact"/>
              <w:rPr>
                <w:sz w:val="20"/>
                <w:szCs w:val="20"/>
                <w:color w:val="auto"/>
              </w:rPr>
            </w:pPr>
            <w:r>
              <w:rPr>
                <w:rFonts w:ascii="Arial" w:cs="Arial" w:eastAsia="Arial" w:hAnsi="Arial"/>
                <w:sz w:val="18"/>
                <w:szCs w:val="18"/>
                <w:b w:val="1"/>
                <w:bCs w:val="1"/>
                <w:color w:val="auto"/>
                <w:w w:val="87"/>
              </w:rPr>
              <w:t>Closing</w:t>
            </w:r>
          </w:p>
        </w:tc>
        <w:tc>
          <w:tcPr>
            <w:tcW w:w="1220" w:type="dxa"/>
            <w:vAlign w:val="bottom"/>
            <w:tcBorders>
              <w:right w:val="single" w:sz="8" w:color="auto"/>
            </w:tcBorders>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22"/>
        </w:trPr>
        <w:tc>
          <w:tcPr>
            <w:tcW w:w="102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18"/>
                <w:szCs w:val="18"/>
                <w:b w:val="1"/>
                <w:bCs w:val="1"/>
                <w:color w:val="auto"/>
                <w:w w:val="90"/>
              </w:rPr>
              <w:t>Project No.</w:t>
            </w:r>
          </w:p>
        </w:tc>
        <w:tc>
          <w:tcPr>
            <w:tcW w:w="1020" w:type="dxa"/>
            <w:vAlign w:val="bottom"/>
            <w:tcBorders>
              <w:right w:val="single" w:sz="8" w:color="auto"/>
            </w:tcBorders>
            <w:vMerge w:val="continue"/>
          </w:tcPr>
          <w:p>
            <w:pPr>
              <w:spacing w:after="0"/>
              <w:rPr>
                <w:sz w:val="10"/>
                <w:szCs w:val="10"/>
                <w:color w:val="auto"/>
              </w:rPr>
            </w:pPr>
          </w:p>
        </w:tc>
        <w:tc>
          <w:tcPr>
            <w:tcW w:w="8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b w:val="1"/>
                <w:bCs w:val="1"/>
                <w:color w:val="auto"/>
                <w:w w:val="92"/>
              </w:rPr>
              <w:t>Start</w:t>
            </w:r>
          </w:p>
        </w:tc>
        <w:tc>
          <w:tcPr>
            <w:tcW w:w="140" w:type="dxa"/>
            <w:vAlign w:val="bottom"/>
          </w:tcPr>
          <w:p>
            <w:pPr>
              <w:spacing w:after="0"/>
              <w:rPr>
                <w:sz w:val="10"/>
                <w:szCs w:val="10"/>
                <w:color w:val="auto"/>
              </w:rPr>
            </w:pPr>
          </w:p>
        </w:tc>
        <w:tc>
          <w:tcPr>
            <w:tcW w:w="760" w:type="dxa"/>
            <w:vAlign w:val="bottom"/>
            <w:tcBorders>
              <w:right w:val="single" w:sz="8" w:color="auto"/>
            </w:tcBorders>
          </w:tcPr>
          <w:p>
            <w:pPr>
              <w:spacing w:after="0"/>
              <w:rPr>
                <w:sz w:val="10"/>
                <w:szCs w:val="10"/>
                <w:color w:val="auto"/>
              </w:rPr>
            </w:pPr>
          </w:p>
        </w:tc>
        <w:tc>
          <w:tcPr>
            <w:tcW w:w="880" w:type="dxa"/>
            <w:vAlign w:val="bottom"/>
            <w:tcBorders>
              <w:right w:val="single" w:sz="8" w:color="auto"/>
            </w:tcBorders>
            <w:vMerge w:val="continue"/>
          </w:tcPr>
          <w:p>
            <w:pPr>
              <w:spacing w:after="0"/>
              <w:rPr>
                <w:sz w:val="10"/>
                <w:szCs w:val="10"/>
                <w:color w:val="auto"/>
              </w:rPr>
            </w:pPr>
          </w:p>
        </w:tc>
        <w:tc>
          <w:tcPr>
            <w:tcW w:w="9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b w:val="1"/>
                <w:bCs w:val="1"/>
                <w:color w:val="auto"/>
                <w:w w:val="97"/>
              </w:rPr>
              <w:t>Start</w:t>
            </w:r>
          </w:p>
        </w:tc>
        <w:tc>
          <w:tcPr>
            <w:tcW w:w="880" w:type="dxa"/>
            <w:vAlign w:val="bottom"/>
            <w:tcBorders>
              <w:right w:val="single" w:sz="8" w:color="auto"/>
            </w:tcBorders>
          </w:tcPr>
          <w:p>
            <w:pPr>
              <w:spacing w:after="0"/>
              <w:rPr>
                <w:sz w:val="10"/>
                <w:szCs w:val="10"/>
                <w:color w:val="auto"/>
              </w:rPr>
            </w:pPr>
          </w:p>
        </w:tc>
        <w:tc>
          <w:tcPr>
            <w:tcW w:w="900" w:type="dxa"/>
            <w:vAlign w:val="bottom"/>
            <w:tcBorders>
              <w:right w:val="single" w:sz="8" w:color="auto"/>
            </w:tcBorders>
            <w:vMerge w:val="continue"/>
          </w:tcPr>
          <w:p>
            <w:pPr>
              <w:spacing w:after="0"/>
              <w:rPr>
                <w:sz w:val="10"/>
                <w:szCs w:val="10"/>
                <w:color w:val="auto"/>
              </w:rPr>
            </w:pPr>
          </w:p>
        </w:tc>
        <w:tc>
          <w:tcPr>
            <w:tcW w:w="8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b w:val="1"/>
                <w:bCs w:val="1"/>
                <w:color w:val="auto"/>
                <w:w w:val="97"/>
              </w:rPr>
              <w:t>Start</w:t>
            </w:r>
          </w:p>
        </w:tc>
        <w:tc>
          <w:tcPr>
            <w:tcW w:w="880" w:type="dxa"/>
            <w:vAlign w:val="bottom"/>
            <w:tcBorders>
              <w:right w:val="single" w:sz="8" w:color="auto"/>
            </w:tcBorders>
          </w:tcPr>
          <w:p>
            <w:pPr>
              <w:spacing w:after="0"/>
              <w:rPr>
                <w:sz w:val="10"/>
                <w:szCs w:val="10"/>
                <w:color w:val="auto"/>
              </w:rPr>
            </w:pPr>
          </w:p>
        </w:tc>
        <w:tc>
          <w:tcPr>
            <w:tcW w:w="880" w:type="dxa"/>
            <w:vAlign w:val="bottom"/>
            <w:tcBorders>
              <w:right w:val="single" w:sz="8" w:color="auto"/>
            </w:tcBorders>
            <w:vMerge w:val="continue"/>
          </w:tcPr>
          <w:p>
            <w:pPr>
              <w:spacing w:after="0"/>
              <w:rPr>
                <w:sz w:val="10"/>
                <w:szCs w:val="10"/>
                <w:color w:val="auto"/>
              </w:rPr>
            </w:pPr>
          </w:p>
        </w:tc>
        <w:tc>
          <w:tcPr>
            <w:tcW w:w="12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b w:val="1"/>
                <w:bCs w:val="1"/>
                <w:color w:val="auto"/>
                <w:w w:val="87"/>
              </w:rPr>
              <w:t>recognition</w:t>
            </w:r>
          </w:p>
        </w:tc>
        <w:tc>
          <w:tcPr>
            <w:tcW w:w="0" w:type="dxa"/>
            <w:vAlign w:val="bottom"/>
          </w:tcPr>
          <w:p>
            <w:pPr>
              <w:spacing w:after="0"/>
              <w:rPr>
                <w:sz w:val="1"/>
                <w:szCs w:val="1"/>
                <w:color w:val="auto"/>
              </w:rPr>
            </w:pPr>
          </w:p>
        </w:tc>
      </w:tr>
      <w:tr>
        <w:trPr>
          <w:trHeight w:val="94"/>
        </w:trPr>
        <w:tc>
          <w:tcPr>
            <w:tcW w:w="1020" w:type="dxa"/>
            <w:vAlign w:val="bottom"/>
            <w:tcBorders>
              <w:left w:val="single" w:sz="8" w:color="auto"/>
              <w:right w:val="single" w:sz="8" w:color="auto"/>
            </w:tcBorders>
            <w:vMerge w:val="continue"/>
          </w:tcPr>
          <w:p>
            <w:pPr>
              <w:spacing w:after="0"/>
              <w:rPr>
                <w:sz w:val="8"/>
                <w:szCs w:val="8"/>
                <w:color w:val="auto"/>
              </w:rPr>
            </w:pPr>
          </w:p>
        </w:tc>
        <w:tc>
          <w:tcPr>
            <w:tcW w:w="10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b w:val="1"/>
                <w:bCs w:val="1"/>
                <w:color w:val="auto"/>
                <w:w w:val="90"/>
              </w:rPr>
              <w:t>unfinished</w:t>
            </w:r>
          </w:p>
        </w:tc>
        <w:tc>
          <w:tcPr>
            <w:tcW w:w="880" w:type="dxa"/>
            <w:vAlign w:val="bottom"/>
            <w:tcBorders>
              <w:right w:val="single" w:sz="8" w:color="auto"/>
            </w:tcBorders>
            <w:vMerge w:val="continue"/>
          </w:tcPr>
          <w:p>
            <w:pPr>
              <w:spacing w:after="0"/>
              <w:rPr>
                <w:sz w:val="8"/>
                <w:szCs w:val="8"/>
                <w:color w:val="auto"/>
              </w:rPr>
            </w:pPr>
          </w:p>
        </w:tc>
        <w:tc>
          <w:tcPr>
            <w:tcW w:w="140" w:type="dxa"/>
            <w:vAlign w:val="bottom"/>
          </w:tcPr>
          <w:p>
            <w:pPr>
              <w:spacing w:after="0"/>
              <w:rPr>
                <w:sz w:val="8"/>
                <w:szCs w:val="8"/>
                <w:color w:val="auto"/>
              </w:rPr>
            </w:pPr>
          </w:p>
        </w:tc>
        <w:tc>
          <w:tcPr>
            <w:tcW w:w="760" w:type="dxa"/>
            <w:vAlign w:val="bottom"/>
            <w:tcBorders>
              <w:right w:val="single" w:sz="8" w:color="auto"/>
            </w:tcBorders>
            <w:vMerge w:val="restart"/>
          </w:tcPr>
          <w:p>
            <w:pPr>
              <w:jc w:val="center"/>
              <w:ind w:right="70"/>
              <w:spacing w:after="0"/>
              <w:rPr>
                <w:sz w:val="20"/>
                <w:szCs w:val="20"/>
                <w:color w:val="auto"/>
              </w:rPr>
            </w:pPr>
            <w:r>
              <w:rPr>
                <w:rFonts w:ascii="Arial" w:cs="Arial" w:eastAsia="Arial" w:hAnsi="Arial"/>
                <w:sz w:val="18"/>
                <w:szCs w:val="18"/>
                <w:b w:val="1"/>
                <w:bCs w:val="1"/>
                <w:color w:val="auto"/>
                <w:w w:val="94"/>
              </w:rPr>
              <w:t>Output</w:t>
            </w:r>
          </w:p>
        </w:tc>
        <w:tc>
          <w:tcPr>
            <w:tcW w:w="8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b w:val="1"/>
                <w:bCs w:val="1"/>
                <w:color w:val="auto"/>
                <w:w w:val="90"/>
              </w:rPr>
              <w:t>unfinished</w:t>
            </w:r>
          </w:p>
        </w:tc>
        <w:tc>
          <w:tcPr>
            <w:tcW w:w="900" w:type="dxa"/>
            <w:vAlign w:val="bottom"/>
            <w:tcBorders>
              <w:right w:val="single" w:sz="8" w:color="auto"/>
            </w:tcBorders>
            <w:vMerge w:val="continue"/>
          </w:tcPr>
          <w:p>
            <w:pPr>
              <w:spacing w:after="0"/>
              <w:rPr>
                <w:sz w:val="8"/>
                <w:szCs w:val="8"/>
                <w:color w:val="auto"/>
              </w:rPr>
            </w:pPr>
          </w:p>
        </w:tc>
        <w:tc>
          <w:tcPr>
            <w:tcW w:w="8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b w:val="1"/>
                <w:bCs w:val="1"/>
                <w:color w:val="auto"/>
                <w:w w:val="94"/>
              </w:rPr>
              <w:t>Output</w:t>
            </w:r>
          </w:p>
        </w:tc>
        <w:tc>
          <w:tcPr>
            <w:tcW w:w="9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b w:val="1"/>
                <w:bCs w:val="1"/>
                <w:color w:val="auto"/>
                <w:w w:val="87"/>
              </w:rPr>
              <w:t>unfinished</w:t>
            </w:r>
          </w:p>
        </w:tc>
        <w:tc>
          <w:tcPr>
            <w:tcW w:w="880" w:type="dxa"/>
            <w:vAlign w:val="bottom"/>
            <w:tcBorders>
              <w:right w:val="single" w:sz="8" w:color="auto"/>
            </w:tcBorders>
            <w:vMerge w:val="continue"/>
          </w:tcPr>
          <w:p>
            <w:pPr>
              <w:spacing w:after="0"/>
              <w:rPr>
                <w:sz w:val="8"/>
                <w:szCs w:val="8"/>
                <w:color w:val="auto"/>
              </w:rPr>
            </w:pPr>
          </w:p>
        </w:tc>
        <w:tc>
          <w:tcPr>
            <w:tcW w:w="880" w:type="dxa"/>
            <w:vAlign w:val="bottom"/>
            <w:tcBorders>
              <w:right w:val="single" w:sz="8" w:color="auto"/>
            </w:tcBorders>
            <w:vMerge w:val="restart"/>
          </w:tcPr>
          <w:p>
            <w:pPr>
              <w:ind w:left="140"/>
              <w:spacing w:after="0"/>
              <w:rPr>
                <w:sz w:val="20"/>
                <w:szCs w:val="20"/>
                <w:color w:val="auto"/>
              </w:rPr>
            </w:pPr>
            <w:r>
              <w:rPr>
                <w:rFonts w:ascii="Arial" w:cs="Arial" w:eastAsia="Arial" w:hAnsi="Arial"/>
                <w:sz w:val="18"/>
                <w:szCs w:val="18"/>
                <w:b w:val="1"/>
                <w:bCs w:val="1"/>
                <w:color w:val="auto"/>
              </w:rPr>
              <w:t>Output</w:t>
            </w:r>
          </w:p>
        </w:tc>
        <w:tc>
          <w:tcPr>
            <w:tcW w:w="8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b w:val="1"/>
                <w:bCs w:val="1"/>
                <w:color w:val="auto"/>
                <w:w w:val="87"/>
              </w:rPr>
              <w:t>unfinished</w:t>
            </w:r>
          </w:p>
        </w:tc>
        <w:tc>
          <w:tcPr>
            <w:tcW w:w="1220" w:type="dxa"/>
            <w:vAlign w:val="bottom"/>
            <w:tcBorders>
              <w:right w:val="single" w:sz="8" w:color="auto"/>
            </w:tcBorders>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94"/>
        </w:trPr>
        <w:tc>
          <w:tcPr>
            <w:tcW w:w="1020" w:type="dxa"/>
            <w:vAlign w:val="bottom"/>
            <w:tcBorders>
              <w:left w:val="single" w:sz="8" w:color="auto"/>
              <w:right w:val="single" w:sz="8" w:color="auto"/>
            </w:tcBorders>
          </w:tcPr>
          <w:p>
            <w:pPr>
              <w:spacing w:after="0"/>
              <w:rPr>
                <w:sz w:val="16"/>
                <w:szCs w:val="16"/>
                <w:color w:val="auto"/>
              </w:rPr>
            </w:pPr>
          </w:p>
        </w:tc>
        <w:tc>
          <w:tcPr>
            <w:tcW w:w="1020" w:type="dxa"/>
            <w:vAlign w:val="bottom"/>
            <w:tcBorders>
              <w:right w:val="single" w:sz="8" w:color="auto"/>
            </w:tcBorders>
            <w:vMerge w:val="continue"/>
          </w:tcPr>
          <w:p>
            <w:pPr>
              <w:spacing w:after="0"/>
              <w:rPr>
                <w:sz w:val="16"/>
                <w:szCs w:val="16"/>
                <w:color w:val="auto"/>
              </w:rPr>
            </w:pPr>
          </w:p>
        </w:tc>
        <w:tc>
          <w:tcPr>
            <w:tcW w:w="880" w:type="dxa"/>
            <w:vAlign w:val="bottom"/>
            <w:tcBorders>
              <w:right w:val="single" w:sz="8" w:color="auto"/>
            </w:tcBorders>
          </w:tcPr>
          <w:p>
            <w:pPr>
              <w:jc w:val="center"/>
              <w:spacing w:after="0" w:line="194" w:lineRule="exact"/>
              <w:rPr>
                <w:sz w:val="20"/>
                <w:szCs w:val="20"/>
                <w:color w:val="auto"/>
              </w:rPr>
            </w:pPr>
            <w:r>
              <w:rPr>
                <w:rFonts w:ascii="Arial" w:cs="Arial" w:eastAsia="Arial" w:hAnsi="Arial"/>
                <w:sz w:val="18"/>
                <w:szCs w:val="18"/>
                <w:b w:val="1"/>
                <w:bCs w:val="1"/>
                <w:color w:val="auto"/>
                <w:w w:val="89"/>
              </w:rPr>
              <w:t>production</w:t>
            </w:r>
          </w:p>
        </w:tc>
        <w:tc>
          <w:tcPr>
            <w:tcW w:w="140" w:type="dxa"/>
            <w:vAlign w:val="bottom"/>
          </w:tcPr>
          <w:p>
            <w:pPr>
              <w:spacing w:after="0"/>
              <w:rPr>
                <w:sz w:val="16"/>
                <w:szCs w:val="16"/>
                <w:color w:val="auto"/>
              </w:rPr>
            </w:pPr>
          </w:p>
        </w:tc>
        <w:tc>
          <w:tcPr>
            <w:tcW w:w="760" w:type="dxa"/>
            <w:vAlign w:val="bottom"/>
            <w:tcBorders>
              <w:right w:val="single" w:sz="8" w:color="auto"/>
            </w:tcBorders>
            <w:vMerge w:val="continue"/>
          </w:tcPr>
          <w:p>
            <w:pPr>
              <w:spacing w:after="0"/>
              <w:rPr>
                <w:sz w:val="16"/>
                <w:szCs w:val="16"/>
                <w:color w:val="auto"/>
              </w:rPr>
            </w:pPr>
          </w:p>
        </w:tc>
        <w:tc>
          <w:tcPr>
            <w:tcW w:w="880" w:type="dxa"/>
            <w:vAlign w:val="bottom"/>
            <w:tcBorders>
              <w:right w:val="single" w:sz="8" w:color="auto"/>
            </w:tcBorders>
            <w:vMerge w:val="continue"/>
          </w:tcPr>
          <w:p>
            <w:pPr>
              <w:spacing w:after="0"/>
              <w:rPr>
                <w:sz w:val="16"/>
                <w:szCs w:val="16"/>
                <w:color w:val="auto"/>
              </w:rPr>
            </w:pPr>
          </w:p>
        </w:tc>
        <w:tc>
          <w:tcPr>
            <w:tcW w:w="900" w:type="dxa"/>
            <w:vAlign w:val="bottom"/>
            <w:tcBorders>
              <w:right w:val="single" w:sz="8" w:color="auto"/>
            </w:tcBorders>
          </w:tcPr>
          <w:p>
            <w:pPr>
              <w:jc w:val="center"/>
              <w:spacing w:after="0" w:line="194" w:lineRule="exact"/>
              <w:rPr>
                <w:sz w:val="20"/>
                <w:szCs w:val="20"/>
                <w:color w:val="auto"/>
              </w:rPr>
            </w:pPr>
            <w:r>
              <w:rPr>
                <w:rFonts w:ascii="Arial" w:cs="Arial" w:eastAsia="Arial" w:hAnsi="Arial"/>
                <w:sz w:val="18"/>
                <w:szCs w:val="18"/>
                <w:b w:val="1"/>
                <w:bCs w:val="1"/>
                <w:color w:val="auto"/>
                <w:w w:val="89"/>
              </w:rPr>
              <w:t>production</w:t>
            </w:r>
          </w:p>
        </w:tc>
        <w:tc>
          <w:tcPr>
            <w:tcW w:w="880" w:type="dxa"/>
            <w:vAlign w:val="bottom"/>
            <w:tcBorders>
              <w:right w:val="single" w:sz="8" w:color="auto"/>
            </w:tcBorders>
            <w:vMerge w:val="continue"/>
          </w:tcPr>
          <w:p>
            <w:pPr>
              <w:spacing w:after="0"/>
              <w:rPr>
                <w:sz w:val="16"/>
                <w:szCs w:val="16"/>
                <w:color w:val="auto"/>
              </w:rPr>
            </w:pPr>
          </w:p>
        </w:tc>
        <w:tc>
          <w:tcPr>
            <w:tcW w:w="900" w:type="dxa"/>
            <w:vAlign w:val="bottom"/>
            <w:tcBorders>
              <w:right w:val="single" w:sz="8" w:color="auto"/>
            </w:tcBorders>
            <w:vMerge w:val="continue"/>
          </w:tcPr>
          <w:p>
            <w:pPr>
              <w:spacing w:after="0"/>
              <w:rPr>
                <w:sz w:val="16"/>
                <w:szCs w:val="16"/>
                <w:color w:val="auto"/>
              </w:rPr>
            </w:pPr>
          </w:p>
        </w:tc>
        <w:tc>
          <w:tcPr>
            <w:tcW w:w="880" w:type="dxa"/>
            <w:vAlign w:val="bottom"/>
            <w:tcBorders>
              <w:right w:val="single" w:sz="8" w:color="auto"/>
            </w:tcBorders>
          </w:tcPr>
          <w:p>
            <w:pPr>
              <w:jc w:val="center"/>
              <w:spacing w:after="0" w:line="194" w:lineRule="exact"/>
              <w:rPr>
                <w:sz w:val="20"/>
                <w:szCs w:val="20"/>
                <w:color w:val="auto"/>
              </w:rPr>
            </w:pPr>
            <w:r>
              <w:rPr>
                <w:rFonts w:ascii="Arial" w:cs="Arial" w:eastAsia="Arial" w:hAnsi="Arial"/>
                <w:sz w:val="18"/>
                <w:szCs w:val="18"/>
                <w:b w:val="1"/>
                <w:bCs w:val="1"/>
                <w:color w:val="auto"/>
                <w:w w:val="89"/>
              </w:rPr>
              <w:t>production</w:t>
            </w:r>
          </w:p>
        </w:tc>
        <w:tc>
          <w:tcPr>
            <w:tcW w:w="880" w:type="dxa"/>
            <w:vAlign w:val="bottom"/>
            <w:tcBorders>
              <w:right w:val="single" w:sz="8" w:color="auto"/>
            </w:tcBorders>
            <w:vMerge w:val="continue"/>
          </w:tcPr>
          <w:p>
            <w:pPr>
              <w:spacing w:after="0"/>
              <w:rPr>
                <w:sz w:val="16"/>
                <w:szCs w:val="16"/>
                <w:color w:val="auto"/>
              </w:rPr>
            </w:pPr>
          </w:p>
        </w:tc>
        <w:tc>
          <w:tcPr>
            <w:tcW w:w="880" w:type="dxa"/>
            <w:vAlign w:val="bottom"/>
            <w:tcBorders>
              <w:right w:val="single" w:sz="8" w:color="auto"/>
            </w:tcBorders>
            <w:vMerge w:val="continue"/>
          </w:tcPr>
          <w:p>
            <w:pPr>
              <w:spacing w:after="0"/>
              <w:rPr>
                <w:sz w:val="16"/>
                <w:szCs w:val="16"/>
                <w:color w:val="auto"/>
              </w:rPr>
            </w:pPr>
          </w:p>
        </w:tc>
        <w:tc>
          <w:tcPr>
            <w:tcW w:w="1220" w:type="dxa"/>
            <w:vAlign w:val="bottom"/>
            <w:tcBorders>
              <w:right w:val="single" w:sz="8" w:color="auto"/>
            </w:tcBorders>
          </w:tcPr>
          <w:p>
            <w:pPr>
              <w:jc w:val="center"/>
              <w:spacing w:after="0" w:line="194" w:lineRule="exact"/>
              <w:rPr>
                <w:sz w:val="20"/>
                <w:szCs w:val="20"/>
                <w:color w:val="auto"/>
              </w:rPr>
            </w:pPr>
            <w:r>
              <w:rPr>
                <w:rFonts w:ascii="Arial" w:cs="Arial" w:eastAsia="Arial" w:hAnsi="Arial"/>
                <w:sz w:val="18"/>
                <w:szCs w:val="18"/>
                <w:b w:val="1"/>
                <w:bCs w:val="1"/>
                <w:color w:val="auto"/>
                <w:w w:val="91"/>
              </w:rPr>
              <w:t>time</w:t>
            </w:r>
          </w:p>
        </w:tc>
        <w:tc>
          <w:tcPr>
            <w:tcW w:w="0" w:type="dxa"/>
            <w:vAlign w:val="bottom"/>
          </w:tcPr>
          <w:p>
            <w:pPr>
              <w:spacing w:after="0"/>
              <w:rPr>
                <w:sz w:val="1"/>
                <w:szCs w:val="1"/>
                <w:color w:val="auto"/>
              </w:rPr>
            </w:pPr>
          </w:p>
        </w:tc>
      </w:tr>
      <w:tr>
        <w:trPr>
          <w:trHeight w:val="169"/>
        </w:trPr>
        <w:tc>
          <w:tcPr>
            <w:tcW w:w="1020" w:type="dxa"/>
            <w:vAlign w:val="bottom"/>
            <w:tcBorders>
              <w:left w:val="single" w:sz="8" w:color="auto"/>
              <w:bottom w:val="single" w:sz="8" w:color="auto"/>
              <w:right w:val="single" w:sz="8" w:color="auto"/>
            </w:tcBorders>
          </w:tcPr>
          <w:p>
            <w:pPr>
              <w:spacing w:after="0"/>
              <w:rPr>
                <w:sz w:val="14"/>
                <w:szCs w:val="14"/>
                <w:color w:val="auto"/>
              </w:rPr>
            </w:pPr>
          </w:p>
        </w:tc>
        <w:tc>
          <w:tcPr>
            <w:tcW w:w="1020" w:type="dxa"/>
            <w:vAlign w:val="bottom"/>
            <w:tcBorders>
              <w:bottom w:val="single" w:sz="8" w:color="auto"/>
              <w:right w:val="single" w:sz="8" w:color="auto"/>
            </w:tcBorders>
          </w:tcPr>
          <w:p>
            <w:pPr>
              <w:jc w:val="center"/>
              <w:spacing w:after="0" w:line="162" w:lineRule="exact"/>
              <w:rPr>
                <w:sz w:val="20"/>
                <w:szCs w:val="20"/>
                <w:color w:val="auto"/>
              </w:rPr>
            </w:pPr>
            <w:r>
              <w:rPr>
                <w:rFonts w:ascii="Arial" w:cs="Arial" w:eastAsia="Arial" w:hAnsi="Arial"/>
                <w:sz w:val="18"/>
                <w:szCs w:val="18"/>
                <w:b w:val="1"/>
                <w:bCs w:val="1"/>
                <w:color w:val="auto"/>
                <w:w w:val="81"/>
              </w:rPr>
              <w:t>goods</w:t>
            </w:r>
          </w:p>
        </w:tc>
        <w:tc>
          <w:tcPr>
            <w:tcW w:w="880" w:type="dxa"/>
            <w:vAlign w:val="bottom"/>
            <w:tcBorders>
              <w:bottom w:val="single" w:sz="8" w:color="auto"/>
              <w:right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760" w:type="dxa"/>
            <w:vAlign w:val="bottom"/>
            <w:tcBorders>
              <w:bottom w:val="single" w:sz="8" w:color="auto"/>
              <w:right w:val="single" w:sz="8" w:color="auto"/>
            </w:tcBorders>
          </w:tcPr>
          <w:p>
            <w:pPr>
              <w:spacing w:after="0"/>
              <w:rPr>
                <w:sz w:val="14"/>
                <w:szCs w:val="14"/>
                <w:color w:val="auto"/>
              </w:rPr>
            </w:pPr>
          </w:p>
        </w:tc>
        <w:tc>
          <w:tcPr>
            <w:tcW w:w="880" w:type="dxa"/>
            <w:vAlign w:val="bottom"/>
            <w:tcBorders>
              <w:bottom w:val="single" w:sz="8" w:color="auto"/>
              <w:right w:val="single" w:sz="8" w:color="auto"/>
            </w:tcBorders>
          </w:tcPr>
          <w:p>
            <w:pPr>
              <w:jc w:val="center"/>
              <w:spacing w:after="0" w:line="162" w:lineRule="exact"/>
              <w:rPr>
                <w:sz w:val="20"/>
                <w:szCs w:val="20"/>
                <w:color w:val="auto"/>
              </w:rPr>
            </w:pPr>
            <w:r>
              <w:rPr>
                <w:rFonts w:ascii="Arial" w:cs="Arial" w:eastAsia="Arial" w:hAnsi="Arial"/>
                <w:sz w:val="18"/>
                <w:szCs w:val="18"/>
                <w:b w:val="1"/>
                <w:bCs w:val="1"/>
                <w:color w:val="auto"/>
                <w:w w:val="81"/>
              </w:rPr>
              <w:t>goods</w:t>
            </w:r>
          </w:p>
        </w:tc>
        <w:tc>
          <w:tcPr>
            <w:tcW w:w="900" w:type="dxa"/>
            <w:vAlign w:val="bottom"/>
            <w:tcBorders>
              <w:bottom w:val="single" w:sz="8" w:color="auto"/>
              <w:right w:val="single" w:sz="8" w:color="auto"/>
            </w:tcBorders>
          </w:tcPr>
          <w:p>
            <w:pPr>
              <w:spacing w:after="0"/>
              <w:rPr>
                <w:sz w:val="14"/>
                <w:szCs w:val="14"/>
                <w:color w:val="auto"/>
              </w:rPr>
            </w:pPr>
          </w:p>
        </w:tc>
        <w:tc>
          <w:tcPr>
            <w:tcW w:w="880" w:type="dxa"/>
            <w:vAlign w:val="bottom"/>
            <w:tcBorders>
              <w:bottom w:val="single" w:sz="8" w:color="auto"/>
              <w:right w:val="single" w:sz="8" w:color="auto"/>
            </w:tcBorders>
          </w:tcPr>
          <w:p>
            <w:pPr>
              <w:spacing w:after="0"/>
              <w:rPr>
                <w:sz w:val="14"/>
                <w:szCs w:val="14"/>
                <w:color w:val="auto"/>
              </w:rPr>
            </w:pPr>
          </w:p>
        </w:tc>
        <w:tc>
          <w:tcPr>
            <w:tcW w:w="900" w:type="dxa"/>
            <w:vAlign w:val="bottom"/>
            <w:tcBorders>
              <w:bottom w:val="single" w:sz="8" w:color="auto"/>
              <w:right w:val="single" w:sz="8" w:color="auto"/>
            </w:tcBorders>
          </w:tcPr>
          <w:p>
            <w:pPr>
              <w:jc w:val="center"/>
              <w:spacing w:after="0" w:line="162" w:lineRule="exact"/>
              <w:rPr>
                <w:sz w:val="20"/>
                <w:szCs w:val="20"/>
                <w:color w:val="auto"/>
              </w:rPr>
            </w:pPr>
            <w:r>
              <w:rPr>
                <w:rFonts w:ascii="Arial" w:cs="Arial" w:eastAsia="Arial" w:hAnsi="Arial"/>
                <w:sz w:val="18"/>
                <w:szCs w:val="18"/>
                <w:b w:val="1"/>
                <w:bCs w:val="1"/>
                <w:color w:val="auto"/>
                <w:w w:val="81"/>
              </w:rPr>
              <w:t>goods</w:t>
            </w:r>
          </w:p>
        </w:tc>
        <w:tc>
          <w:tcPr>
            <w:tcW w:w="880" w:type="dxa"/>
            <w:vAlign w:val="bottom"/>
            <w:tcBorders>
              <w:bottom w:val="single" w:sz="8" w:color="auto"/>
              <w:right w:val="single" w:sz="8" w:color="auto"/>
            </w:tcBorders>
          </w:tcPr>
          <w:p>
            <w:pPr>
              <w:spacing w:after="0"/>
              <w:rPr>
                <w:sz w:val="14"/>
                <w:szCs w:val="14"/>
                <w:color w:val="auto"/>
              </w:rPr>
            </w:pPr>
          </w:p>
        </w:tc>
        <w:tc>
          <w:tcPr>
            <w:tcW w:w="880" w:type="dxa"/>
            <w:vAlign w:val="bottom"/>
            <w:tcBorders>
              <w:bottom w:val="single" w:sz="8" w:color="auto"/>
              <w:right w:val="single" w:sz="8" w:color="auto"/>
            </w:tcBorders>
          </w:tcPr>
          <w:p>
            <w:pPr>
              <w:spacing w:after="0"/>
              <w:rPr>
                <w:sz w:val="14"/>
                <w:szCs w:val="14"/>
                <w:color w:val="auto"/>
              </w:rPr>
            </w:pPr>
          </w:p>
        </w:tc>
        <w:tc>
          <w:tcPr>
            <w:tcW w:w="880" w:type="dxa"/>
            <w:vAlign w:val="bottom"/>
            <w:tcBorders>
              <w:bottom w:val="single" w:sz="8" w:color="auto"/>
              <w:right w:val="single" w:sz="8" w:color="auto"/>
            </w:tcBorders>
          </w:tcPr>
          <w:p>
            <w:pPr>
              <w:jc w:val="center"/>
              <w:spacing w:after="0" w:line="162" w:lineRule="exact"/>
              <w:rPr>
                <w:sz w:val="20"/>
                <w:szCs w:val="20"/>
                <w:color w:val="auto"/>
              </w:rPr>
            </w:pPr>
            <w:r>
              <w:rPr>
                <w:rFonts w:ascii="Arial" w:cs="Arial" w:eastAsia="Arial" w:hAnsi="Arial"/>
                <w:sz w:val="18"/>
                <w:szCs w:val="18"/>
                <w:b w:val="1"/>
                <w:bCs w:val="1"/>
                <w:color w:val="auto"/>
                <w:w w:val="81"/>
              </w:rPr>
              <w:t>goods</w:t>
            </w:r>
          </w:p>
        </w:tc>
        <w:tc>
          <w:tcPr>
            <w:tcW w:w="122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102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1"/>
              </w:rPr>
              <w:t>40201</w:t>
            </w:r>
          </w:p>
        </w:tc>
        <w:tc>
          <w:tcPr>
            <w:tcW w:w="1020" w:type="dxa"/>
            <w:vAlign w:val="bottom"/>
            <w:tcBorders>
              <w:bottom w:val="single" w:sz="8" w:color="auto"/>
              <w:right w:val="single" w:sz="8" w:color="auto"/>
            </w:tcBorders>
          </w:tcPr>
          <w:p>
            <w:pPr>
              <w:spacing w:after="0"/>
              <w:rPr>
                <w:sz w:val="19"/>
                <w:szCs w:val="19"/>
                <w:color w:val="auto"/>
              </w:rPr>
            </w:pPr>
          </w:p>
        </w:tc>
        <w:tc>
          <w:tcPr>
            <w:tcW w:w="8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9"/>
              </w:rPr>
              <w:t>1</w:t>
            </w:r>
          </w:p>
        </w:tc>
        <w:tc>
          <w:tcPr>
            <w:tcW w:w="140" w:type="dxa"/>
            <w:vAlign w:val="bottom"/>
            <w:tcBorders>
              <w:bottom w:val="single" w:sz="8" w:color="auto"/>
            </w:tcBorders>
          </w:tcPr>
          <w:p>
            <w:pPr>
              <w:spacing w:after="0"/>
              <w:rPr>
                <w:sz w:val="19"/>
                <w:szCs w:val="19"/>
                <w:color w:val="auto"/>
              </w:rPr>
            </w:pPr>
          </w:p>
        </w:tc>
        <w:tc>
          <w:tcPr>
            <w:tcW w:w="760" w:type="dxa"/>
            <w:vAlign w:val="bottom"/>
            <w:tcBorders>
              <w:bottom w:val="single" w:sz="8" w:color="auto"/>
              <w:right w:val="single" w:sz="8" w:color="auto"/>
            </w:tcBorders>
          </w:tcPr>
          <w:p>
            <w:pPr>
              <w:jc w:val="center"/>
              <w:ind w:right="70"/>
              <w:spacing w:after="0"/>
              <w:rPr>
                <w:sz w:val="20"/>
                <w:szCs w:val="20"/>
                <w:color w:val="auto"/>
              </w:rPr>
            </w:pPr>
            <w:r>
              <w:rPr>
                <w:rFonts w:ascii="Arial" w:cs="Arial" w:eastAsia="Arial" w:hAnsi="Arial"/>
                <w:sz w:val="18"/>
                <w:szCs w:val="18"/>
                <w:color w:val="auto"/>
                <w:w w:val="79"/>
              </w:rPr>
              <w:t>1</w:t>
            </w:r>
          </w:p>
        </w:tc>
        <w:tc>
          <w:tcPr>
            <w:tcW w:w="880" w:type="dxa"/>
            <w:vAlign w:val="bottom"/>
            <w:tcBorders>
              <w:bottom w:val="single" w:sz="8" w:color="auto"/>
              <w:right w:val="single" w:sz="8" w:color="auto"/>
            </w:tcBorders>
          </w:tcPr>
          <w:p>
            <w:pPr>
              <w:spacing w:after="0"/>
              <w:rPr>
                <w:sz w:val="19"/>
                <w:szCs w:val="19"/>
                <w:color w:val="auto"/>
              </w:rPr>
            </w:pPr>
          </w:p>
        </w:tc>
        <w:tc>
          <w:tcPr>
            <w:tcW w:w="900" w:type="dxa"/>
            <w:vAlign w:val="bottom"/>
            <w:tcBorders>
              <w:bottom w:val="single" w:sz="8" w:color="auto"/>
              <w:right w:val="single" w:sz="8" w:color="auto"/>
            </w:tcBorders>
          </w:tcPr>
          <w:p>
            <w:pPr>
              <w:spacing w:after="0"/>
              <w:rPr>
                <w:sz w:val="19"/>
                <w:szCs w:val="19"/>
                <w:color w:val="auto"/>
              </w:rPr>
            </w:pPr>
          </w:p>
        </w:tc>
        <w:tc>
          <w:tcPr>
            <w:tcW w:w="880" w:type="dxa"/>
            <w:vAlign w:val="bottom"/>
            <w:tcBorders>
              <w:bottom w:val="single" w:sz="8" w:color="auto"/>
              <w:right w:val="single" w:sz="8" w:color="auto"/>
            </w:tcBorders>
          </w:tcPr>
          <w:p>
            <w:pPr>
              <w:spacing w:after="0"/>
              <w:rPr>
                <w:sz w:val="19"/>
                <w:szCs w:val="19"/>
                <w:color w:val="auto"/>
              </w:rPr>
            </w:pPr>
          </w:p>
        </w:tc>
        <w:tc>
          <w:tcPr>
            <w:tcW w:w="900" w:type="dxa"/>
            <w:vAlign w:val="bottom"/>
            <w:tcBorders>
              <w:bottom w:val="single" w:sz="8" w:color="auto"/>
              <w:right w:val="single" w:sz="8" w:color="auto"/>
            </w:tcBorders>
          </w:tcPr>
          <w:p>
            <w:pPr>
              <w:spacing w:after="0"/>
              <w:rPr>
                <w:sz w:val="19"/>
                <w:szCs w:val="19"/>
                <w:color w:val="auto"/>
              </w:rPr>
            </w:pPr>
          </w:p>
        </w:tc>
        <w:tc>
          <w:tcPr>
            <w:tcW w:w="880" w:type="dxa"/>
            <w:vAlign w:val="bottom"/>
            <w:tcBorders>
              <w:bottom w:val="single" w:sz="8" w:color="auto"/>
              <w:right w:val="single" w:sz="8" w:color="auto"/>
            </w:tcBorders>
          </w:tcPr>
          <w:p>
            <w:pPr>
              <w:spacing w:after="0"/>
              <w:rPr>
                <w:sz w:val="19"/>
                <w:szCs w:val="19"/>
                <w:color w:val="auto"/>
              </w:rPr>
            </w:pPr>
          </w:p>
        </w:tc>
        <w:tc>
          <w:tcPr>
            <w:tcW w:w="880" w:type="dxa"/>
            <w:vAlign w:val="bottom"/>
            <w:tcBorders>
              <w:bottom w:val="single" w:sz="8" w:color="auto"/>
              <w:right w:val="single" w:sz="8" w:color="auto"/>
            </w:tcBorders>
          </w:tcPr>
          <w:p>
            <w:pPr>
              <w:spacing w:after="0"/>
              <w:rPr>
                <w:sz w:val="19"/>
                <w:szCs w:val="19"/>
                <w:color w:val="auto"/>
              </w:rPr>
            </w:pPr>
          </w:p>
        </w:tc>
        <w:tc>
          <w:tcPr>
            <w:tcW w:w="880" w:type="dxa"/>
            <w:vAlign w:val="bottom"/>
            <w:tcBorders>
              <w:bottom w:val="single" w:sz="8" w:color="auto"/>
              <w:right w:val="single" w:sz="8" w:color="auto"/>
            </w:tcBorders>
          </w:tcPr>
          <w:p>
            <w:pPr>
              <w:spacing w:after="0"/>
              <w:rPr>
                <w:sz w:val="19"/>
                <w:szCs w:val="19"/>
                <w:color w:val="auto"/>
              </w:rPr>
            </w:pPr>
          </w:p>
        </w:tc>
        <w:tc>
          <w:tcPr>
            <w:tcW w:w="12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9"/>
              </w:rPr>
              <w:t>2018</w:t>
            </w:r>
          </w:p>
        </w:tc>
        <w:tc>
          <w:tcPr>
            <w:tcW w:w="0" w:type="dxa"/>
            <w:vAlign w:val="bottom"/>
          </w:tcPr>
          <w:p>
            <w:pPr>
              <w:spacing w:after="0"/>
              <w:rPr>
                <w:sz w:val="1"/>
                <w:szCs w:val="1"/>
                <w:color w:val="auto"/>
              </w:rPr>
            </w:pPr>
          </w:p>
        </w:tc>
      </w:tr>
      <w:tr>
        <w:trPr>
          <w:trHeight w:val="223"/>
        </w:trPr>
        <w:tc>
          <w:tcPr>
            <w:tcW w:w="102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1"/>
              </w:rPr>
              <w:t>40202</w:t>
            </w:r>
          </w:p>
        </w:tc>
        <w:tc>
          <w:tcPr>
            <w:tcW w:w="1020" w:type="dxa"/>
            <w:vAlign w:val="bottom"/>
            <w:tcBorders>
              <w:bottom w:val="single" w:sz="8" w:color="auto"/>
              <w:right w:val="single" w:sz="8" w:color="auto"/>
            </w:tcBorders>
          </w:tcPr>
          <w:p>
            <w:pPr>
              <w:spacing w:after="0"/>
              <w:rPr>
                <w:sz w:val="19"/>
                <w:szCs w:val="19"/>
                <w:color w:val="auto"/>
              </w:rPr>
            </w:pPr>
          </w:p>
        </w:tc>
        <w:tc>
          <w:tcPr>
            <w:tcW w:w="880" w:type="dxa"/>
            <w:vAlign w:val="bottom"/>
            <w:tcBorders>
              <w:bottom w:val="single" w:sz="8" w:color="auto"/>
              <w:right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760" w:type="dxa"/>
            <w:vAlign w:val="bottom"/>
            <w:tcBorders>
              <w:bottom w:val="single" w:sz="8" w:color="auto"/>
              <w:right w:val="single" w:sz="8" w:color="auto"/>
            </w:tcBorders>
          </w:tcPr>
          <w:p>
            <w:pPr>
              <w:spacing w:after="0"/>
              <w:rPr>
                <w:sz w:val="19"/>
                <w:szCs w:val="19"/>
                <w:color w:val="auto"/>
              </w:rPr>
            </w:pPr>
          </w:p>
        </w:tc>
        <w:tc>
          <w:tcPr>
            <w:tcW w:w="880" w:type="dxa"/>
            <w:vAlign w:val="bottom"/>
            <w:tcBorders>
              <w:bottom w:val="single" w:sz="8" w:color="auto"/>
              <w:right w:val="single" w:sz="8" w:color="auto"/>
            </w:tcBorders>
          </w:tcPr>
          <w:p>
            <w:pPr>
              <w:spacing w:after="0"/>
              <w:rPr>
                <w:sz w:val="19"/>
                <w:szCs w:val="19"/>
                <w:color w:val="auto"/>
              </w:rPr>
            </w:pPr>
          </w:p>
        </w:tc>
        <w:tc>
          <w:tcPr>
            <w:tcW w:w="9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79"/>
              </w:rPr>
              <w:t>1</w:t>
            </w:r>
          </w:p>
        </w:tc>
        <w:tc>
          <w:tcPr>
            <w:tcW w:w="880" w:type="dxa"/>
            <w:vAlign w:val="bottom"/>
            <w:tcBorders>
              <w:bottom w:val="single" w:sz="8" w:color="auto"/>
              <w:right w:val="single" w:sz="8" w:color="auto"/>
            </w:tcBorders>
          </w:tcPr>
          <w:p>
            <w:pPr>
              <w:spacing w:after="0"/>
              <w:rPr>
                <w:sz w:val="19"/>
                <w:szCs w:val="19"/>
                <w:color w:val="auto"/>
              </w:rPr>
            </w:pPr>
          </w:p>
        </w:tc>
        <w:tc>
          <w:tcPr>
            <w:tcW w:w="9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79"/>
              </w:rPr>
              <w:t>1</w:t>
            </w:r>
          </w:p>
        </w:tc>
        <w:tc>
          <w:tcPr>
            <w:tcW w:w="880" w:type="dxa"/>
            <w:vAlign w:val="bottom"/>
            <w:tcBorders>
              <w:bottom w:val="single" w:sz="8" w:color="auto"/>
              <w:right w:val="single" w:sz="8" w:color="auto"/>
            </w:tcBorders>
          </w:tcPr>
          <w:p>
            <w:pPr>
              <w:spacing w:after="0"/>
              <w:rPr>
                <w:sz w:val="19"/>
                <w:szCs w:val="19"/>
                <w:color w:val="auto"/>
              </w:rPr>
            </w:pPr>
          </w:p>
        </w:tc>
        <w:tc>
          <w:tcPr>
            <w:tcW w:w="8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79"/>
              </w:rPr>
              <w:t>1</w:t>
            </w:r>
          </w:p>
        </w:tc>
        <w:tc>
          <w:tcPr>
            <w:tcW w:w="880" w:type="dxa"/>
            <w:vAlign w:val="bottom"/>
            <w:tcBorders>
              <w:bottom w:val="single" w:sz="8" w:color="auto"/>
              <w:right w:val="single" w:sz="8" w:color="auto"/>
            </w:tcBorders>
          </w:tcPr>
          <w:p>
            <w:pPr>
              <w:spacing w:after="0"/>
              <w:rPr>
                <w:sz w:val="19"/>
                <w:szCs w:val="19"/>
                <w:color w:val="auto"/>
              </w:rPr>
            </w:pPr>
          </w:p>
        </w:tc>
        <w:tc>
          <w:tcPr>
            <w:tcW w:w="12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9"/>
              </w:rPr>
              <w:t>2019</w:t>
            </w:r>
          </w:p>
        </w:tc>
        <w:tc>
          <w:tcPr>
            <w:tcW w:w="0" w:type="dxa"/>
            <w:vAlign w:val="bottom"/>
          </w:tcPr>
          <w:p>
            <w:pPr>
              <w:spacing w:after="0"/>
              <w:rPr>
                <w:sz w:val="1"/>
                <w:szCs w:val="1"/>
                <w:color w:val="auto"/>
              </w:rPr>
            </w:pPr>
          </w:p>
        </w:tc>
      </w:tr>
      <w:tr>
        <w:trPr>
          <w:trHeight w:val="223"/>
        </w:trPr>
        <w:tc>
          <w:tcPr>
            <w:tcW w:w="102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1"/>
              </w:rPr>
              <w:t>40203</w:t>
            </w:r>
          </w:p>
        </w:tc>
        <w:tc>
          <w:tcPr>
            <w:tcW w:w="1020" w:type="dxa"/>
            <w:vAlign w:val="bottom"/>
            <w:tcBorders>
              <w:bottom w:val="single" w:sz="8" w:color="auto"/>
              <w:right w:val="single" w:sz="8" w:color="auto"/>
            </w:tcBorders>
          </w:tcPr>
          <w:p>
            <w:pPr>
              <w:spacing w:after="0"/>
              <w:rPr>
                <w:sz w:val="19"/>
                <w:szCs w:val="19"/>
                <w:color w:val="auto"/>
              </w:rPr>
            </w:pPr>
          </w:p>
        </w:tc>
        <w:tc>
          <w:tcPr>
            <w:tcW w:w="880" w:type="dxa"/>
            <w:vAlign w:val="bottom"/>
            <w:tcBorders>
              <w:bottom w:val="single" w:sz="8" w:color="auto"/>
              <w:right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760" w:type="dxa"/>
            <w:vAlign w:val="bottom"/>
            <w:tcBorders>
              <w:bottom w:val="single" w:sz="8" w:color="auto"/>
              <w:right w:val="single" w:sz="8" w:color="auto"/>
            </w:tcBorders>
          </w:tcPr>
          <w:p>
            <w:pPr>
              <w:spacing w:after="0"/>
              <w:rPr>
                <w:sz w:val="19"/>
                <w:szCs w:val="19"/>
                <w:color w:val="auto"/>
              </w:rPr>
            </w:pPr>
          </w:p>
        </w:tc>
        <w:tc>
          <w:tcPr>
            <w:tcW w:w="880" w:type="dxa"/>
            <w:vAlign w:val="bottom"/>
            <w:tcBorders>
              <w:bottom w:val="single" w:sz="8" w:color="auto"/>
              <w:right w:val="single" w:sz="8" w:color="auto"/>
            </w:tcBorders>
          </w:tcPr>
          <w:p>
            <w:pPr>
              <w:spacing w:after="0"/>
              <w:rPr>
                <w:sz w:val="19"/>
                <w:szCs w:val="19"/>
                <w:color w:val="auto"/>
              </w:rPr>
            </w:pPr>
          </w:p>
        </w:tc>
        <w:tc>
          <w:tcPr>
            <w:tcW w:w="9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79"/>
              </w:rPr>
              <w:t>1</w:t>
            </w:r>
          </w:p>
        </w:tc>
        <w:tc>
          <w:tcPr>
            <w:tcW w:w="880" w:type="dxa"/>
            <w:vAlign w:val="bottom"/>
            <w:tcBorders>
              <w:bottom w:val="single" w:sz="8" w:color="auto"/>
              <w:right w:val="single" w:sz="8" w:color="auto"/>
            </w:tcBorders>
          </w:tcPr>
          <w:p>
            <w:pPr>
              <w:spacing w:after="0"/>
              <w:rPr>
                <w:sz w:val="19"/>
                <w:szCs w:val="19"/>
                <w:color w:val="auto"/>
              </w:rPr>
            </w:pPr>
          </w:p>
        </w:tc>
        <w:tc>
          <w:tcPr>
            <w:tcW w:w="9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79"/>
              </w:rPr>
              <w:t>1</w:t>
            </w:r>
          </w:p>
        </w:tc>
        <w:tc>
          <w:tcPr>
            <w:tcW w:w="880" w:type="dxa"/>
            <w:vAlign w:val="bottom"/>
            <w:tcBorders>
              <w:bottom w:val="single" w:sz="8" w:color="auto"/>
              <w:right w:val="single" w:sz="8" w:color="auto"/>
            </w:tcBorders>
          </w:tcPr>
          <w:p>
            <w:pPr>
              <w:spacing w:after="0"/>
              <w:rPr>
                <w:sz w:val="19"/>
                <w:szCs w:val="19"/>
                <w:color w:val="auto"/>
              </w:rPr>
            </w:pPr>
          </w:p>
        </w:tc>
        <w:tc>
          <w:tcPr>
            <w:tcW w:w="8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79"/>
              </w:rPr>
              <w:t>1</w:t>
            </w:r>
          </w:p>
        </w:tc>
        <w:tc>
          <w:tcPr>
            <w:tcW w:w="880" w:type="dxa"/>
            <w:vAlign w:val="bottom"/>
            <w:tcBorders>
              <w:bottom w:val="single" w:sz="8" w:color="auto"/>
              <w:right w:val="single" w:sz="8" w:color="auto"/>
            </w:tcBorders>
          </w:tcPr>
          <w:p>
            <w:pPr>
              <w:spacing w:after="0"/>
              <w:rPr>
                <w:sz w:val="19"/>
                <w:szCs w:val="19"/>
                <w:color w:val="auto"/>
              </w:rPr>
            </w:pPr>
          </w:p>
        </w:tc>
        <w:tc>
          <w:tcPr>
            <w:tcW w:w="12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9"/>
              </w:rPr>
              <w:t>2019</w:t>
            </w:r>
          </w:p>
        </w:tc>
        <w:tc>
          <w:tcPr>
            <w:tcW w:w="0" w:type="dxa"/>
            <w:vAlign w:val="bottom"/>
          </w:tcPr>
          <w:p>
            <w:pPr>
              <w:spacing w:after="0"/>
              <w:rPr>
                <w:sz w:val="1"/>
                <w:szCs w:val="1"/>
                <w:color w:val="auto"/>
              </w:rPr>
            </w:pPr>
          </w:p>
        </w:tc>
      </w:tr>
      <w:tr>
        <w:trPr>
          <w:trHeight w:val="223"/>
        </w:trPr>
        <w:tc>
          <w:tcPr>
            <w:tcW w:w="102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1"/>
              </w:rPr>
              <w:t>40204</w:t>
            </w:r>
          </w:p>
        </w:tc>
        <w:tc>
          <w:tcPr>
            <w:tcW w:w="1020" w:type="dxa"/>
            <w:vAlign w:val="bottom"/>
            <w:tcBorders>
              <w:bottom w:val="single" w:sz="8" w:color="auto"/>
              <w:right w:val="single" w:sz="8" w:color="auto"/>
            </w:tcBorders>
          </w:tcPr>
          <w:p>
            <w:pPr>
              <w:spacing w:after="0"/>
              <w:rPr>
                <w:sz w:val="19"/>
                <w:szCs w:val="19"/>
                <w:color w:val="auto"/>
              </w:rPr>
            </w:pPr>
          </w:p>
        </w:tc>
        <w:tc>
          <w:tcPr>
            <w:tcW w:w="880" w:type="dxa"/>
            <w:vAlign w:val="bottom"/>
            <w:tcBorders>
              <w:bottom w:val="single" w:sz="8" w:color="auto"/>
              <w:right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760" w:type="dxa"/>
            <w:vAlign w:val="bottom"/>
            <w:tcBorders>
              <w:bottom w:val="single" w:sz="8" w:color="auto"/>
              <w:right w:val="single" w:sz="8" w:color="auto"/>
            </w:tcBorders>
          </w:tcPr>
          <w:p>
            <w:pPr>
              <w:spacing w:after="0"/>
              <w:rPr>
                <w:sz w:val="19"/>
                <w:szCs w:val="19"/>
                <w:color w:val="auto"/>
              </w:rPr>
            </w:pPr>
          </w:p>
        </w:tc>
        <w:tc>
          <w:tcPr>
            <w:tcW w:w="880" w:type="dxa"/>
            <w:vAlign w:val="bottom"/>
            <w:tcBorders>
              <w:bottom w:val="single" w:sz="8" w:color="auto"/>
              <w:right w:val="single" w:sz="8" w:color="auto"/>
            </w:tcBorders>
          </w:tcPr>
          <w:p>
            <w:pPr>
              <w:spacing w:after="0"/>
              <w:rPr>
                <w:sz w:val="19"/>
                <w:szCs w:val="19"/>
                <w:color w:val="auto"/>
              </w:rPr>
            </w:pPr>
          </w:p>
        </w:tc>
        <w:tc>
          <w:tcPr>
            <w:tcW w:w="9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79"/>
              </w:rPr>
              <w:t>1</w:t>
            </w:r>
          </w:p>
        </w:tc>
        <w:tc>
          <w:tcPr>
            <w:tcW w:w="880" w:type="dxa"/>
            <w:vAlign w:val="bottom"/>
            <w:tcBorders>
              <w:bottom w:val="single" w:sz="8" w:color="auto"/>
              <w:right w:val="single" w:sz="8" w:color="auto"/>
            </w:tcBorders>
          </w:tcPr>
          <w:p>
            <w:pPr>
              <w:spacing w:after="0"/>
              <w:rPr>
                <w:sz w:val="19"/>
                <w:szCs w:val="19"/>
                <w:color w:val="auto"/>
              </w:rPr>
            </w:pPr>
          </w:p>
        </w:tc>
        <w:tc>
          <w:tcPr>
            <w:tcW w:w="9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79"/>
              </w:rPr>
              <w:t>1</w:t>
            </w:r>
          </w:p>
        </w:tc>
        <w:tc>
          <w:tcPr>
            <w:tcW w:w="880" w:type="dxa"/>
            <w:vAlign w:val="bottom"/>
            <w:tcBorders>
              <w:bottom w:val="single" w:sz="8" w:color="auto"/>
              <w:right w:val="single" w:sz="8" w:color="auto"/>
            </w:tcBorders>
          </w:tcPr>
          <w:p>
            <w:pPr>
              <w:spacing w:after="0"/>
              <w:rPr>
                <w:sz w:val="19"/>
                <w:szCs w:val="19"/>
                <w:color w:val="auto"/>
              </w:rPr>
            </w:pPr>
          </w:p>
        </w:tc>
        <w:tc>
          <w:tcPr>
            <w:tcW w:w="8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79"/>
              </w:rPr>
              <w:t>1</w:t>
            </w:r>
          </w:p>
        </w:tc>
        <w:tc>
          <w:tcPr>
            <w:tcW w:w="880" w:type="dxa"/>
            <w:vAlign w:val="bottom"/>
            <w:tcBorders>
              <w:bottom w:val="single" w:sz="8" w:color="auto"/>
              <w:right w:val="single" w:sz="8" w:color="auto"/>
            </w:tcBorders>
          </w:tcPr>
          <w:p>
            <w:pPr>
              <w:spacing w:after="0"/>
              <w:rPr>
                <w:sz w:val="19"/>
                <w:szCs w:val="19"/>
                <w:color w:val="auto"/>
              </w:rPr>
            </w:pPr>
          </w:p>
        </w:tc>
        <w:tc>
          <w:tcPr>
            <w:tcW w:w="12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9"/>
              </w:rPr>
              <w:t>2019</w:t>
            </w:r>
          </w:p>
        </w:tc>
        <w:tc>
          <w:tcPr>
            <w:tcW w:w="0" w:type="dxa"/>
            <w:vAlign w:val="bottom"/>
          </w:tcPr>
          <w:p>
            <w:pPr>
              <w:spacing w:after="0"/>
              <w:rPr>
                <w:sz w:val="1"/>
                <w:szCs w:val="1"/>
                <w:color w:val="auto"/>
              </w:rPr>
            </w:pPr>
          </w:p>
        </w:tc>
      </w:tr>
      <w:tr>
        <w:trPr>
          <w:trHeight w:val="223"/>
        </w:trPr>
        <w:tc>
          <w:tcPr>
            <w:tcW w:w="102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1"/>
              </w:rPr>
              <w:t>40205</w:t>
            </w:r>
          </w:p>
        </w:tc>
        <w:tc>
          <w:tcPr>
            <w:tcW w:w="1020" w:type="dxa"/>
            <w:vAlign w:val="bottom"/>
            <w:tcBorders>
              <w:bottom w:val="single" w:sz="8" w:color="auto"/>
              <w:right w:val="single" w:sz="8" w:color="auto"/>
            </w:tcBorders>
          </w:tcPr>
          <w:p>
            <w:pPr>
              <w:spacing w:after="0"/>
              <w:rPr>
                <w:sz w:val="19"/>
                <w:szCs w:val="19"/>
                <w:color w:val="auto"/>
              </w:rPr>
            </w:pPr>
          </w:p>
        </w:tc>
        <w:tc>
          <w:tcPr>
            <w:tcW w:w="880" w:type="dxa"/>
            <w:vAlign w:val="bottom"/>
            <w:tcBorders>
              <w:bottom w:val="single" w:sz="8" w:color="auto"/>
              <w:right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760" w:type="dxa"/>
            <w:vAlign w:val="bottom"/>
            <w:tcBorders>
              <w:bottom w:val="single" w:sz="8" w:color="auto"/>
              <w:right w:val="single" w:sz="8" w:color="auto"/>
            </w:tcBorders>
          </w:tcPr>
          <w:p>
            <w:pPr>
              <w:spacing w:after="0"/>
              <w:rPr>
                <w:sz w:val="19"/>
                <w:szCs w:val="19"/>
                <w:color w:val="auto"/>
              </w:rPr>
            </w:pPr>
          </w:p>
        </w:tc>
        <w:tc>
          <w:tcPr>
            <w:tcW w:w="880" w:type="dxa"/>
            <w:vAlign w:val="bottom"/>
            <w:tcBorders>
              <w:bottom w:val="single" w:sz="8" w:color="auto"/>
              <w:right w:val="single" w:sz="8" w:color="auto"/>
            </w:tcBorders>
          </w:tcPr>
          <w:p>
            <w:pPr>
              <w:spacing w:after="0"/>
              <w:rPr>
                <w:sz w:val="19"/>
                <w:szCs w:val="19"/>
                <w:color w:val="auto"/>
              </w:rPr>
            </w:pPr>
          </w:p>
        </w:tc>
        <w:tc>
          <w:tcPr>
            <w:tcW w:w="900" w:type="dxa"/>
            <w:vAlign w:val="bottom"/>
            <w:tcBorders>
              <w:bottom w:val="single" w:sz="8" w:color="auto"/>
              <w:right w:val="single" w:sz="8" w:color="auto"/>
            </w:tcBorders>
          </w:tcPr>
          <w:p>
            <w:pPr>
              <w:spacing w:after="0"/>
              <w:rPr>
                <w:sz w:val="19"/>
                <w:szCs w:val="19"/>
                <w:color w:val="auto"/>
              </w:rPr>
            </w:pPr>
          </w:p>
        </w:tc>
        <w:tc>
          <w:tcPr>
            <w:tcW w:w="880" w:type="dxa"/>
            <w:vAlign w:val="bottom"/>
            <w:tcBorders>
              <w:bottom w:val="single" w:sz="8" w:color="auto"/>
              <w:right w:val="single" w:sz="8" w:color="auto"/>
            </w:tcBorders>
          </w:tcPr>
          <w:p>
            <w:pPr>
              <w:spacing w:after="0"/>
              <w:rPr>
                <w:sz w:val="19"/>
                <w:szCs w:val="19"/>
                <w:color w:val="auto"/>
              </w:rPr>
            </w:pPr>
          </w:p>
        </w:tc>
        <w:tc>
          <w:tcPr>
            <w:tcW w:w="900" w:type="dxa"/>
            <w:vAlign w:val="bottom"/>
            <w:tcBorders>
              <w:bottom w:val="single" w:sz="8" w:color="auto"/>
              <w:right w:val="single" w:sz="8" w:color="auto"/>
            </w:tcBorders>
          </w:tcPr>
          <w:p>
            <w:pPr>
              <w:spacing w:after="0"/>
              <w:rPr>
                <w:sz w:val="19"/>
                <w:szCs w:val="19"/>
                <w:color w:val="auto"/>
              </w:rPr>
            </w:pPr>
          </w:p>
        </w:tc>
        <w:tc>
          <w:tcPr>
            <w:tcW w:w="8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79"/>
              </w:rPr>
              <w:t>1</w:t>
            </w:r>
          </w:p>
        </w:tc>
        <w:tc>
          <w:tcPr>
            <w:tcW w:w="8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79"/>
              </w:rPr>
              <w:t>1</w:t>
            </w:r>
          </w:p>
        </w:tc>
        <w:tc>
          <w:tcPr>
            <w:tcW w:w="880" w:type="dxa"/>
            <w:vAlign w:val="bottom"/>
            <w:tcBorders>
              <w:bottom w:val="single" w:sz="8" w:color="auto"/>
              <w:right w:val="single" w:sz="8" w:color="auto"/>
            </w:tcBorders>
          </w:tcPr>
          <w:p>
            <w:pPr>
              <w:spacing w:after="0"/>
              <w:rPr>
                <w:sz w:val="19"/>
                <w:szCs w:val="19"/>
                <w:color w:val="auto"/>
              </w:rPr>
            </w:pPr>
          </w:p>
        </w:tc>
        <w:tc>
          <w:tcPr>
            <w:tcW w:w="12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9"/>
              </w:rPr>
              <w:t>2019</w:t>
            </w:r>
          </w:p>
        </w:tc>
        <w:tc>
          <w:tcPr>
            <w:tcW w:w="0" w:type="dxa"/>
            <w:vAlign w:val="bottom"/>
          </w:tcPr>
          <w:p>
            <w:pPr>
              <w:spacing w:after="0"/>
              <w:rPr>
                <w:sz w:val="1"/>
                <w:szCs w:val="1"/>
                <w:color w:val="auto"/>
              </w:rPr>
            </w:pPr>
          </w:p>
        </w:tc>
      </w:tr>
      <w:tr>
        <w:trPr>
          <w:trHeight w:val="223"/>
        </w:trPr>
        <w:tc>
          <w:tcPr>
            <w:tcW w:w="102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1"/>
              </w:rPr>
              <w:t>40206</w:t>
            </w:r>
          </w:p>
        </w:tc>
        <w:tc>
          <w:tcPr>
            <w:tcW w:w="1020" w:type="dxa"/>
            <w:vAlign w:val="bottom"/>
            <w:tcBorders>
              <w:bottom w:val="single" w:sz="8" w:color="auto"/>
              <w:right w:val="single" w:sz="8" w:color="auto"/>
            </w:tcBorders>
          </w:tcPr>
          <w:p>
            <w:pPr>
              <w:spacing w:after="0"/>
              <w:rPr>
                <w:sz w:val="19"/>
                <w:szCs w:val="19"/>
                <w:color w:val="auto"/>
              </w:rPr>
            </w:pPr>
          </w:p>
        </w:tc>
        <w:tc>
          <w:tcPr>
            <w:tcW w:w="880" w:type="dxa"/>
            <w:vAlign w:val="bottom"/>
            <w:tcBorders>
              <w:bottom w:val="single" w:sz="8" w:color="auto"/>
              <w:right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760" w:type="dxa"/>
            <w:vAlign w:val="bottom"/>
            <w:tcBorders>
              <w:bottom w:val="single" w:sz="8" w:color="auto"/>
              <w:right w:val="single" w:sz="8" w:color="auto"/>
            </w:tcBorders>
          </w:tcPr>
          <w:p>
            <w:pPr>
              <w:spacing w:after="0"/>
              <w:rPr>
                <w:sz w:val="19"/>
                <w:szCs w:val="19"/>
                <w:color w:val="auto"/>
              </w:rPr>
            </w:pPr>
          </w:p>
        </w:tc>
        <w:tc>
          <w:tcPr>
            <w:tcW w:w="880" w:type="dxa"/>
            <w:vAlign w:val="bottom"/>
            <w:tcBorders>
              <w:bottom w:val="single" w:sz="8" w:color="auto"/>
              <w:right w:val="single" w:sz="8" w:color="auto"/>
            </w:tcBorders>
          </w:tcPr>
          <w:p>
            <w:pPr>
              <w:spacing w:after="0"/>
              <w:rPr>
                <w:sz w:val="19"/>
                <w:szCs w:val="19"/>
                <w:color w:val="auto"/>
              </w:rPr>
            </w:pPr>
          </w:p>
        </w:tc>
        <w:tc>
          <w:tcPr>
            <w:tcW w:w="900" w:type="dxa"/>
            <w:vAlign w:val="bottom"/>
            <w:tcBorders>
              <w:bottom w:val="single" w:sz="8" w:color="auto"/>
              <w:right w:val="single" w:sz="8" w:color="auto"/>
            </w:tcBorders>
          </w:tcPr>
          <w:p>
            <w:pPr>
              <w:spacing w:after="0"/>
              <w:rPr>
                <w:sz w:val="19"/>
                <w:szCs w:val="19"/>
                <w:color w:val="auto"/>
              </w:rPr>
            </w:pPr>
          </w:p>
        </w:tc>
        <w:tc>
          <w:tcPr>
            <w:tcW w:w="880" w:type="dxa"/>
            <w:vAlign w:val="bottom"/>
            <w:tcBorders>
              <w:bottom w:val="single" w:sz="8" w:color="auto"/>
              <w:right w:val="single" w:sz="8" w:color="auto"/>
            </w:tcBorders>
          </w:tcPr>
          <w:p>
            <w:pPr>
              <w:spacing w:after="0"/>
              <w:rPr>
                <w:sz w:val="19"/>
                <w:szCs w:val="19"/>
                <w:color w:val="auto"/>
              </w:rPr>
            </w:pPr>
          </w:p>
        </w:tc>
        <w:tc>
          <w:tcPr>
            <w:tcW w:w="900" w:type="dxa"/>
            <w:vAlign w:val="bottom"/>
            <w:tcBorders>
              <w:bottom w:val="single" w:sz="8" w:color="auto"/>
              <w:right w:val="single" w:sz="8" w:color="auto"/>
            </w:tcBorders>
          </w:tcPr>
          <w:p>
            <w:pPr>
              <w:spacing w:after="0"/>
              <w:rPr>
                <w:sz w:val="19"/>
                <w:szCs w:val="19"/>
                <w:color w:val="auto"/>
              </w:rPr>
            </w:pPr>
          </w:p>
        </w:tc>
        <w:tc>
          <w:tcPr>
            <w:tcW w:w="8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79"/>
              </w:rPr>
              <w:t>1</w:t>
            </w:r>
          </w:p>
        </w:tc>
        <w:tc>
          <w:tcPr>
            <w:tcW w:w="880" w:type="dxa"/>
            <w:vAlign w:val="bottom"/>
            <w:tcBorders>
              <w:bottom w:val="single" w:sz="8" w:color="auto"/>
              <w:right w:val="single" w:sz="8" w:color="auto"/>
            </w:tcBorders>
          </w:tcPr>
          <w:p>
            <w:pPr>
              <w:spacing w:after="0"/>
              <w:rPr>
                <w:sz w:val="19"/>
                <w:szCs w:val="19"/>
                <w:color w:val="auto"/>
              </w:rPr>
            </w:pPr>
          </w:p>
        </w:tc>
        <w:tc>
          <w:tcPr>
            <w:tcW w:w="8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79"/>
              </w:rPr>
              <w:t>1</w:t>
            </w:r>
          </w:p>
        </w:tc>
        <w:tc>
          <w:tcPr>
            <w:tcW w:w="1220" w:type="dxa"/>
            <w:vAlign w:val="bottom"/>
            <w:tcBorders>
              <w:bottom w:val="single" w:sz="8" w:color="auto"/>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02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1"/>
              </w:rPr>
              <w:t>40207</w:t>
            </w:r>
          </w:p>
        </w:tc>
        <w:tc>
          <w:tcPr>
            <w:tcW w:w="1020" w:type="dxa"/>
            <w:vAlign w:val="bottom"/>
            <w:tcBorders>
              <w:bottom w:val="single" w:sz="8" w:color="auto"/>
              <w:right w:val="single" w:sz="8" w:color="auto"/>
            </w:tcBorders>
          </w:tcPr>
          <w:p>
            <w:pPr>
              <w:spacing w:after="0"/>
              <w:rPr>
                <w:sz w:val="19"/>
                <w:szCs w:val="19"/>
                <w:color w:val="auto"/>
              </w:rPr>
            </w:pPr>
          </w:p>
        </w:tc>
        <w:tc>
          <w:tcPr>
            <w:tcW w:w="880" w:type="dxa"/>
            <w:vAlign w:val="bottom"/>
            <w:tcBorders>
              <w:bottom w:val="single" w:sz="8" w:color="auto"/>
              <w:right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760" w:type="dxa"/>
            <w:vAlign w:val="bottom"/>
            <w:tcBorders>
              <w:bottom w:val="single" w:sz="8" w:color="auto"/>
              <w:right w:val="single" w:sz="8" w:color="auto"/>
            </w:tcBorders>
          </w:tcPr>
          <w:p>
            <w:pPr>
              <w:spacing w:after="0"/>
              <w:rPr>
                <w:sz w:val="19"/>
                <w:szCs w:val="19"/>
                <w:color w:val="auto"/>
              </w:rPr>
            </w:pPr>
          </w:p>
        </w:tc>
        <w:tc>
          <w:tcPr>
            <w:tcW w:w="880" w:type="dxa"/>
            <w:vAlign w:val="bottom"/>
            <w:tcBorders>
              <w:bottom w:val="single" w:sz="8" w:color="auto"/>
              <w:right w:val="single" w:sz="8" w:color="auto"/>
            </w:tcBorders>
          </w:tcPr>
          <w:p>
            <w:pPr>
              <w:spacing w:after="0"/>
              <w:rPr>
                <w:sz w:val="19"/>
                <w:szCs w:val="19"/>
                <w:color w:val="auto"/>
              </w:rPr>
            </w:pPr>
          </w:p>
        </w:tc>
        <w:tc>
          <w:tcPr>
            <w:tcW w:w="900" w:type="dxa"/>
            <w:vAlign w:val="bottom"/>
            <w:tcBorders>
              <w:bottom w:val="single" w:sz="8" w:color="auto"/>
              <w:right w:val="single" w:sz="8" w:color="auto"/>
            </w:tcBorders>
          </w:tcPr>
          <w:p>
            <w:pPr>
              <w:spacing w:after="0"/>
              <w:rPr>
                <w:sz w:val="19"/>
                <w:szCs w:val="19"/>
                <w:color w:val="auto"/>
              </w:rPr>
            </w:pPr>
          </w:p>
        </w:tc>
        <w:tc>
          <w:tcPr>
            <w:tcW w:w="880" w:type="dxa"/>
            <w:vAlign w:val="bottom"/>
            <w:tcBorders>
              <w:bottom w:val="single" w:sz="8" w:color="auto"/>
              <w:right w:val="single" w:sz="8" w:color="auto"/>
            </w:tcBorders>
          </w:tcPr>
          <w:p>
            <w:pPr>
              <w:spacing w:after="0"/>
              <w:rPr>
                <w:sz w:val="19"/>
                <w:szCs w:val="19"/>
                <w:color w:val="auto"/>
              </w:rPr>
            </w:pPr>
          </w:p>
        </w:tc>
        <w:tc>
          <w:tcPr>
            <w:tcW w:w="900" w:type="dxa"/>
            <w:vAlign w:val="bottom"/>
            <w:tcBorders>
              <w:bottom w:val="single" w:sz="8" w:color="auto"/>
              <w:right w:val="single" w:sz="8" w:color="auto"/>
            </w:tcBorders>
          </w:tcPr>
          <w:p>
            <w:pPr>
              <w:spacing w:after="0"/>
              <w:rPr>
                <w:sz w:val="19"/>
                <w:szCs w:val="19"/>
                <w:color w:val="auto"/>
              </w:rPr>
            </w:pPr>
          </w:p>
        </w:tc>
        <w:tc>
          <w:tcPr>
            <w:tcW w:w="8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79"/>
              </w:rPr>
              <w:t>1</w:t>
            </w:r>
          </w:p>
        </w:tc>
        <w:tc>
          <w:tcPr>
            <w:tcW w:w="880" w:type="dxa"/>
            <w:vAlign w:val="bottom"/>
            <w:tcBorders>
              <w:bottom w:val="single" w:sz="8" w:color="auto"/>
              <w:right w:val="single" w:sz="8" w:color="auto"/>
            </w:tcBorders>
          </w:tcPr>
          <w:p>
            <w:pPr>
              <w:spacing w:after="0"/>
              <w:rPr>
                <w:sz w:val="19"/>
                <w:szCs w:val="19"/>
                <w:color w:val="auto"/>
              </w:rPr>
            </w:pPr>
          </w:p>
        </w:tc>
        <w:tc>
          <w:tcPr>
            <w:tcW w:w="8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79"/>
              </w:rPr>
              <w:t>1</w:t>
            </w:r>
          </w:p>
        </w:tc>
        <w:tc>
          <w:tcPr>
            <w:tcW w:w="1220" w:type="dxa"/>
            <w:vAlign w:val="bottom"/>
            <w:tcBorders>
              <w:bottom w:val="single" w:sz="8" w:color="auto"/>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02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1"/>
              </w:rPr>
              <w:t>40208</w:t>
            </w:r>
          </w:p>
        </w:tc>
        <w:tc>
          <w:tcPr>
            <w:tcW w:w="1020" w:type="dxa"/>
            <w:vAlign w:val="bottom"/>
            <w:tcBorders>
              <w:bottom w:val="single" w:sz="8" w:color="auto"/>
              <w:right w:val="single" w:sz="8" w:color="auto"/>
            </w:tcBorders>
          </w:tcPr>
          <w:p>
            <w:pPr>
              <w:spacing w:after="0"/>
              <w:rPr>
                <w:sz w:val="19"/>
                <w:szCs w:val="19"/>
                <w:color w:val="auto"/>
              </w:rPr>
            </w:pPr>
          </w:p>
        </w:tc>
        <w:tc>
          <w:tcPr>
            <w:tcW w:w="880" w:type="dxa"/>
            <w:vAlign w:val="bottom"/>
            <w:tcBorders>
              <w:bottom w:val="single" w:sz="8" w:color="auto"/>
              <w:right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760" w:type="dxa"/>
            <w:vAlign w:val="bottom"/>
            <w:tcBorders>
              <w:bottom w:val="single" w:sz="8" w:color="auto"/>
              <w:right w:val="single" w:sz="8" w:color="auto"/>
            </w:tcBorders>
          </w:tcPr>
          <w:p>
            <w:pPr>
              <w:spacing w:after="0"/>
              <w:rPr>
                <w:sz w:val="19"/>
                <w:szCs w:val="19"/>
                <w:color w:val="auto"/>
              </w:rPr>
            </w:pPr>
          </w:p>
        </w:tc>
        <w:tc>
          <w:tcPr>
            <w:tcW w:w="880" w:type="dxa"/>
            <w:vAlign w:val="bottom"/>
            <w:tcBorders>
              <w:bottom w:val="single" w:sz="8" w:color="auto"/>
              <w:right w:val="single" w:sz="8" w:color="auto"/>
            </w:tcBorders>
          </w:tcPr>
          <w:p>
            <w:pPr>
              <w:spacing w:after="0"/>
              <w:rPr>
                <w:sz w:val="19"/>
                <w:szCs w:val="19"/>
                <w:color w:val="auto"/>
              </w:rPr>
            </w:pPr>
          </w:p>
        </w:tc>
        <w:tc>
          <w:tcPr>
            <w:tcW w:w="900" w:type="dxa"/>
            <w:vAlign w:val="bottom"/>
            <w:tcBorders>
              <w:bottom w:val="single" w:sz="8" w:color="auto"/>
              <w:right w:val="single" w:sz="8" w:color="auto"/>
            </w:tcBorders>
          </w:tcPr>
          <w:p>
            <w:pPr>
              <w:spacing w:after="0"/>
              <w:rPr>
                <w:sz w:val="19"/>
                <w:szCs w:val="19"/>
                <w:color w:val="auto"/>
              </w:rPr>
            </w:pPr>
          </w:p>
        </w:tc>
        <w:tc>
          <w:tcPr>
            <w:tcW w:w="880" w:type="dxa"/>
            <w:vAlign w:val="bottom"/>
            <w:tcBorders>
              <w:bottom w:val="single" w:sz="8" w:color="auto"/>
              <w:right w:val="single" w:sz="8" w:color="auto"/>
            </w:tcBorders>
          </w:tcPr>
          <w:p>
            <w:pPr>
              <w:spacing w:after="0"/>
              <w:rPr>
                <w:sz w:val="19"/>
                <w:szCs w:val="19"/>
                <w:color w:val="auto"/>
              </w:rPr>
            </w:pPr>
          </w:p>
        </w:tc>
        <w:tc>
          <w:tcPr>
            <w:tcW w:w="900" w:type="dxa"/>
            <w:vAlign w:val="bottom"/>
            <w:tcBorders>
              <w:bottom w:val="single" w:sz="8" w:color="auto"/>
              <w:right w:val="single" w:sz="8" w:color="auto"/>
            </w:tcBorders>
          </w:tcPr>
          <w:p>
            <w:pPr>
              <w:spacing w:after="0"/>
              <w:rPr>
                <w:sz w:val="19"/>
                <w:szCs w:val="19"/>
                <w:color w:val="auto"/>
              </w:rPr>
            </w:pPr>
          </w:p>
        </w:tc>
        <w:tc>
          <w:tcPr>
            <w:tcW w:w="8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79"/>
              </w:rPr>
              <w:t>1</w:t>
            </w:r>
          </w:p>
        </w:tc>
        <w:tc>
          <w:tcPr>
            <w:tcW w:w="880" w:type="dxa"/>
            <w:vAlign w:val="bottom"/>
            <w:tcBorders>
              <w:bottom w:val="single" w:sz="8" w:color="auto"/>
              <w:right w:val="single" w:sz="8" w:color="auto"/>
            </w:tcBorders>
          </w:tcPr>
          <w:p>
            <w:pPr>
              <w:spacing w:after="0"/>
              <w:rPr>
                <w:sz w:val="19"/>
                <w:szCs w:val="19"/>
                <w:color w:val="auto"/>
              </w:rPr>
            </w:pPr>
          </w:p>
        </w:tc>
        <w:tc>
          <w:tcPr>
            <w:tcW w:w="8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79"/>
              </w:rPr>
              <w:t>1</w:t>
            </w:r>
          </w:p>
        </w:tc>
        <w:tc>
          <w:tcPr>
            <w:tcW w:w="1220" w:type="dxa"/>
            <w:vAlign w:val="bottom"/>
            <w:tcBorders>
              <w:bottom w:val="single" w:sz="8" w:color="auto"/>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02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9"/>
              </w:rPr>
              <w:t>Total</w:t>
            </w:r>
          </w:p>
        </w:tc>
        <w:tc>
          <w:tcPr>
            <w:tcW w:w="1020" w:type="dxa"/>
            <w:vAlign w:val="bottom"/>
            <w:tcBorders>
              <w:bottom w:val="single" w:sz="8" w:color="auto"/>
              <w:right w:val="single" w:sz="8" w:color="auto"/>
            </w:tcBorders>
          </w:tcPr>
          <w:p>
            <w:pPr>
              <w:spacing w:after="0"/>
              <w:rPr>
                <w:sz w:val="19"/>
                <w:szCs w:val="19"/>
                <w:color w:val="auto"/>
              </w:rPr>
            </w:pPr>
          </w:p>
        </w:tc>
        <w:tc>
          <w:tcPr>
            <w:tcW w:w="8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9"/>
              </w:rPr>
              <w:t>1</w:t>
            </w:r>
          </w:p>
        </w:tc>
        <w:tc>
          <w:tcPr>
            <w:tcW w:w="140" w:type="dxa"/>
            <w:vAlign w:val="bottom"/>
            <w:tcBorders>
              <w:bottom w:val="single" w:sz="8" w:color="auto"/>
            </w:tcBorders>
          </w:tcPr>
          <w:p>
            <w:pPr>
              <w:spacing w:after="0"/>
              <w:rPr>
                <w:sz w:val="19"/>
                <w:szCs w:val="19"/>
                <w:color w:val="auto"/>
              </w:rPr>
            </w:pPr>
          </w:p>
        </w:tc>
        <w:tc>
          <w:tcPr>
            <w:tcW w:w="760" w:type="dxa"/>
            <w:vAlign w:val="bottom"/>
            <w:tcBorders>
              <w:bottom w:val="single" w:sz="8" w:color="auto"/>
              <w:right w:val="single" w:sz="8" w:color="auto"/>
            </w:tcBorders>
          </w:tcPr>
          <w:p>
            <w:pPr>
              <w:jc w:val="center"/>
              <w:ind w:right="70"/>
              <w:spacing w:after="0"/>
              <w:rPr>
                <w:sz w:val="20"/>
                <w:szCs w:val="20"/>
                <w:color w:val="auto"/>
              </w:rPr>
            </w:pPr>
            <w:r>
              <w:rPr>
                <w:rFonts w:ascii="Arial" w:cs="Arial" w:eastAsia="Arial" w:hAnsi="Arial"/>
                <w:sz w:val="18"/>
                <w:szCs w:val="18"/>
                <w:color w:val="auto"/>
                <w:w w:val="79"/>
              </w:rPr>
              <w:t>1</w:t>
            </w:r>
          </w:p>
        </w:tc>
        <w:tc>
          <w:tcPr>
            <w:tcW w:w="880" w:type="dxa"/>
            <w:vAlign w:val="bottom"/>
            <w:tcBorders>
              <w:bottom w:val="single" w:sz="8" w:color="auto"/>
              <w:right w:val="single" w:sz="8" w:color="auto"/>
            </w:tcBorders>
          </w:tcPr>
          <w:p>
            <w:pPr>
              <w:spacing w:after="0"/>
              <w:rPr>
                <w:sz w:val="19"/>
                <w:szCs w:val="19"/>
                <w:color w:val="auto"/>
              </w:rPr>
            </w:pPr>
          </w:p>
        </w:tc>
        <w:tc>
          <w:tcPr>
            <w:tcW w:w="9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79"/>
              </w:rPr>
              <w:t>3</w:t>
            </w:r>
          </w:p>
        </w:tc>
        <w:tc>
          <w:tcPr>
            <w:tcW w:w="880" w:type="dxa"/>
            <w:vAlign w:val="bottom"/>
            <w:tcBorders>
              <w:bottom w:val="single" w:sz="8" w:color="auto"/>
              <w:right w:val="single" w:sz="8" w:color="auto"/>
            </w:tcBorders>
          </w:tcPr>
          <w:p>
            <w:pPr>
              <w:spacing w:after="0"/>
              <w:rPr>
                <w:sz w:val="19"/>
                <w:szCs w:val="19"/>
                <w:color w:val="auto"/>
              </w:rPr>
            </w:pPr>
          </w:p>
        </w:tc>
        <w:tc>
          <w:tcPr>
            <w:tcW w:w="9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79"/>
              </w:rPr>
              <w:t>3</w:t>
            </w:r>
          </w:p>
        </w:tc>
        <w:tc>
          <w:tcPr>
            <w:tcW w:w="8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79"/>
              </w:rPr>
              <w:t>4</w:t>
            </w:r>
          </w:p>
        </w:tc>
        <w:tc>
          <w:tcPr>
            <w:tcW w:w="8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79"/>
              </w:rPr>
              <w:t>4</w:t>
            </w:r>
          </w:p>
        </w:tc>
        <w:tc>
          <w:tcPr>
            <w:tcW w:w="8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79"/>
              </w:rPr>
              <w:t>3</w:t>
            </w:r>
          </w:p>
        </w:tc>
        <w:tc>
          <w:tcPr>
            <w:tcW w:w="1220" w:type="dxa"/>
            <w:vAlign w:val="bottom"/>
            <w:tcBorders>
              <w:bottom w:val="single" w:sz="8" w:color="auto"/>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16" w:lineRule="exact"/>
        <w:rPr>
          <w:sz w:val="20"/>
          <w:szCs w:val="20"/>
          <w:color w:val="auto"/>
        </w:rPr>
      </w:pPr>
    </w:p>
    <w:p>
      <w:pPr>
        <w:ind w:left="340"/>
        <w:spacing w:after="0"/>
        <w:rPr>
          <w:sz w:val="20"/>
          <w:szCs w:val="20"/>
          <w:color w:val="auto"/>
        </w:rPr>
      </w:pPr>
      <w:r>
        <w:rPr>
          <w:rFonts w:ascii="Arial" w:cs="Arial" w:eastAsia="Arial" w:hAnsi="Arial"/>
          <w:sz w:val="22"/>
          <w:szCs w:val="22"/>
          <w:b w:val="1"/>
          <w:bCs w:val="1"/>
          <w:color w:val="auto"/>
        </w:rPr>
        <w:t>(ii) Semiconductor electroplating equipment formed by R&amp;D</w:t>
      </w:r>
    </w:p>
    <w:p>
      <w:pPr>
        <w:spacing w:after="0" w:line="246"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Before 2016, the Issuer formed two semiconductor electroplating equipment prototypes in the R&amp;D process. During the Reporting Period, no sales order was placed for the two prototypes, and in other words the Issuer has not sold the same.</w:t>
      </w:r>
    </w:p>
    <w:p>
      <w:pPr>
        <w:spacing w:after="0" w:line="197"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color w:val="auto"/>
        </w:rPr>
        <w:t>In sum, from 2017 to 2019, the Company only produced and sold 5 sets of semiconductor electroplating equipment. The Company has not hidden the income and profit of semiconductor electroplating equipment.</w:t>
      </w:r>
    </w:p>
    <w:p>
      <w:pPr>
        <w:spacing w:after="0" w:line="193" w:lineRule="exact"/>
        <w:rPr>
          <w:sz w:val="20"/>
          <w:szCs w:val="20"/>
          <w:color w:val="auto"/>
        </w:rPr>
      </w:pPr>
    </w:p>
    <w:p>
      <w:pPr>
        <w:ind w:left="560" w:hanging="228"/>
        <w:spacing w:after="0"/>
        <w:tabs>
          <w:tab w:leader="none" w:pos="560" w:val="left"/>
        </w:tabs>
        <w:numPr>
          <w:ilvl w:val="0"/>
          <w:numId w:val="116"/>
        </w:numPr>
        <w:rPr>
          <w:rFonts w:ascii="Arial" w:cs="Arial" w:eastAsia="Arial" w:hAnsi="Arial"/>
          <w:sz w:val="18"/>
          <w:szCs w:val="18"/>
          <w:b w:val="1"/>
          <w:bCs w:val="1"/>
          <w:color w:val="auto"/>
        </w:rPr>
      </w:pPr>
      <w:r>
        <w:rPr>
          <w:rFonts w:ascii="Arial" w:cs="Arial" w:eastAsia="Arial" w:hAnsi="Arial"/>
          <w:sz w:val="18"/>
          <w:szCs w:val="18"/>
          <w:b w:val="1"/>
          <w:bCs w:val="1"/>
          <w:color w:val="auto"/>
        </w:rPr>
        <w:t>Verification Procedures and Opinions</w:t>
      </w:r>
    </w:p>
    <w:p>
      <w:pPr>
        <w:spacing w:after="0" w:line="252" w:lineRule="exact"/>
        <w:rPr>
          <w:rFonts w:ascii="Arial" w:cs="Arial" w:eastAsia="Arial" w:hAnsi="Arial"/>
          <w:sz w:val="18"/>
          <w:szCs w:val="18"/>
          <w:b w:val="1"/>
          <w:bCs w:val="1"/>
          <w:color w:val="auto"/>
        </w:rPr>
      </w:pPr>
    </w:p>
    <w:p>
      <w:pPr>
        <w:ind w:left="340"/>
        <w:spacing w:after="0"/>
        <w:rPr>
          <w:rFonts w:ascii="Arial" w:cs="Arial" w:eastAsia="Arial" w:hAnsi="Arial"/>
          <w:sz w:val="18"/>
          <w:szCs w:val="18"/>
          <w:b w:val="1"/>
          <w:bCs w:val="1"/>
          <w:color w:val="auto"/>
        </w:rPr>
      </w:pPr>
      <w:r>
        <w:rPr>
          <w:rFonts w:ascii="Arial" w:cs="Arial" w:eastAsia="Arial" w:hAnsi="Arial"/>
          <w:sz w:val="18"/>
          <w:szCs w:val="18"/>
          <w:b w:val="1"/>
          <w:bCs w:val="1"/>
          <w:color w:val="auto"/>
        </w:rPr>
        <w:t>(i) Verification Procedures</w:t>
      </w:r>
    </w:p>
    <w:p>
      <w:pPr>
        <w:spacing w:after="0" w:line="256" w:lineRule="exact"/>
        <w:rPr>
          <w:sz w:val="20"/>
          <w:szCs w:val="20"/>
          <w:color w:val="auto"/>
        </w:rPr>
      </w:pPr>
    </w:p>
    <w:p>
      <w:pPr>
        <w:ind w:left="340"/>
        <w:spacing w:after="0"/>
        <w:rPr>
          <w:sz w:val="20"/>
          <w:szCs w:val="20"/>
          <w:color w:val="auto"/>
        </w:rPr>
      </w:pPr>
      <w:r>
        <w:rPr>
          <w:rFonts w:ascii="Arial" w:cs="Arial" w:eastAsia="Arial" w:hAnsi="Arial"/>
          <w:sz w:val="18"/>
          <w:szCs w:val="18"/>
          <w:color w:val="auto"/>
        </w:rPr>
        <w:t>Before the release of the Short-sell Report, the Sponsor performed the following verification procedures:</w:t>
      </w:r>
    </w:p>
    <w:p>
      <w:pPr>
        <w:spacing w:after="0" w:line="252" w:lineRule="exact"/>
        <w:rPr>
          <w:sz w:val="20"/>
          <w:szCs w:val="20"/>
          <w:color w:val="auto"/>
        </w:rPr>
      </w:pPr>
    </w:p>
    <w:p>
      <w:pPr>
        <w:ind w:left="520" w:hanging="188"/>
        <w:spacing w:after="0"/>
        <w:tabs>
          <w:tab w:leader="none" w:pos="520" w:val="left"/>
        </w:tabs>
        <w:numPr>
          <w:ilvl w:val="0"/>
          <w:numId w:val="117"/>
        </w:numPr>
        <w:rPr>
          <w:rFonts w:ascii="Arial" w:cs="Arial" w:eastAsia="Arial" w:hAnsi="Arial"/>
          <w:sz w:val="18"/>
          <w:szCs w:val="18"/>
          <w:color w:val="auto"/>
        </w:rPr>
      </w:pPr>
      <w:r>
        <w:rPr>
          <w:rFonts w:ascii="Arial" w:cs="Arial" w:eastAsia="Arial" w:hAnsi="Arial"/>
          <w:sz w:val="18"/>
          <w:szCs w:val="18"/>
          <w:color w:val="auto"/>
        </w:rPr>
        <w:t>Interviewing the general manager of the Issuer to understand the production of its products;</w:t>
      </w:r>
    </w:p>
    <w:p>
      <w:pPr>
        <w:spacing w:after="0" w:line="252" w:lineRule="exact"/>
        <w:rPr>
          <w:rFonts w:ascii="Arial" w:cs="Arial" w:eastAsia="Arial" w:hAnsi="Arial"/>
          <w:sz w:val="18"/>
          <w:szCs w:val="18"/>
          <w:color w:val="auto"/>
        </w:rPr>
      </w:pPr>
    </w:p>
    <w:p>
      <w:pPr>
        <w:ind w:left="520" w:hanging="188"/>
        <w:spacing w:after="0"/>
        <w:tabs>
          <w:tab w:leader="none" w:pos="520" w:val="left"/>
        </w:tabs>
        <w:numPr>
          <w:ilvl w:val="0"/>
          <w:numId w:val="117"/>
        </w:numPr>
        <w:rPr>
          <w:rFonts w:ascii="Arial" w:cs="Arial" w:eastAsia="Arial" w:hAnsi="Arial"/>
          <w:sz w:val="18"/>
          <w:szCs w:val="18"/>
          <w:color w:val="auto"/>
        </w:rPr>
      </w:pPr>
      <w:r>
        <w:rPr>
          <w:rFonts w:ascii="Arial" w:cs="Arial" w:eastAsia="Arial" w:hAnsi="Arial"/>
          <w:sz w:val="18"/>
          <w:szCs w:val="18"/>
          <w:color w:val="auto"/>
        </w:rPr>
        <w:t>Checking the sales orders of the Issuer’s semiconductor electroplating equipment;</w:t>
      </w:r>
    </w:p>
    <w:p>
      <w:pPr>
        <w:spacing w:after="0" w:line="252" w:lineRule="exact"/>
        <w:rPr>
          <w:rFonts w:ascii="Arial" w:cs="Arial" w:eastAsia="Arial" w:hAnsi="Arial"/>
          <w:sz w:val="18"/>
          <w:szCs w:val="18"/>
          <w:color w:val="auto"/>
        </w:rPr>
      </w:pPr>
    </w:p>
    <w:p>
      <w:pPr>
        <w:ind w:left="520" w:hanging="188"/>
        <w:spacing w:after="0"/>
        <w:tabs>
          <w:tab w:leader="none" w:pos="520" w:val="left"/>
        </w:tabs>
        <w:numPr>
          <w:ilvl w:val="0"/>
          <w:numId w:val="117"/>
        </w:numPr>
        <w:rPr>
          <w:rFonts w:ascii="Arial" w:cs="Arial" w:eastAsia="Arial" w:hAnsi="Arial"/>
          <w:sz w:val="18"/>
          <w:szCs w:val="18"/>
          <w:color w:val="auto"/>
        </w:rPr>
      </w:pPr>
      <w:r>
        <w:rPr>
          <w:rFonts w:ascii="Arial" w:cs="Arial" w:eastAsia="Arial" w:hAnsi="Arial"/>
          <w:sz w:val="18"/>
          <w:szCs w:val="18"/>
          <w:color w:val="auto"/>
        </w:rPr>
        <w:t>Having access to the memorandum book of R&amp;D prototypes to understand the management and sales of such prototypes; and</w:t>
      </w:r>
    </w:p>
    <w:p>
      <w:pPr>
        <w:spacing w:after="0" w:line="252" w:lineRule="exact"/>
        <w:rPr>
          <w:rFonts w:ascii="Arial" w:cs="Arial" w:eastAsia="Arial" w:hAnsi="Arial"/>
          <w:sz w:val="18"/>
          <w:szCs w:val="18"/>
          <w:color w:val="auto"/>
        </w:rPr>
      </w:pPr>
    </w:p>
    <w:p>
      <w:pPr>
        <w:ind w:left="520" w:hanging="188"/>
        <w:spacing w:after="0"/>
        <w:tabs>
          <w:tab w:leader="none" w:pos="520" w:val="left"/>
        </w:tabs>
        <w:numPr>
          <w:ilvl w:val="0"/>
          <w:numId w:val="117"/>
        </w:numPr>
        <w:rPr>
          <w:rFonts w:ascii="Arial" w:cs="Arial" w:eastAsia="Arial" w:hAnsi="Arial"/>
          <w:sz w:val="18"/>
          <w:szCs w:val="18"/>
          <w:color w:val="auto"/>
        </w:rPr>
      </w:pPr>
      <w:r>
        <w:rPr>
          <w:rFonts w:ascii="Arial" w:cs="Arial" w:eastAsia="Arial" w:hAnsi="Arial"/>
          <w:sz w:val="18"/>
          <w:szCs w:val="18"/>
          <w:color w:val="auto"/>
        </w:rPr>
        <w:t>Acquiring the certificate of non-violation of laws and regulations issued by the competent tax authority of the Issuer.</w:t>
      </w:r>
    </w:p>
    <w:p>
      <w:pPr>
        <w:spacing w:after="0" w:line="252"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After the release of the Short-sell Report, the Sponsor performed the following further procedures with respect to the output and sales of electroplating equipment:</w:t>
      </w:r>
    </w:p>
    <w:p>
      <w:pPr>
        <w:spacing w:after="0" w:line="197" w:lineRule="exact"/>
        <w:rPr>
          <w:sz w:val="20"/>
          <w:szCs w:val="20"/>
          <w:color w:val="auto"/>
        </w:rPr>
      </w:pPr>
    </w:p>
    <w:p>
      <w:pPr>
        <w:ind w:left="520" w:hanging="188"/>
        <w:spacing w:after="0"/>
        <w:tabs>
          <w:tab w:leader="none" w:pos="520" w:val="left"/>
        </w:tabs>
        <w:numPr>
          <w:ilvl w:val="0"/>
          <w:numId w:val="118"/>
        </w:numPr>
        <w:rPr>
          <w:rFonts w:ascii="Arial" w:cs="Arial" w:eastAsia="Arial" w:hAnsi="Arial"/>
          <w:sz w:val="18"/>
          <w:szCs w:val="18"/>
          <w:color w:val="auto"/>
        </w:rPr>
      </w:pPr>
      <w:r>
        <w:rPr>
          <w:rFonts w:ascii="Arial" w:cs="Arial" w:eastAsia="Arial" w:hAnsi="Arial"/>
          <w:sz w:val="18"/>
          <w:szCs w:val="18"/>
          <w:color w:val="auto"/>
        </w:rPr>
        <w:t>Checking from the Issuer on the time of being granted the electroplating business orders;</w:t>
      </w:r>
    </w:p>
    <w:p>
      <w:pPr>
        <w:spacing w:after="0" w:line="252" w:lineRule="exact"/>
        <w:rPr>
          <w:rFonts w:ascii="Arial" w:cs="Arial" w:eastAsia="Arial" w:hAnsi="Arial"/>
          <w:sz w:val="18"/>
          <w:szCs w:val="18"/>
          <w:color w:val="auto"/>
        </w:rPr>
      </w:pPr>
    </w:p>
    <w:p>
      <w:pPr>
        <w:ind w:left="520" w:hanging="188"/>
        <w:spacing w:after="0"/>
        <w:tabs>
          <w:tab w:leader="none" w:pos="520" w:val="left"/>
        </w:tabs>
        <w:numPr>
          <w:ilvl w:val="0"/>
          <w:numId w:val="118"/>
        </w:numPr>
        <w:rPr>
          <w:rFonts w:ascii="Arial" w:cs="Arial" w:eastAsia="Arial" w:hAnsi="Arial"/>
          <w:sz w:val="18"/>
          <w:szCs w:val="18"/>
          <w:color w:val="auto"/>
        </w:rPr>
      </w:pPr>
      <w:r>
        <w:rPr>
          <w:rFonts w:ascii="Arial" w:cs="Arial" w:eastAsia="Arial" w:hAnsi="Arial"/>
          <w:sz w:val="18"/>
          <w:szCs w:val="18"/>
          <w:color w:val="auto"/>
        </w:rPr>
        <w:t>Checking the input and output of the Company’s electroplating equipment; and</w:t>
      </w: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8-4-1-91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1" w:right="339" w:bottom="1440" w:gutter="0" w:footer="0" w:header="0"/>
        </w:sectPr>
      </w:pPr>
    </w:p>
    <w:bookmarkStart w:id="95" w:name="page96"/>
    <w:bookmarkEnd w:id="95"/>
    <w:p>
      <w:pPr>
        <w:ind w:left="340"/>
        <w:spacing w:after="0"/>
        <w:rPr>
          <w:sz w:val="20"/>
          <w:szCs w:val="20"/>
          <w:color w:val="auto"/>
        </w:rPr>
      </w:pPr>
      <w:r>
        <w:rPr>
          <w:rFonts w:ascii="Arial" w:cs="Arial" w:eastAsia="Arial" w:hAnsi="Arial"/>
          <w:sz w:val="22"/>
          <w:szCs w:val="22"/>
          <w:color w:val="auto"/>
        </w:rPr>
        <w:t>3. Further checking the management and sales of electroplating equipment R&amp;D prototypes.</w:t>
      </w:r>
    </w:p>
    <w:p>
      <w:pPr>
        <w:spacing w:after="0" w:line="228" w:lineRule="exact"/>
        <w:rPr>
          <w:sz w:val="20"/>
          <w:szCs w:val="20"/>
          <w:color w:val="auto"/>
        </w:rPr>
      </w:pPr>
    </w:p>
    <w:p>
      <w:pPr>
        <w:ind w:left="340"/>
        <w:spacing w:after="0"/>
        <w:rPr>
          <w:sz w:val="20"/>
          <w:szCs w:val="20"/>
          <w:color w:val="auto"/>
        </w:rPr>
      </w:pPr>
      <w:r>
        <w:rPr>
          <w:rFonts w:ascii="Arial" w:cs="Arial" w:eastAsia="Arial" w:hAnsi="Arial"/>
          <w:sz w:val="22"/>
          <w:szCs w:val="22"/>
          <w:b w:val="1"/>
          <w:bCs w:val="1"/>
          <w:color w:val="auto"/>
        </w:rPr>
        <w:t>(ii) Verification Opinions</w:t>
      </w:r>
    </w:p>
    <w:p>
      <w:pPr>
        <w:spacing w:after="0" w:line="239" w:lineRule="exact"/>
        <w:rPr>
          <w:sz w:val="20"/>
          <w:szCs w:val="20"/>
          <w:color w:val="auto"/>
        </w:rPr>
      </w:pPr>
    </w:p>
    <w:p>
      <w:pPr>
        <w:ind w:left="340"/>
        <w:spacing w:after="0"/>
        <w:rPr>
          <w:sz w:val="20"/>
          <w:szCs w:val="20"/>
          <w:color w:val="auto"/>
        </w:rPr>
      </w:pPr>
      <w:r>
        <w:rPr>
          <w:rFonts w:ascii="Arial" w:cs="Arial" w:eastAsia="Arial" w:hAnsi="Arial"/>
          <w:sz w:val="22"/>
          <w:szCs w:val="22"/>
          <w:color w:val="auto"/>
        </w:rPr>
        <w:t>Upon verification, the Sponsor opines that:</w:t>
      </w:r>
    </w:p>
    <w:p>
      <w:pPr>
        <w:spacing w:after="0" w:line="240"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output and sales of semiconductor electroplating equipment disclosed by the Issuer are accurately reported.</w:t>
      </w:r>
    </w:p>
    <w:p>
      <w:pPr>
        <w:spacing w:after="0" w:line="239" w:lineRule="exact"/>
        <w:rPr>
          <w:sz w:val="20"/>
          <w:szCs w:val="20"/>
          <w:color w:val="auto"/>
        </w:rPr>
      </w:pPr>
    </w:p>
    <w:p>
      <w:pPr>
        <w:ind w:left="340" w:right="1120" w:hanging="8"/>
        <w:spacing w:after="0" w:line="463" w:lineRule="auto"/>
        <w:tabs>
          <w:tab w:leader="none" w:pos="664" w:val="left"/>
        </w:tabs>
        <w:numPr>
          <w:ilvl w:val="0"/>
          <w:numId w:val="119"/>
        </w:numPr>
        <w:rPr>
          <w:rFonts w:ascii="Arial" w:cs="Arial" w:eastAsia="Arial" w:hAnsi="Arial"/>
          <w:sz w:val="22"/>
          <w:szCs w:val="22"/>
          <w:b w:val="1"/>
          <w:bCs w:val="1"/>
          <w:color w:val="auto"/>
        </w:rPr>
      </w:pPr>
      <w:r>
        <w:rPr>
          <w:rFonts w:ascii="Arial" w:cs="Arial" w:eastAsia="Arial" w:hAnsi="Arial"/>
          <w:sz w:val="22"/>
          <w:szCs w:val="22"/>
          <w:b w:val="1"/>
          <w:bCs w:val="1"/>
          <w:color w:val="auto"/>
        </w:rPr>
        <w:t>Other Challenge 13: About Supplier (Index of Verification in Response to the Short-sell Report, No.34) Challenge in the Short-sell Report (Short-sell Report, pp.38-39):</w:t>
      </w:r>
    </w:p>
    <w:p>
      <w:pPr>
        <w:spacing w:after="0" w:line="2" w:lineRule="exact"/>
        <w:rPr>
          <w:sz w:val="20"/>
          <w:szCs w:val="20"/>
          <w:color w:val="auto"/>
        </w:rPr>
      </w:pPr>
    </w:p>
    <w:p>
      <w:pPr>
        <w:ind w:left="340"/>
        <w:spacing w:after="0"/>
        <w:rPr>
          <w:sz w:val="20"/>
          <w:szCs w:val="20"/>
          <w:color w:val="auto"/>
        </w:rPr>
      </w:pPr>
      <w:r>
        <w:rPr>
          <w:rFonts w:ascii="Arial" w:cs="Arial" w:eastAsia="Arial" w:hAnsi="Arial"/>
          <w:sz w:val="22"/>
          <w:szCs w:val="22"/>
          <w:color w:val="auto"/>
        </w:rPr>
        <w:t>“Our interviews with suppliers show a disparity with company representations.”</w:t>
      </w:r>
    </w:p>
    <w:p>
      <w:pPr>
        <w:spacing w:after="0" w:line="227" w:lineRule="exact"/>
        <w:rPr>
          <w:sz w:val="20"/>
          <w:szCs w:val="20"/>
          <w:color w:val="auto"/>
        </w:rPr>
      </w:pPr>
    </w:p>
    <w:p>
      <w:pPr>
        <w:ind w:left="340"/>
        <w:spacing w:after="0"/>
        <w:rPr>
          <w:sz w:val="20"/>
          <w:szCs w:val="20"/>
          <w:color w:val="auto"/>
        </w:rPr>
      </w:pPr>
      <w:r>
        <w:rPr>
          <w:rFonts w:ascii="Arial" w:cs="Arial" w:eastAsia="Arial" w:hAnsi="Arial"/>
          <w:sz w:val="22"/>
          <w:szCs w:val="22"/>
          <w:b w:val="1"/>
          <w:bCs w:val="1"/>
          <w:color w:val="auto"/>
        </w:rPr>
        <w:t>Response:</w:t>
      </w:r>
    </w:p>
    <w:p>
      <w:pPr>
        <w:spacing w:after="0" w:line="233" w:lineRule="exact"/>
        <w:rPr>
          <w:sz w:val="20"/>
          <w:szCs w:val="20"/>
          <w:color w:val="auto"/>
        </w:rPr>
      </w:pPr>
    </w:p>
    <w:p>
      <w:pPr>
        <w:ind w:left="340"/>
        <w:spacing w:after="0"/>
        <w:rPr>
          <w:sz w:val="20"/>
          <w:szCs w:val="20"/>
          <w:color w:val="auto"/>
        </w:rPr>
      </w:pPr>
      <w:r>
        <w:rPr>
          <w:rFonts w:ascii="Arial" w:cs="Arial" w:eastAsia="Arial" w:hAnsi="Arial"/>
          <w:sz w:val="22"/>
          <w:szCs w:val="22"/>
          <w:b w:val="1"/>
          <w:bCs w:val="1"/>
          <w:color w:val="auto"/>
        </w:rPr>
        <w:t>I. Clarification by the Issuer</w:t>
      </w:r>
    </w:p>
    <w:p>
      <w:pPr>
        <w:spacing w:after="0" w:line="239" w:lineRule="exact"/>
        <w:rPr>
          <w:sz w:val="20"/>
          <w:szCs w:val="20"/>
          <w:color w:val="auto"/>
        </w:rPr>
      </w:pPr>
    </w:p>
    <w:p>
      <w:pPr>
        <w:jc w:val="both"/>
        <w:ind w:firstLine="324"/>
        <w:spacing w:after="0"/>
        <w:rPr>
          <w:sz w:val="20"/>
          <w:szCs w:val="20"/>
          <w:color w:val="auto"/>
        </w:rPr>
      </w:pPr>
      <w:r>
        <w:rPr>
          <w:rFonts w:ascii="Arial" w:cs="Arial" w:eastAsia="Arial" w:hAnsi="Arial"/>
          <w:sz w:val="22"/>
          <w:szCs w:val="22"/>
          <w:color w:val="auto"/>
        </w:rPr>
        <w:t>The procurement from key suppliers disclosed by the Company is true and accurate. The Company has disclosed the amount, proportion and contents of purchase from the key suppliers in “Section VI.IV(II) Procurement from the Top Five Suppliers” of the Prospectus.</w:t>
      </w:r>
    </w:p>
    <w:p>
      <w:pPr>
        <w:spacing w:after="0" w:line="213" w:lineRule="exact"/>
        <w:rPr>
          <w:sz w:val="20"/>
          <w:szCs w:val="20"/>
          <w:color w:val="auto"/>
        </w:rPr>
      </w:pPr>
    </w:p>
    <w:p>
      <w:pPr>
        <w:jc w:val="both"/>
        <w:ind w:right="20" w:firstLine="324"/>
        <w:spacing w:after="0" w:line="250" w:lineRule="auto"/>
        <w:rPr>
          <w:sz w:val="20"/>
          <w:szCs w:val="20"/>
          <w:color w:val="auto"/>
        </w:rPr>
      </w:pPr>
      <w:r>
        <w:rPr>
          <w:rFonts w:ascii="Arial" w:cs="Arial" w:eastAsia="Arial" w:hAnsi="Arial"/>
          <w:sz w:val="22"/>
          <w:szCs w:val="22"/>
          <w:color w:val="auto"/>
        </w:rPr>
        <w:t>The Short-sell Report alleges that the interviews with ACMR’s suppliers show a disparity with the information disclosed by the Company, as detailed below:</w:t>
      </w:r>
    </w:p>
    <w:p>
      <w:pPr>
        <w:spacing w:after="0" w:line="203" w:lineRule="exact"/>
        <w:rPr>
          <w:sz w:val="20"/>
          <w:szCs w:val="20"/>
          <w:color w:val="auto"/>
        </w:rPr>
      </w:pPr>
    </w:p>
    <w:tbl>
      <w:tblPr>
        <w:tblLayout w:type="fixed"/>
        <w:tblInd w:w="10" w:type="dxa"/>
        <w:tblCellMar>
          <w:top w:w="0" w:type="dxa"/>
          <w:left w:w="0" w:type="dxa"/>
          <w:bottom w:w="0" w:type="dxa"/>
          <w:right w:w="0" w:type="dxa"/>
        </w:tblCellMar>
      </w:tblPr>
      <w:tr>
        <w:trPr>
          <w:trHeight w:val="270"/>
        </w:trPr>
        <w:tc>
          <w:tcPr>
            <w:tcW w:w="2500" w:type="dxa"/>
            <w:vAlign w:val="bottom"/>
            <w:tcBorders>
              <w:top w:val="single" w:sz="8" w:color="auto"/>
              <w:left w:val="single" w:sz="8" w:color="auto"/>
              <w:right w:val="single" w:sz="8" w:color="auto"/>
            </w:tcBorders>
          </w:tcPr>
          <w:p>
            <w:pPr>
              <w:ind w:left="580"/>
              <w:spacing w:after="0"/>
              <w:rPr>
                <w:sz w:val="20"/>
                <w:szCs w:val="20"/>
                <w:color w:val="auto"/>
              </w:rPr>
            </w:pPr>
            <w:r>
              <w:rPr>
                <w:rFonts w:ascii="Arial" w:cs="Arial" w:eastAsia="Arial" w:hAnsi="Arial"/>
                <w:sz w:val="18"/>
                <w:szCs w:val="18"/>
                <w:b w:val="1"/>
                <w:bCs w:val="1"/>
                <w:color w:val="auto"/>
              </w:rPr>
              <w:t>Name of Supplier</w:t>
            </w:r>
          </w:p>
        </w:tc>
        <w:tc>
          <w:tcPr>
            <w:tcW w:w="5580" w:type="dxa"/>
            <w:vAlign w:val="bottom"/>
            <w:tcBorders>
              <w:top w:val="single" w:sz="8" w:color="auto"/>
              <w:right w:val="single" w:sz="8" w:color="auto"/>
            </w:tcBorders>
          </w:tcPr>
          <w:p>
            <w:pPr>
              <w:ind w:left="1460"/>
              <w:spacing w:after="0"/>
              <w:rPr>
                <w:sz w:val="20"/>
                <w:szCs w:val="20"/>
                <w:color w:val="auto"/>
              </w:rPr>
            </w:pPr>
            <w:r>
              <w:rPr>
                <w:rFonts w:ascii="Arial" w:cs="Arial" w:eastAsia="Arial" w:hAnsi="Arial"/>
                <w:sz w:val="18"/>
                <w:szCs w:val="18"/>
                <w:b w:val="1"/>
                <w:bCs w:val="1"/>
                <w:color w:val="auto"/>
              </w:rPr>
              <w:t>Challenge in the Short-sell Report</w:t>
            </w:r>
          </w:p>
        </w:tc>
        <w:tc>
          <w:tcPr>
            <w:tcW w:w="3160" w:type="dxa"/>
            <w:vAlign w:val="bottom"/>
            <w:tcBorders>
              <w:top w:val="single" w:sz="8" w:color="auto"/>
              <w:right w:val="single" w:sz="8" w:color="auto"/>
            </w:tcBorders>
            <w:gridSpan w:val="2"/>
          </w:tcPr>
          <w:p>
            <w:pPr>
              <w:ind w:left="940"/>
              <w:spacing w:after="0"/>
              <w:rPr>
                <w:sz w:val="20"/>
                <w:szCs w:val="20"/>
                <w:color w:val="auto"/>
              </w:rPr>
            </w:pPr>
            <w:r>
              <w:rPr>
                <w:rFonts w:ascii="Arial" w:cs="Arial" w:eastAsia="Arial" w:hAnsi="Arial"/>
                <w:sz w:val="18"/>
                <w:szCs w:val="18"/>
                <w:b w:val="1"/>
                <w:bCs w:val="1"/>
                <w:color w:val="auto"/>
              </w:rPr>
              <w:t>Actual Situation</w:t>
            </w:r>
          </w:p>
        </w:tc>
        <w:tc>
          <w:tcPr>
            <w:tcW w:w="0" w:type="dxa"/>
            <w:vAlign w:val="bottom"/>
          </w:tcPr>
          <w:p>
            <w:pPr>
              <w:spacing w:after="0"/>
              <w:rPr>
                <w:sz w:val="1"/>
                <w:szCs w:val="1"/>
                <w:color w:val="auto"/>
              </w:rPr>
            </w:pPr>
          </w:p>
        </w:tc>
      </w:tr>
      <w:tr>
        <w:trPr>
          <w:trHeight w:val="34"/>
        </w:trPr>
        <w:tc>
          <w:tcPr>
            <w:tcW w:w="2500" w:type="dxa"/>
            <w:vAlign w:val="bottom"/>
            <w:tcBorders>
              <w:left w:val="single" w:sz="8" w:color="auto"/>
              <w:bottom w:val="single" w:sz="8" w:color="auto"/>
              <w:right w:val="single" w:sz="8" w:color="auto"/>
            </w:tcBorders>
          </w:tcPr>
          <w:p>
            <w:pPr>
              <w:spacing w:after="0"/>
              <w:rPr>
                <w:sz w:val="2"/>
                <w:szCs w:val="2"/>
                <w:color w:val="auto"/>
              </w:rPr>
            </w:pPr>
          </w:p>
        </w:tc>
        <w:tc>
          <w:tcPr>
            <w:tcW w:w="5580" w:type="dxa"/>
            <w:vAlign w:val="bottom"/>
            <w:tcBorders>
              <w:bottom w:val="single" w:sz="8" w:color="auto"/>
              <w:right w:val="single" w:sz="8" w:color="auto"/>
            </w:tcBorders>
          </w:tcPr>
          <w:p>
            <w:pPr>
              <w:spacing w:after="0"/>
              <w:rPr>
                <w:sz w:val="2"/>
                <w:szCs w:val="2"/>
                <w:color w:val="auto"/>
              </w:rPr>
            </w:pPr>
          </w:p>
        </w:tc>
        <w:tc>
          <w:tcPr>
            <w:tcW w:w="3160" w:type="dxa"/>
            <w:vAlign w:val="bottom"/>
            <w:tcBorders>
              <w:bottom w:val="single" w:sz="8" w:color="auto"/>
              <w:right w:val="single" w:sz="8" w:color="auto"/>
            </w:tcBorders>
            <w:gridSpan w:val="2"/>
          </w:tcPr>
          <w:p>
            <w:pPr>
              <w:spacing w:after="0"/>
              <w:rPr>
                <w:sz w:val="2"/>
                <w:szCs w:val="2"/>
                <w:color w:val="auto"/>
              </w:rPr>
            </w:pPr>
          </w:p>
        </w:tc>
        <w:tc>
          <w:tcPr>
            <w:tcW w:w="0" w:type="dxa"/>
            <w:vAlign w:val="bottom"/>
          </w:tcPr>
          <w:p>
            <w:pPr>
              <w:spacing w:after="0"/>
              <w:rPr>
                <w:sz w:val="1"/>
                <w:szCs w:val="1"/>
                <w:color w:val="auto"/>
              </w:rPr>
            </w:pPr>
          </w:p>
        </w:tc>
      </w:tr>
      <w:tr>
        <w:trPr>
          <w:trHeight w:val="229"/>
        </w:trPr>
        <w:tc>
          <w:tcPr>
            <w:tcW w:w="2500" w:type="dxa"/>
            <w:vAlign w:val="bottom"/>
            <w:tcBorders>
              <w:left w:val="single" w:sz="8" w:color="auto"/>
              <w:right w:val="single" w:sz="8" w:color="auto"/>
            </w:tcBorders>
          </w:tcPr>
          <w:p>
            <w:pPr>
              <w:spacing w:after="0"/>
              <w:rPr>
                <w:sz w:val="19"/>
                <w:szCs w:val="19"/>
                <w:color w:val="auto"/>
              </w:rPr>
            </w:pPr>
          </w:p>
        </w:tc>
        <w:tc>
          <w:tcPr>
            <w:tcW w:w="5580" w:type="dxa"/>
            <w:vAlign w:val="bottom"/>
            <w:tcBorders>
              <w:right w:val="single" w:sz="8" w:color="auto"/>
            </w:tcBorders>
          </w:tcPr>
          <w:p>
            <w:pPr>
              <w:spacing w:after="0"/>
              <w:rPr>
                <w:sz w:val="19"/>
                <w:szCs w:val="19"/>
                <w:color w:val="auto"/>
              </w:rPr>
            </w:pPr>
          </w:p>
        </w:tc>
        <w:tc>
          <w:tcPr>
            <w:tcW w:w="3160" w:type="dxa"/>
            <w:vAlign w:val="bottom"/>
            <w:tcBorders>
              <w:right w:val="single" w:sz="8" w:color="auto"/>
            </w:tcBorders>
            <w:gridSpan w:val="2"/>
          </w:tcPr>
          <w:p>
            <w:pPr>
              <w:ind w:left="20"/>
              <w:spacing w:after="0"/>
              <w:rPr>
                <w:sz w:val="20"/>
                <w:szCs w:val="20"/>
                <w:color w:val="auto"/>
              </w:rPr>
            </w:pPr>
            <w:r>
              <w:rPr>
                <w:rFonts w:ascii="Arial" w:cs="Arial" w:eastAsia="Arial" w:hAnsi="Arial"/>
                <w:sz w:val="18"/>
                <w:szCs w:val="18"/>
                <w:color w:val="auto"/>
                <w:w w:val="98"/>
              </w:rPr>
              <w:t>NINEBELL is the key supplier of robotic</w:t>
            </w:r>
          </w:p>
        </w:tc>
        <w:tc>
          <w:tcPr>
            <w:tcW w:w="0" w:type="dxa"/>
            <w:vAlign w:val="bottom"/>
          </w:tcPr>
          <w:p>
            <w:pPr>
              <w:spacing w:after="0"/>
              <w:rPr>
                <w:sz w:val="1"/>
                <w:szCs w:val="1"/>
                <w:color w:val="auto"/>
              </w:rPr>
            </w:pPr>
          </w:p>
        </w:tc>
      </w:tr>
      <w:tr>
        <w:trPr>
          <w:trHeight w:val="216"/>
        </w:trPr>
        <w:tc>
          <w:tcPr>
            <w:tcW w:w="2500" w:type="dxa"/>
            <w:vAlign w:val="bottom"/>
            <w:tcBorders>
              <w:left w:val="single" w:sz="8" w:color="auto"/>
              <w:right w:val="single" w:sz="8" w:color="auto"/>
            </w:tcBorders>
          </w:tcPr>
          <w:p>
            <w:pPr>
              <w:spacing w:after="0"/>
              <w:rPr>
                <w:sz w:val="18"/>
                <w:szCs w:val="18"/>
                <w:color w:val="auto"/>
              </w:rPr>
            </w:pPr>
          </w:p>
        </w:tc>
        <w:tc>
          <w:tcPr>
            <w:tcW w:w="5580" w:type="dxa"/>
            <w:vAlign w:val="bottom"/>
            <w:tcBorders>
              <w:right w:val="single" w:sz="8" w:color="auto"/>
            </w:tcBorders>
          </w:tcPr>
          <w:p>
            <w:pPr>
              <w:spacing w:after="0"/>
              <w:rPr>
                <w:sz w:val="18"/>
                <w:szCs w:val="18"/>
                <w:color w:val="auto"/>
              </w:rPr>
            </w:pPr>
          </w:p>
        </w:tc>
        <w:tc>
          <w:tcPr>
            <w:tcW w:w="3160" w:type="dxa"/>
            <w:vAlign w:val="bottom"/>
            <w:tcBorders>
              <w:right w:val="single" w:sz="8" w:color="auto"/>
            </w:tcBorders>
            <w:gridSpan w:val="2"/>
          </w:tcPr>
          <w:p>
            <w:pPr>
              <w:ind w:left="20"/>
              <w:spacing w:after="0"/>
              <w:rPr>
                <w:sz w:val="20"/>
                <w:szCs w:val="20"/>
                <w:color w:val="auto"/>
              </w:rPr>
            </w:pPr>
            <w:r>
              <w:rPr>
                <w:rFonts w:ascii="Arial" w:cs="Arial" w:eastAsia="Arial" w:hAnsi="Arial"/>
                <w:sz w:val="18"/>
                <w:szCs w:val="18"/>
                <w:color w:val="auto"/>
                <w:w w:val="98"/>
              </w:rPr>
              <w:t>arm having its own R&amp;D team, who can</w:t>
            </w:r>
          </w:p>
        </w:tc>
        <w:tc>
          <w:tcPr>
            <w:tcW w:w="0" w:type="dxa"/>
            <w:vAlign w:val="bottom"/>
          </w:tcPr>
          <w:p>
            <w:pPr>
              <w:spacing w:after="0"/>
              <w:rPr>
                <w:sz w:val="1"/>
                <w:szCs w:val="1"/>
                <w:color w:val="auto"/>
              </w:rPr>
            </w:pPr>
          </w:p>
        </w:tc>
      </w:tr>
      <w:tr>
        <w:trPr>
          <w:trHeight w:val="216"/>
        </w:trPr>
        <w:tc>
          <w:tcPr>
            <w:tcW w:w="2500" w:type="dxa"/>
            <w:vAlign w:val="bottom"/>
            <w:tcBorders>
              <w:left w:val="single" w:sz="8" w:color="auto"/>
              <w:right w:val="single" w:sz="8" w:color="auto"/>
            </w:tcBorders>
          </w:tcPr>
          <w:p>
            <w:pPr>
              <w:spacing w:after="0"/>
              <w:rPr>
                <w:sz w:val="18"/>
                <w:szCs w:val="18"/>
                <w:color w:val="auto"/>
              </w:rPr>
            </w:pPr>
          </w:p>
        </w:tc>
        <w:tc>
          <w:tcPr>
            <w:tcW w:w="558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w w:val="92"/>
              </w:rPr>
              <w:t>ACMR owns 20%. Original company rents out office printers to businesses.</w:t>
            </w:r>
          </w:p>
        </w:tc>
        <w:tc>
          <w:tcPr>
            <w:tcW w:w="1680" w:type="dxa"/>
            <w:vAlign w:val="bottom"/>
          </w:tcPr>
          <w:p>
            <w:pPr>
              <w:ind w:left="20"/>
              <w:spacing w:after="0"/>
              <w:rPr>
                <w:sz w:val="20"/>
                <w:szCs w:val="20"/>
                <w:color w:val="auto"/>
              </w:rPr>
            </w:pPr>
            <w:r>
              <w:rPr>
                <w:rFonts w:ascii="Arial" w:cs="Arial" w:eastAsia="Arial" w:hAnsi="Arial"/>
                <w:sz w:val="18"/>
                <w:szCs w:val="18"/>
                <w:color w:val="auto"/>
              </w:rPr>
              <w:t>well   cooperate   in</w:t>
            </w:r>
          </w:p>
        </w:tc>
        <w:tc>
          <w:tcPr>
            <w:tcW w:w="148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rPr>
              <w:t>the   Company’s</w:t>
            </w:r>
          </w:p>
        </w:tc>
        <w:tc>
          <w:tcPr>
            <w:tcW w:w="0" w:type="dxa"/>
            <w:vAlign w:val="bottom"/>
          </w:tcPr>
          <w:p>
            <w:pPr>
              <w:spacing w:after="0"/>
              <w:rPr>
                <w:sz w:val="1"/>
                <w:szCs w:val="1"/>
                <w:color w:val="auto"/>
              </w:rPr>
            </w:pPr>
          </w:p>
        </w:tc>
      </w:tr>
      <w:tr>
        <w:trPr>
          <w:trHeight w:val="216"/>
        </w:trPr>
        <w:tc>
          <w:tcPr>
            <w:tcW w:w="2500" w:type="dxa"/>
            <w:vAlign w:val="bottom"/>
            <w:tcBorders>
              <w:left w:val="single" w:sz="8" w:color="auto"/>
              <w:right w:val="single" w:sz="8" w:color="auto"/>
            </w:tcBorders>
            <w:vMerge w:val="restart"/>
          </w:tcPr>
          <w:p>
            <w:pPr>
              <w:ind w:left="60"/>
              <w:spacing w:after="0"/>
              <w:rPr>
                <w:sz w:val="20"/>
                <w:szCs w:val="20"/>
                <w:color w:val="auto"/>
              </w:rPr>
            </w:pPr>
            <w:r>
              <w:rPr>
                <w:rFonts w:ascii="Arial" w:cs="Arial" w:eastAsia="Arial" w:hAnsi="Arial"/>
                <w:sz w:val="18"/>
                <w:szCs w:val="18"/>
                <w:color w:val="auto"/>
              </w:rPr>
              <w:t>NINEBELL Co., Ltd.</w:t>
            </w:r>
          </w:p>
        </w:tc>
        <w:tc>
          <w:tcPr>
            <w:tcW w:w="558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w w:val="97"/>
              </w:rPr>
              <w:t>Current business appears to do software integration for robotic parts. A</w:t>
            </w:r>
          </w:p>
        </w:tc>
        <w:tc>
          <w:tcPr>
            <w:tcW w:w="3160" w:type="dxa"/>
            <w:vAlign w:val="bottom"/>
            <w:tcBorders>
              <w:right w:val="single" w:sz="8" w:color="auto"/>
            </w:tcBorders>
            <w:gridSpan w:val="2"/>
          </w:tcPr>
          <w:p>
            <w:pPr>
              <w:ind w:left="20"/>
              <w:spacing w:after="0"/>
              <w:rPr>
                <w:sz w:val="20"/>
                <w:szCs w:val="20"/>
                <w:color w:val="auto"/>
              </w:rPr>
            </w:pPr>
            <w:r>
              <w:rPr>
                <w:rFonts w:ascii="Arial" w:cs="Arial" w:eastAsia="Arial" w:hAnsi="Arial"/>
                <w:sz w:val="18"/>
                <w:szCs w:val="18"/>
                <w:color w:val="auto"/>
                <w:w w:val="98"/>
              </w:rPr>
              <w:t>diversified and different types of robotic</w:t>
            </w:r>
          </w:p>
        </w:tc>
        <w:tc>
          <w:tcPr>
            <w:tcW w:w="0" w:type="dxa"/>
            <w:vAlign w:val="bottom"/>
          </w:tcPr>
          <w:p>
            <w:pPr>
              <w:spacing w:after="0"/>
              <w:rPr>
                <w:sz w:val="1"/>
                <w:szCs w:val="1"/>
                <w:color w:val="auto"/>
              </w:rPr>
            </w:pPr>
          </w:p>
        </w:tc>
      </w:tr>
      <w:tr>
        <w:trPr>
          <w:trHeight w:val="122"/>
        </w:trPr>
        <w:tc>
          <w:tcPr>
            <w:tcW w:w="2500" w:type="dxa"/>
            <w:vAlign w:val="bottom"/>
            <w:tcBorders>
              <w:left w:val="single" w:sz="8" w:color="auto"/>
              <w:right w:val="single" w:sz="8" w:color="auto"/>
            </w:tcBorders>
            <w:vMerge w:val="continue"/>
          </w:tcPr>
          <w:p>
            <w:pPr>
              <w:spacing w:after="0"/>
              <w:rPr>
                <w:sz w:val="10"/>
                <w:szCs w:val="10"/>
                <w:color w:val="auto"/>
              </w:rPr>
            </w:pPr>
          </w:p>
        </w:tc>
        <w:tc>
          <w:tcPr>
            <w:tcW w:w="5580" w:type="dxa"/>
            <w:vAlign w:val="bottom"/>
            <w:tcBorders>
              <w:right w:val="single" w:sz="8" w:color="auto"/>
            </w:tcBorders>
            <w:vMerge w:val="restart"/>
          </w:tcPr>
          <w:p>
            <w:pPr>
              <w:ind w:left="20"/>
              <w:spacing w:after="0"/>
              <w:rPr>
                <w:sz w:val="20"/>
                <w:szCs w:val="20"/>
                <w:color w:val="auto"/>
              </w:rPr>
            </w:pPr>
            <w:r>
              <w:rPr>
                <w:rFonts w:ascii="Arial" w:cs="Arial" w:eastAsia="Arial" w:hAnsi="Arial"/>
                <w:sz w:val="18"/>
                <w:szCs w:val="18"/>
                <w:color w:val="auto"/>
              </w:rPr>
              <w:t>longtime ACMR executive told us that NINEBELL is simply a pass-</w:t>
            </w:r>
          </w:p>
        </w:tc>
        <w:tc>
          <w:tcPr>
            <w:tcW w:w="3160" w:type="dxa"/>
            <w:vAlign w:val="bottom"/>
            <w:tcBorders>
              <w:right w:val="single" w:sz="8" w:color="auto"/>
            </w:tcBorders>
            <w:gridSpan w:val="2"/>
            <w:vMerge w:val="restart"/>
          </w:tcPr>
          <w:p>
            <w:pPr>
              <w:ind w:left="20"/>
              <w:spacing w:after="0"/>
              <w:rPr>
                <w:sz w:val="20"/>
                <w:szCs w:val="20"/>
                <w:color w:val="auto"/>
              </w:rPr>
            </w:pPr>
            <w:r>
              <w:rPr>
                <w:rFonts w:ascii="Arial" w:cs="Arial" w:eastAsia="Arial" w:hAnsi="Arial"/>
                <w:sz w:val="18"/>
                <w:szCs w:val="18"/>
                <w:color w:val="auto"/>
                <w:w w:val="93"/>
              </w:rPr>
              <w:t>arms, with fast delivery and good service.</w:t>
            </w:r>
          </w:p>
        </w:tc>
        <w:tc>
          <w:tcPr>
            <w:tcW w:w="0" w:type="dxa"/>
            <w:vAlign w:val="bottom"/>
          </w:tcPr>
          <w:p>
            <w:pPr>
              <w:spacing w:after="0"/>
              <w:rPr>
                <w:sz w:val="1"/>
                <w:szCs w:val="1"/>
                <w:color w:val="auto"/>
              </w:rPr>
            </w:pPr>
          </w:p>
        </w:tc>
      </w:tr>
      <w:tr>
        <w:trPr>
          <w:trHeight w:val="94"/>
        </w:trPr>
        <w:tc>
          <w:tcPr>
            <w:tcW w:w="2500" w:type="dxa"/>
            <w:vAlign w:val="bottom"/>
            <w:tcBorders>
              <w:left w:val="single" w:sz="8" w:color="auto"/>
              <w:right w:val="single" w:sz="8" w:color="auto"/>
            </w:tcBorders>
          </w:tcPr>
          <w:p>
            <w:pPr>
              <w:spacing w:after="0"/>
              <w:rPr>
                <w:sz w:val="8"/>
                <w:szCs w:val="8"/>
                <w:color w:val="auto"/>
              </w:rPr>
            </w:pPr>
          </w:p>
        </w:tc>
        <w:tc>
          <w:tcPr>
            <w:tcW w:w="5580" w:type="dxa"/>
            <w:vAlign w:val="bottom"/>
            <w:tcBorders>
              <w:right w:val="single" w:sz="8" w:color="auto"/>
            </w:tcBorders>
            <w:vMerge w:val="continue"/>
          </w:tcPr>
          <w:p>
            <w:pPr>
              <w:spacing w:after="0"/>
              <w:rPr>
                <w:sz w:val="8"/>
                <w:szCs w:val="8"/>
                <w:color w:val="auto"/>
              </w:rPr>
            </w:pPr>
          </w:p>
        </w:tc>
        <w:tc>
          <w:tcPr>
            <w:tcW w:w="3160" w:type="dxa"/>
            <w:vAlign w:val="bottom"/>
            <w:tcBorders>
              <w:right w:val="single" w:sz="8" w:color="auto"/>
            </w:tcBorders>
            <w:gridSpan w:val="2"/>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500" w:type="dxa"/>
            <w:vAlign w:val="bottom"/>
            <w:tcBorders>
              <w:left w:val="single" w:sz="8" w:color="auto"/>
              <w:right w:val="single" w:sz="8" w:color="auto"/>
            </w:tcBorders>
          </w:tcPr>
          <w:p>
            <w:pPr>
              <w:spacing w:after="0"/>
              <w:rPr>
                <w:sz w:val="18"/>
                <w:szCs w:val="18"/>
                <w:color w:val="auto"/>
              </w:rPr>
            </w:pPr>
          </w:p>
        </w:tc>
        <w:tc>
          <w:tcPr>
            <w:tcW w:w="558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w w:val="99"/>
              </w:rPr>
              <w:t>through for ACMR. We believe NINEBELL has no original technology.</w:t>
            </w:r>
          </w:p>
        </w:tc>
        <w:tc>
          <w:tcPr>
            <w:tcW w:w="3160" w:type="dxa"/>
            <w:vAlign w:val="bottom"/>
            <w:tcBorders>
              <w:right w:val="single" w:sz="8" w:color="auto"/>
            </w:tcBorders>
            <w:gridSpan w:val="2"/>
          </w:tcPr>
          <w:p>
            <w:pPr>
              <w:ind w:left="20"/>
              <w:spacing w:after="0"/>
              <w:rPr>
                <w:sz w:val="20"/>
                <w:szCs w:val="20"/>
                <w:color w:val="auto"/>
              </w:rPr>
            </w:pPr>
            <w:r>
              <w:rPr>
                <w:rFonts w:ascii="Arial" w:cs="Arial" w:eastAsia="Arial" w:hAnsi="Arial"/>
                <w:sz w:val="18"/>
                <w:szCs w:val="18"/>
                <w:color w:val="auto"/>
              </w:rPr>
              <w:t>For  details,  please  refer  to  “Core</w:t>
            </w:r>
          </w:p>
        </w:tc>
        <w:tc>
          <w:tcPr>
            <w:tcW w:w="0" w:type="dxa"/>
            <w:vAlign w:val="bottom"/>
          </w:tcPr>
          <w:p>
            <w:pPr>
              <w:spacing w:after="0"/>
              <w:rPr>
                <w:sz w:val="1"/>
                <w:szCs w:val="1"/>
                <w:color w:val="auto"/>
              </w:rPr>
            </w:pPr>
          </w:p>
        </w:tc>
      </w:tr>
      <w:tr>
        <w:trPr>
          <w:trHeight w:val="216"/>
        </w:trPr>
        <w:tc>
          <w:tcPr>
            <w:tcW w:w="2500" w:type="dxa"/>
            <w:vAlign w:val="bottom"/>
            <w:tcBorders>
              <w:left w:val="single" w:sz="8" w:color="auto"/>
              <w:right w:val="single" w:sz="8" w:color="auto"/>
            </w:tcBorders>
          </w:tcPr>
          <w:p>
            <w:pPr>
              <w:spacing w:after="0"/>
              <w:rPr>
                <w:sz w:val="18"/>
                <w:szCs w:val="18"/>
                <w:color w:val="auto"/>
              </w:rPr>
            </w:pPr>
          </w:p>
        </w:tc>
        <w:tc>
          <w:tcPr>
            <w:tcW w:w="5580" w:type="dxa"/>
            <w:vAlign w:val="bottom"/>
            <w:tcBorders>
              <w:right w:val="single" w:sz="8" w:color="auto"/>
            </w:tcBorders>
          </w:tcPr>
          <w:p>
            <w:pPr>
              <w:spacing w:after="0"/>
              <w:rPr>
                <w:sz w:val="18"/>
                <w:szCs w:val="18"/>
                <w:color w:val="auto"/>
              </w:rPr>
            </w:pPr>
          </w:p>
        </w:tc>
        <w:tc>
          <w:tcPr>
            <w:tcW w:w="3160" w:type="dxa"/>
            <w:vAlign w:val="bottom"/>
            <w:tcBorders>
              <w:right w:val="single" w:sz="8" w:color="auto"/>
            </w:tcBorders>
            <w:gridSpan w:val="2"/>
          </w:tcPr>
          <w:p>
            <w:pPr>
              <w:ind w:left="20"/>
              <w:spacing w:after="0"/>
              <w:rPr>
                <w:sz w:val="20"/>
                <w:szCs w:val="20"/>
                <w:color w:val="auto"/>
              </w:rPr>
            </w:pPr>
            <w:r>
              <w:rPr>
                <w:rFonts w:ascii="Arial" w:cs="Arial" w:eastAsia="Arial" w:hAnsi="Arial"/>
                <w:sz w:val="18"/>
                <w:szCs w:val="18"/>
                <w:color w:val="auto"/>
              </w:rPr>
              <w:t>Challenge 5: About NINEBELL” in Part</w:t>
            </w:r>
          </w:p>
        </w:tc>
        <w:tc>
          <w:tcPr>
            <w:tcW w:w="0" w:type="dxa"/>
            <w:vAlign w:val="bottom"/>
          </w:tcPr>
          <w:p>
            <w:pPr>
              <w:spacing w:after="0"/>
              <w:rPr>
                <w:sz w:val="1"/>
                <w:szCs w:val="1"/>
                <w:color w:val="auto"/>
              </w:rPr>
            </w:pPr>
          </w:p>
        </w:tc>
      </w:tr>
      <w:tr>
        <w:trPr>
          <w:trHeight w:val="230"/>
        </w:trPr>
        <w:tc>
          <w:tcPr>
            <w:tcW w:w="2500" w:type="dxa"/>
            <w:vAlign w:val="bottom"/>
            <w:tcBorders>
              <w:left w:val="single" w:sz="8" w:color="auto"/>
              <w:right w:val="single" w:sz="8" w:color="auto"/>
            </w:tcBorders>
          </w:tcPr>
          <w:p>
            <w:pPr>
              <w:spacing w:after="0"/>
              <w:rPr>
                <w:sz w:val="20"/>
                <w:szCs w:val="20"/>
                <w:color w:val="auto"/>
              </w:rPr>
            </w:pPr>
          </w:p>
        </w:tc>
        <w:tc>
          <w:tcPr>
            <w:tcW w:w="5580" w:type="dxa"/>
            <w:vAlign w:val="bottom"/>
            <w:tcBorders>
              <w:right w:val="single" w:sz="8" w:color="auto"/>
            </w:tcBorders>
          </w:tcPr>
          <w:p>
            <w:pPr>
              <w:spacing w:after="0"/>
              <w:rPr>
                <w:sz w:val="20"/>
                <w:szCs w:val="20"/>
                <w:color w:val="auto"/>
              </w:rPr>
            </w:pPr>
          </w:p>
        </w:tc>
        <w:tc>
          <w:tcPr>
            <w:tcW w:w="1680" w:type="dxa"/>
            <w:vAlign w:val="bottom"/>
          </w:tcPr>
          <w:p>
            <w:pPr>
              <w:ind w:left="20"/>
              <w:spacing w:after="0"/>
              <w:rPr>
                <w:sz w:val="20"/>
                <w:szCs w:val="20"/>
                <w:color w:val="auto"/>
              </w:rPr>
            </w:pPr>
            <w:r>
              <w:rPr>
                <w:rFonts w:ascii="Arial" w:cs="Arial" w:eastAsia="Arial" w:hAnsi="Arial"/>
                <w:sz w:val="18"/>
                <w:szCs w:val="18"/>
                <w:color w:val="auto"/>
              </w:rPr>
              <w:t>A hereof.</w:t>
            </w:r>
          </w:p>
        </w:tc>
        <w:tc>
          <w:tcPr>
            <w:tcW w:w="148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34"/>
        </w:trPr>
        <w:tc>
          <w:tcPr>
            <w:tcW w:w="2500" w:type="dxa"/>
            <w:vAlign w:val="bottom"/>
            <w:tcBorders>
              <w:left w:val="single" w:sz="8" w:color="auto"/>
              <w:bottom w:val="single" w:sz="8" w:color="auto"/>
              <w:right w:val="single" w:sz="8" w:color="auto"/>
            </w:tcBorders>
          </w:tcPr>
          <w:p>
            <w:pPr>
              <w:spacing w:after="0"/>
              <w:rPr>
                <w:sz w:val="2"/>
                <w:szCs w:val="2"/>
                <w:color w:val="auto"/>
              </w:rPr>
            </w:pPr>
          </w:p>
        </w:tc>
        <w:tc>
          <w:tcPr>
            <w:tcW w:w="5580" w:type="dxa"/>
            <w:vAlign w:val="bottom"/>
            <w:tcBorders>
              <w:bottom w:val="single" w:sz="8" w:color="auto"/>
              <w:right w:val="single" w:sz="8" w:color="auto"/>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c>
          <w:tcPr>
            <w:tcW w:w="148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9"/>
        </w:trPr>
        <w:tc>
          <w:tcPr>
            <w:tcW w:w="2500" w:type="dxa"/>
            <w:vAlign w:val="bottom"/>
            <w:tcBorders>
              <w:left w:val="single" w:sz="8" w:color="auto"/>
              <w:right w:val="single" w:sz="8" w:color="auto"/>
            </w:tcBorders>
          </w:tcPr>
          <w:p>
            <w:pPr>
              <w:spacing w:after="0"/>
              <w:rPr>
                <w:sz w:val="19"/>
                <w:szCs w:val="19"/>
                <w:color w:val="auto"/>
              </w:rPr>
            </w:pPr>
          </w:p>
        </w:tc>
        <w:tc>
          <w:tcPr>
            <w:tcW w:w="558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w w:val="92"/>
              </w:rPr>
              <w:t>ACMR discloses that the U.S. company purchases parts and ships them to</w:t>
            </w:r>
          </w:p>
        </w:tc>
        <w:tc>
          <w:tcPr>
            <w:tcW w:w="1680" w:type="dxa"/>
            <w:vAlign w:val="bottom"/>
          </w:tcPr>
          <w:p>
            <w:pPr>
              <w:spacing w:after="0"/>
              <w:rPr>
                <w:sz w:val="19"/>
                <w:szCs w:val="19"/>
                <w:color w:val="auto"/>
              </w:rPr>
            </w:pPr>
          </w:p>
        </w:tc>
        <w:tc>
          <w:tcPr>
            <w:tcW w:w="148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500" w:type="dxa"/>
            <w:vAlign w:val="bottom"/>
            <w:tcBorders>
              <w:left w:val="single" w:sz="8" w:color="auto"/>
              <w:right w:val="single" w:sz="8" w:color="auto"/>
            </w:tcBorders>
          </w:tcPr>
          <w:p>
            <w:pPr>
              <w:spacing w:after="0"/>
              <w:rPr>
                <w:sz w:val="18"/>
                <w:szCs w:val="18"/>
                <w:color w:val="auto"/>
              </w:rPr>
            </w:pPr>
          </w:p>
        </w:tc>
        <w:tc>
          <w:tcPr>
            <w:tcW w:w="558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w w:val="95"/>
              </w:rPr>
              <w:t>China. However, U.S. bills of lading show no exports by ACMR. Because</w:t>
            </w:r>
          </w:p>
        </w:tc>
        <w:tc>
          <w:tcPr>
            <w:tcW w:w="3160" w:type="dxa"/>
            <w:vAlign w:val="bottom"/>
            <w:tcBorders>
              <w:right w:val="single" w:sz="8" w:color="auto"/>
            </w:tcBorders>
            <w:gridSpan w:val="2"/>
          </w:tcPr>
          <w:p>
            <w:pPr>
              <w:ind w:left="20"/>
              <w:spacing w:after="0"/>
              <w:rPr>
                <w:sz w:val="20"/>
                <w:szCs w:val="20"/>
                <w:color w:val="auto"/>
              </w:rPr>
            </w:pPr>
            <w:r>
              <w:rPr>
                <w:rFonts w:ascii="Arial" w:cs="Arial" w:eastAsia="Arial" w:hAnsi="Arial"/>
                <w:sz w:val="18"/>
                <w:szCs w:val="18"/>
                <w:color w:val="auto"/>
                <w:w w:val="98"/>
              </w:rPr>
              <w:t>Please  refer  to  “Other  Challenge  11:</w:t>
            </w:r>
          </w:p>
        </w:tc>
        <w:tc>
          <w:tcPr>
            <w:tcW w:w="0" w:type="dxa"/>
            <w:vAlign w:val="bottom"/>
          </w:tcPr>
          <w:p>
            <w:pPr>
              <w:spacing w:after="0"/>
              <w:rPr>
                <w:sz w:val="1"/>
                <w:szCs w:val="1"/>
                <w:color w:val="auto"/>
              </w:rPr>
            </w:pPr>
          </w:p>
        </w:tc>
      </w:tr>
      <w:tr>
        <w:trPr>
          <w:trHeight w:val="216"/>
        </w:trPr>
        <w:tc>
          <w:tcPr>
            <w:tcW w:w="2500" w:type="dxa"/>
            <w:vAlign w:val="bottom"/>
            <w:tcBorders>
              <w:left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ACMR</w:t>
            </w:r>
          </w:p>
        </w:tc>
        <w:tc>
          <w:tcPr>
            <w:tcW w:w="558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w w:val="90"/>
              </w:rPr>
              <w:t>the volume of manufacturing is small - about 25 machines per year - and the</w:t>
            </w:r>
          </w:p>
        </w:tc>
        <w:tc>
          <w:tcPr>
            <w:tcW w:w="3160" w:type="dxa"/>
            <w:vAlign w:val="bottom"/>
            <w:tcBorders>
              <w:right w:val="single" w:sz="8" w:color="auto"/>
            </w:tcBorders>
            <w:gridSpan w:val="2"/>
          </w:tcPr>
          <w:p>
            <w:pPr>
              <w:ind w:left="20"/>
              <w:spacing w:after="0"/>
              <w:rPr>
                <w:sz w:val="20"/>
                <w:szCs w:val="20"/>
                <w:color w:val="auto"/>
              </w:rPr>
            </w:pPr>
            <w:r>
              <w:rPr>
                <w:rFonts w:ascii="Arial" w:cs="Arial" w:eastAsia="Arial" w:hAnsi="Arial"/>
                <w:sz w:val="18"/>
                <w:szCs w:val="18"/>
                <w:color w:val="auto"/>
                <w:w w:val="97"/>
              </w:rPr>
              <w:t>About Overseas Procurement” in Part B</w:t>
            </w:r>
          </w:p>
        </w:tc>
        <w:tc>
          <w:tcPr>
            <w:tcW w:w="0" w:type="dxa"/>
            <w:vAlign w:val="bottom"/>
          </w:tcPr>
          <w:p>
            <w:pPr>
              <w:spacing w:after="0"/>
              <w:rPr>
                <w:sz w:val="1"/>
                <w:szCs w:val="1"/>
                <w:color w:val="auto"/>
              </w:rPr>
            </w:pPr>
          </w:p>
        </w:tc>
      </w:tr>
      <w:tr>
        <w:trPr>
          <w:trHeight w:val="216"/>
        </w:trPr>
        <w:tc>
          <w:tcPr>
            <w:tcW w:w="2500" w:type="dxa"/>
            <w:vAlign w:val="bottom"/>
            <w:tcBorders>
              <w:left w:val="single" w:sz="8" w:color="auto"/>
              <w:right w:val="single" w:sz="8" w:color="auto"/>
            </w:tcBorders>
          </w:tcPr>
          <w:p>
            <w:pPr>
              <w:spacing w:after="0"/>
              <w:rPr>
                <w:sz w:val="18"/>
                <w:szCs w:val="18"/>
                <w:color w:val="auto"/>
              </w:rPr>
            </w:pPr>
          </w:p>
        </w:tc>
        <w:tc>
          <w:tcPr>
            <w:tcW w:w="558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w w:val="99"/>
              </w:rPr>
              <w:t>most valuable parts are relatively small, the parts could be carried into</w:t>
            </w:r>
          </w:p>
        </w:tc>
        <w:tc>
          <w:tcPr>
            <w:tcW w:w="1680" w:type="dxa"/>
            <w:vAlign w:val="bottom"/>
          </w:tcPr>
          <w:p>
            <w:pPr>
              <w:ind w:left="20"/>
              <w:spacing w:after="0"/>
              <w:rPr>
                <w:sz w:val="20"/>
                <w:szCs w:val="20"/>
                <w:color w:val="auto"/>
              </w:rPr>
            </w:pPr>
            <w:r>
              <w:rPr>
                <w:rFonts w:ascii="Arial" w:cs="Arial" w:eastAsia="Arial" w:hAnsi="Arial"/>
                <w:sz w:val="18"/>
                <w:szCs w:val="18"/>
                <w:color w:val="auto"/>
              </w:rPr>
              <w:t>hereof.</w:t>
            </w:r>
          </w:p>
        </w:tc>
        <w:tc>
          <w:tcPr>
            <w:tcW w:w="148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500" w:type="dxa"/>
            <w:vAlign w:val="bottom"/>
            <w:tcBorders>
              <w:left w:val="single" w:sz="8" w:color="auto"/>
              <w:right w:val="single" w:sz="8" w:color="auto"/>
            </w:tcBorders>
          </w:tcPr>
          <w:p>
            <w:pPr>
              <w:spacing w:after="0"/>
              <w:rPr>
                <w:sz w:val="20"/>
                <w:szCs w:val="20"/>
                <w:color w:val="auto"/>
              </w:rPr>
            </w:pPr>
          </w:p>
        </w:tc>
        <w:tc>
          <w:tcPr>
            <w:tcW w:w="558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China, thus avoiding import tariffs.</w:t>
            </w:r>
          </w:p>
        </w:tc>
        <w:tc>
          <w:tcPr>
            <w:tcW w:w="1680" w:type="dxa"/>
            <w:vAlign w:val="bottom"/>
          </w:tcPr>
          <w:p>
            <w:pPr>
              <w:spacing w:after="0"/>
              <w:rPr>
                <w:sz w:val="20"/>
                <w:szCs w:val="20"/>
                <w:color w:val="auto"/>
              </w:rPr>
            </w:pPr>
          </w:p>
        </w:tc>
        <w:tc>
          <w:tcPr>
            <w:tcW w:w="148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34"/>
        </w:trPr>
        <w:tc>
          <w:tcPr>
            <w:tcW w:w="2500" w:type="dxa"/>
            <w:vAlign w:val="bottom"/>
            <w:tcBorders>
              <w:left w:val="single" w:sz="8" w:color="auto"/>
              <w:bottom w:val="single" w:sz="8" w:color="auto"/>
              <w:right w:val="single" w:sz="8" w:color="auto"/>
            </w:tcBorders>
          </w:tcPr>
          <w:p>
            <w:pPr>
              <w:spacing w:after="0"/>
              <w:rPr>
                <w:sz w:val="2"/>
                <w:szCs w:val="2"/>
                <w:color w:val="auto"/>
              </w:rPr>
            </w:pPr>
          </w:p>
        </w:tc>
        <w:tc>
          <w:tcPr>
            <w:tcW w:w="5580" w:type="dxa"/>
            <w:vAlign w:val="bottom"/>
            <w:tcBorders>
              <w:bottom w:val="single" w:sz="8" w:color="auto"/>
              <w:right w:val="single" w:sz="8" w:color="auto"/>
            </w:tcBorders>
          </w:tcPr>
          <w:p>
            <w:pPr>
              <w:spacing w:after="0"/>
              <w:rPr>
                <w:sz w:val="2"/>
                <w:szCs w:val="2"/>
                <w:color w:val="auto"/>
              </w:rPr>
            </w:pPr>
          </w:p>
        </w:tc>
        <w:tc>
          <w:tcPr>
            <w:tcW w:w="3160" w:type="dxa"/>
            <w:vAlign w:val="bottom"/>
            <w:tcBorders>
              <w:bottom w:val="single" w:sz="8" w:color="auto"/>
              <w:right w:val="single" w:sz="8" w:color="auto"/>
            </w:tcBorders>
            <w:gridSpan w:val="2"/>
          </w:tcPr>
          <w:p>
            <w:pPr>
              <w:spacing w:after="0"/>
              <w:rPr>
                <w:sz w:val="2"/>
                <w:szCs w:val="2"/>
                <w:color w:val="auto"/>
              </w:rPr>
            </w:pPr>
          </w:p>
        </w:tc>
        <w:tc>
          <w:tcPr>
            <w:tcW w:w="0" w:type="dxa"/>
            <w:vAlign w:val="bottom"/>
          </w:tcPr>
          <w:p>
            <w:pPr>
              <w:spacing w:after="0"/>
              <w:rPr>
                <w:sz w:val="1"/>
                <w:szCs w:val="1"/>
                <w:color w:val="auto"/>
              </w:rPr>
            </w:pPr>
          </w:p>
        </w:tc>
      </w:tr>
      <w:tr>
        <w:trPr>
          <w:trHeight w:val="229"/>
        </w:trPr>
        <w:tc>
          <w:tcPr>
            <w:tcW w:w="2500" w:type="dxa"/>
            <w:vAlign w:val="bottom"/>
            <w:tcBorders>
              <w:left w:val="single" w:sz="8" w:color="auto"/>
              <w:right w:val="single" w:sz="8" w:color="auto"/>
            </w:tcBorders>
          </w:tcPr>
          <w:p>
            <w:pPr>
              <w:spacing w:after="0"/>
              <w:rPr>
                <w:sz w:val="19"/>
                <w:szCs w:val="19"/>
                <w:color w:val="auto"/>
              </w:rPr>
            </w:pPr>
          </w:p>
        </w:tc>
        <w:tc>
          <w:tcPr>
            <w:tcW w:w="5580" w:type="dxa"/>
            <w:vAlign w:val="bottom"/>
            <w:tcBorders>
              <w:right w:val="single" w:sz="8" w:color="auto"/>
            </w:tcBorders>
          </w:tcPr>
          <w:p>
            <w:pPr>
              <w:spacing w:after="0"/>
              <w:rPr>
                <w:sz w:val="19"/>
                <w:szCs w:val="19"/>
                <w:color w:val="auto"/>
              </w:rPr>
            </w:pPr>
          </w:p>
        </w:tc>
        <w:tc>
          <w:tcPr>
            <w:tcW w:w="3160" w:type="dxa"/>
            <w:vAlign w:val="bottom"/>
            <w:tcBorders>
              <w:right w:val="single" w:sz="8" w:color="auto"/>
            </w:tcBorders>
            <w:gridSpan w:val="2"/>
          </w:tcPr>
          <w:p>
            <w:pPr>
              <w:ind w:left="20"/>
              <w:spacing w:after="0"/>
              <w:rPr>
                <w:sz w:val="20"/>
                <w:szCs w:val="20"/>
                <w:color w:val="auto"/>
              </w:rPr>
            </w:pPr>
            <w:r>
              <w:rPr>
                <w:rFonts w:ascii="Arial" w:cs="Arial" w:eastAsia="Arial" w:hAnsi="Arial"/>
                <w:sz w:val="18"/>
                <w:szCs w:val="18"/>
                <w:color w:val="auto"/>
                <w:w w:val="94"/>
              </w:rPr>
              <w:t>Direct business with MKS began in 2011;</w:t>
            </w:r>
          </w:p>
        </w:tc>
        <w:tc>
          <w:tcPr>
            <w:tcW w:w="0" w:type="dxa"/>
            <w:vAlign w:val="bottom"/>
          </w:tcPr>
          <w:p>
            <w:pPr>
              <w:spacing w:after="0"/>
              <w:rPr>
                <w:sz w:val="1"/>
                <w:szCs w:val="1"/>
                <w:color w:val="auto"/>
              </w:rPr>
            </w:pPr>
          </w:p>
        </w:tc>
      </w:tr>
      <w:tr>
        <w:trPr>
          <w:trHeight w:val="216"/>
        </w:trPr>
        <w:tc>
          <w:tcPr>
            <w:tcW w:w="2500" w:type="dxa"/>
            <w:vAlign w:val="bottom"/>
            <w:tcBorders>
              <w:left w:val="single" w:sz="8" w:color="auto"/>
              <w:right w:val="single" w:sz="8" w:color="auto"/>
            </w:tcBorders>
          </w:tcPr>
          <w:p>
            <w:pPr>
              <w:spacing w:after="0"/>
              <w:rPr>
                <w:sz w:val="18"/>
                <w:szCs w:val="18"/>
                <w:color w:val="auto"/>
              </w:rPr>
            </w:pPr>
          </w:p>
        </w:tc>
        <w:tc>
          <w:tcPr>
            <w:tcW w:w="5580" w:type="dxa"/>
            <w:vAlign w:val="bottom"/>
            <w:tcBorders>
              <w:right w:val="single" w:sz="8" w:color="auto"/>
            </w:tcBorders>
          </w:tcPr>
          <w:p>
            <w:pPr>
              <w:spacing w:after="0"/>
              <w:rPr>
                <w:sz w:val="18"/>
                <w:szCs w:val="18"/>
                <w:color w:val="auto"/>
              </w:rPr>
            </w:pPr>
          </w:p>
        </w:tc>
        <w:tc>
          <w:tcPr>
            <w:tcW w:w="3160" w:type="dxa"/>
            <w:vAlign w:val="bottom"/>
            <w:tcBorders>
              <w:right w:val="single" w:sz="8" w:color="auto"/>
            </w:tcBorders>
            <w:gridSpan w:val="2"/>
          </w:tcPr>
          <w:p>
            <w:pPr>
              <w:ind w:left="20"/>
              <w:spacing w:after="0"/>
              <w:rPr>
                <w:sz w:val="20"/>
                <w:szCs w:val="20"/>
                <w:color w:val="auto"/>
              </w:rPr>
            </w:pPr>
            <w:r>
              <w:rPr>
                <w:rFonts w:ascii="Arial" w:cs="Arial" w:eastAsia="Arial" w:hAnsi="Arial"/>
                <w:sz w:val="18"/>
                <w:szCs w:val="18"/>
                <w:color w:val="auto"/>
                <w:w w:val="98"/>
              </w:rPr>
              <w:t>initially it is valves and pressure gauges</w:t>
            </w:r>
          </w:p>
        </w:tc>
        <w:tc>
          <w:tcPr>
            <w:tcW w:w="0" w:type="dxa"/>
            <w:vAlign w:val="bottom"/>
          </w:tcPr>
          <w:p>
            <w:pPr>
              <w:spacing w:after="0"/>
              <w:rPr>
                <w:sz w:val="1"/>
                <w:szCs w:val="1"/>
                <w:color w:val="auto"/>
              </w:rPr>
            </w:pPr>
          </w:p>
        </w:tc>
      </w:tr>
      <w:tr>
        <w:trPr>
          <w:trHeight w:val="216"/>
        </w:trPr>
        <w:tc>
          <w:tcPr>
            <w:tcW w:w="2500" w:type="dxa"/>
            <w:vAlign w:val="bottom"/>
            <w:tcBorders>
              <w:left w:val="single" w:sz="8" w:color="auto"/>
              <w:right w:val="single" w:sz="8" w:color="auto"/>
            </w:tcBorders>
          </w:tcPr>
          <w:p>
            <w:pPr>
              <w:spacing w:after="0"/>
              <w:rPr>
                <w:sz w:val="18"/>
                <w:szCs w:val="18"/>
                <w:color w:val="auto"/>
              </w:rPr>
            </w:pPr>
          </w:p>
        </w:tc>
        <w:tc>
          <w:tcPr>
            <w:tcW w:w="5580" w:type="dxa"/>
            <w:vAlign w:val="bottom"/>
            <w:tcBorders>
              <w:right w:val="single" w:sz="8" w:color="auto"/>
            </w:tcBorders>
          </w:tcPr>
          <w:p>
            <w:pPr>
              <w:spacing w:after="0"/>
              <w:rPr>
                <w:sz w:val="18"/>
                <w:szCs w:val="18"/>
                <w:color w:val="auto"/>
              </w:rPr>
            </w:pPr>
          </w:p>
        </w:tc>
        <w:tc>
          <w:tcPr>
            <w:tcW w:w="3160" w:type="dxa"/>
            <w:vAlign w:val="bottom"/>
            <w:tcBorders>
              <w:right w:val="single" w:sz="8" w:color="auto"/>
            </w:tcBorders>
            <w:gridSpan w:val="2"/>
          </w:tcPr>
          <w:p>
            <w:pPr>
              <w:ind w:left="20"/>
              <w:spacing w:after="0"/>
              <w:rPr>
                <w:sz w:val="20"/>
                <w:szCs w:val="20"/>
                <w:color w:val="auto"/>
              </w:rPr>
            </w:pPr>
            <w:r>
              <w:rPr>
                <w:rFonts w:ascii="Arial" w:cs="Arial" w:eastAsia="Arial" w:hAnsi="Arial"/>
                <w:sz w:val="18"/>
                <w:szCs w:val="18"/>
                <w:color w:val="auto"/>
                <w:w w:val="96"/>
              </w:rPr>
              <w:t>that were purchased from it; in 2015, the</w:t>
            </w:r>
          </w:p>
        </w:tc>
        <w:tc>
          <w:tcPr>
            <w:tcW w:w="0" w:type="dxa"/>
            <w:vAlign w:val="bottom"/>
          </w:tcPr>
          <w:p>
            <w:pPr>
              <w:spacing w:after="0"/>
              <w:rPr>
                <w:sz w:val="1"/>
                <w:szCs w:val="1"/>
                <w:color w:val="auto"/>
              </w:rPr>
            </w:pPr>
          </w:p>
        </w:tc>
      </w:tr>
      <w:tr>
        <w:trPr>
          <w:trHeight w:val="284"/>
        </w:trPr>
        <w:tc>
          <w:tcPr>
            <w:tcW w:w="2500" w:type="dxa"/>
            <w:vAlign w:val="bottom"/>
            <w:tcBorders>
              <w:left w:val="single" w:sz="8" w:color="auto"/>
              <w:right w:val="single" w:sz="8" w:color="auto"/>
            </w:tcBorders>
          </w:tcPr>
          <w:p>
            <w:pPr>
              <w:spacing w:after="0"/>
              <w:rPr>
                <w:sz w:val="24"/>
                <w:szCs w:val="24"/>
                <w:color w:val="auto"/>
              </w:rPr>
            </w:pPr>
          </w:p>
        </w:tc>
        <w:tc>
          <w:tcPr>
            <w:tcW w:w="558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w w:val="91"/>
              </w:rPr>
              <w:t>We spoke with eight company representatives. Seven said ACMR was not a</w:t>
            </w:r>
          </w:p>
        </w:tc>
        <w:tc>
          <w:tcPr>
            <w:tcW w:w="3160" w:type="dxa"/>
            <w:vAlign w:val="bottom"/>
            <w:tcBorders>
              <w:right w:val="single" w:sz="8" w:color="auto"/>
            </w:tcBorders>
            <w:gridSpan w:val="2"/>
          </w:tcPr>
          <w:p>
            <w:pPr>
              <w:ind w:left="20"/>
              <w:spacing w:after="0"/>
              <w:rPr>
                <w:sz w:val="20"/>
                <w:szCs w:val="20"/>
                <w:color w:val="auto"/>
              </w:rPr>
            </w:pPr>
            <w:r>
              <w:rPr>
                <w:rFonts w:ascii="Arial" w:cs="Arial" w:eastAsia="Arial" w:hAnsi="Arial"/>
                <w:sz w:val="18"/>
                <w:szCs w:val="18"/>
                <w:color w:val="auto"/>
                <w:w w:val="93"/>
              </w:rPr>
              <w:t>first ozone generator was purchased, and</w:t>
            </w:r>
          </w:p>
        </w:tc>
        <w:tc>
          <w:tcPr>
            <w:tcW w:w="0" w:type="dxa"/>
            <w:vAlign w:val="bottom"/>
          </w:tcPr>
          <w:p>
            <w:pPr>
              <w:spacing w:after="0"/>
              <w:rPr>
                <w:sz w:val="1"/>
                <w:szCs w:val="1"/>
                <w:color w:val="auto"/>
              </w:rPr>
            </w:pPr>
          </w:p>
        </w:tc>
      </w:tr>
      <w:tr>
        <w:trPr>
          <w:trHeight w:val="216"/>
        </w:trPr>
        <w:tc>
          <w:tcPr>
            <w:tcW w:w="2500" w:type="dxa"/>
            <w:vAlign w:val="bottom"/>
            <w:tcBorders>
              <w:left w:val="single" w:sz="8" w:color="auto"/>
              <w:right w:val="single" w:sz="8" w:color="auto"/>
            </w:tcBorders>
            <w:vMerge w:val="restart"/>
          </w:tcPr>
          <w:p>
            <w:pPr>
              <w:ind w:left="60"/>
              <w:spacing w:after="0"/>
              <w:rPr>
                <w:sz w:val="20"/>
                <w:szCs w:val="20"/>
                <w:color w:val="auto"/>
              </w:rPr>
            </w:pPr>
            <w:r>
              <w:rPr>
                <w:rFonts w:ascii="Arial" w:cs="Arial" w:eastAsia="Arial" w:hAnsi="Arial"/>
                <w:sz w:val="18"/>
                <w:szCs w:val="18"/>
                <w:color w:val="auto"/>
              </w:rPr>
              <w:t>MKS Instruments</w:t>
            </w:r>
          </w:p>
        </w:tc>
        <w:tc>
          <w:tcPr>
            <w:tcW w:w="558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w w:val="92"/>
              </w:rPr>
              <w:t>client. One named all the company’s clients and insisted “I can confirm that</w:t>
            </w:r>
          </w:p>
        </w:tc>
        <w:tc>
          <w:tcPr>
            <w:tcW w:w="3160" w:type="dxa"/>
            <w:vAlign w:val="bottom"/>
            <w:tcBorders>
              <w:right w:val="single" w:sz="8" w:color="auto"/>
            </w:tcBorders>
            <w:gridSpan w:val="2"/>
          </w:tcPr>
          <w:p>
            <w:pPr>
              <w:ind w:left="20"/>
              <w:spacing w:after="0"/>
              <w:rPr>
                <w:sz w:val="20"/>
                <w:szCs w:val="20"/>
                <w:color w:val="auto"/>
              </w:rPr>
            </w:pPr>
            <w:r>
              <w:rPr>
                <w:rFonts w:ascii="Arial" w:cs="Arial" w:eastAsia="Arial" w:hAnsi="Arial"/>
                <w:sz w:val="18"/>
                <w:szCs w:val="18"/>
                <w:color w:val="auto"/>
                <w:w w:val="98"/>
              </w:rPr>
              <w:t>the purchase amount increased year by</w:t>
            </w:r>
          </w:p>
        </w:tc>
        <w:tc>
          <w:tcPr>
            <w:tcW w:w="0" w:type="dxa"/>
            <w:vAlign w:val="bottom"/>
          </w:tcPr>
          <w:p>
            <w:pPr>
              <w:spacing w:after="0"/>
              <w:rPr>
                <w:sz w:val="1"/>
                <w:szCs w:val="1"/>
                <w:color w:val="auto"/>
              </w:rPr>
            </w:pPr>
          </w:p>
        </w:tc>
      </w:tr>
      <w:tr>
        <w:trPr>
          <w:trHeight w:val="148"/>
        </w:trPr>
        <w:tc>
          <w:tcPr>
            <w:tcW w:w="2500" w:type="dxa"/>
            <w:vAlign w:val="bottom"/>
            <w:tcBorders>
              <w:left w:val="single" w:sz="8" w:color="auto"/>
              <w:right w:val="single" w:sz="8" w:color="auto"/>
            </w:tcBorders>
            <w:vMerge w:val="continue"/>
          </w:tcPr>
          <w:p>
            <w:pPr>
              <w:spacing w:after="0"/>
              <w:rPr>
                <w:sz w:val="12"/>
                <w:szCs w:val="12"/>
                <w:color w:val="auto"/>
              </w:rPr>
            </w:pPr>
          </w:p>
        </w:tc>
        <w:tc>
          <w:tcPr>
            <w:tcW w:w="5580" w:type="dxa"/>
            <w:vAlign w:val="bottom"/>
            <w:tcBorders>
              <w:right w:val="single" w:sz="8" w:color="auto"/>
            </w:tcBorders>
            <w:vMerge w:val="restart"/>
          </w:tcPr>
          <w:p>
            <w:pPr>
              <w:ind w:left="20"/>
              <w:spacing w:after="0"/>
              <w:rPr>
                <w:sz w:val="20"/>
                <w:szCs w:val="20"/>
                <w:color w:val="auto"/>
              </w:rPr>
            </w:pPr>
            <w:r>
              <w:rPr>
                <w:rFonts w:ascii="Arial" w:cs="Arial" w:eastAsia="Arial" w:hAnsi="Arial"/>
                <w:sz w:val="18"/>
                <w:szCs w:val="18"/>
                <w:color w:val="auto"/>
                <w:w w:val="95"/>
              </w:rPr>
              <w:t>ACMR is not a direct client.” The eighth said that ACMR is a client but he</w:t>
            </w:r>
          </w:p>
        </w:tc>
        <w:tc>
          <w:tcPr>
            <w:tcW w:w="3160" w:type="dxa"/>
            <w:vAlign w:val="bottom"/>
            <w:tcBorders>
              <w:right w:val="single" w:sz="8" w:color="auto"/>
            </w:tcBorders>
            <w:gridSpan w:val="2"/>
          </w:tcPr>
          <w:p>
            <w:pPr>
              <w:ind w:left="20"/>
              <w:spacing w:after="0" w:line="148" w:lineRule="exact"/>
              <w:rPr>
                <w:sz w:val="20"/>
                <w:szCs w:val="20"/>
                <w:color w:val="auto"/>
              </w:rPr>
            </w:pPr>
            <w:r>
              <w:rPr>
                <w:rFonts w:ascii="Arial" w:cs="Arial" w:eastAsia="Arial" w:hAnsi="Arial"/>
                <w:sz w:val="17"/>
                <w:szCs w:val="17"/>
                <w:color w:val="auto"/>
              </w:rPr>
              <w:t>year;  in  2018,  MKS  required  the</w:t>
            </w:r>
          </w:p>
        </w:tc>
        <w:tc>
          <w:tcPr>
            <w:tcW w:w="0" w:type="dxa"/>
            <w:vAlign w:val="bottom"/>
          </w:tcPr>
          <w:p>
            <w:pPr>
              <w:spacing w:after="0"/>
              <w:rPr>
                <w:sz w:val="1"/>
                <w:szCs w:val="1"/>
                <w:color w:val="auto"/>
              </w:rPr>
            </w:pPr>
          </w:p>
        </w:tc>
      </w:tr>
      <w:tr>
        <w:trPr>
          <w:trHeight w:val="176"/>
        </w:trPr>
        <w:tc>
          <w:tcPr>
            <w:tcW w:w="2500" w:type="dxa"/>
            <w:vAlign w:val="bottom"/>
            <w:tcBorders>
              <w:left w:val="single" w:sz="8" w:color="auto"/>
              <w:right w:val="single" w:sz="8" w:color="auto"/>
            </w:tcBorders>
          </w:tcPr>
          <w:p>
            <w:pPr>
              <w:spacing w:after="0"/>
              <w:rPr>
                <w:sz w:val="15"/>
                <w:szCs w:val="15"/>
                <w:color w:val="auto"/>
              </w:rPr>
            </w:pPr>
          </w:p>
        </w:tc>
        <w:tc>
          <w:tcPr>
            <w:tcW w:w="5580" w:type="dxa"/>
            <w:vAlign w:val="bottom"/>
            <w:tcBorders>
              <w:right w:val="single" w:sz="8" w:color="auto"/>
            </w:tcBorders>
            <w:vMerge w:val="continue"/>
          </w:tcPr>
          <w:p>
            <w:pPr>
              <w:spacing w:after="0"/>
              <w:rPr>
                <w:sz w:val="15"/>
                <w:szCs w:val="15"/>
                <w:color w:val="auto"/>
              </w:rPr>
            </w:pPr>
          </w:p>
        </w:tc>
        <w:tc>
          <w:tcPr>
            <w:tcW w:w="1680" w:type="dxa"/>
            <w:vAlign w:val="bottom"/>
          </w:tcPr>
          <w:p>
            <w:pPr>
              <w:ind w:left="20"/>
              <w:spacing w:after="0" w:line="176" w:lineRule="exact"/>
              <w:rPr>
                <w:sz w:val="20"/>
                <w:szCs w:val="20"/>
                <w:color w:val="auto"/>
              </w:rPr>
            </w:pPr>
            <w:r>
              <w:rPr>
                <w:rFonts w:ascii="Arial" w:cs="Arial" w:eastAsia="Arial" w:hAnsi="Arial"/>
                <w:sz w:val="18"/>
                <w:szCs w:val="18"/>
                <w:color w:val="auto"/>
                <w:w w:val="95"/>
              </w:rPr>
              <w:t>Company  to  change</w:t>
            </w:r>
          </w:p>
        </w:tc>
        <w:tc>
          <w:tcPr>
            <w:tcW w:w="1480" w:type="dxa"/>
            <w:vAlign w:val="bottom"/>
            <w:tcBorders>
              <w:right w:val="single" w:sz="8" w:color="auto"/>
            </w:tcBorders>
          </w:tcPr>
          <w:p>
            <w:pPr>
              <w:jc w:val="right"/>
              <w:spacing w:after="0" w:line="176" w:lineRule="exact"/>
              <w:rPr>
                <w:sz w:val="20"/>
                <w:szCs w:val="20"/>
                <w:color w:val="auto"/>
              </w:rPr>
            </w:pPr>
            <w:r>
              <w:rPr>
                <w:rFonts w:ascii="Arial" w:cs="Arial" w:eastAsia="Arial" w:hAnsi="Arial"/>
                <w:sz w:val="18"/>
                <w:szCs w:val="18"/>
                <w:color w:val="auto"/>
              </w:rPr>
              <w:t>its  supplier  from</w:t>
            </w:r>
          </w:p>
        </w:tc>
        <w:tc>
          <w:tcPr>
            <w:tcW w:w="0" w:type="dxa"/>
            <w:vAlign w:val="bottom"/>
          </w:tcPr>
          <w:p>
            <w:pPr>
              <w:spacing w:after="0"/>
              <w:rPr>
                <w:sz w:val="1"/>
                <w:szCs w:val="1"/>
                <w:color w:val="auto"/>
              </w:rPr>
            </w:pPr>
          </w:p>
        </w:tc>
      </w:tr>
      <w:tr>
        <w:trPr>
          <w:trHeight w:val="216"/>
        </w:trPr>
        <w:tc>
          <w:tcPr>
            <w:tcW w:w="2500" w:type="dxa"/>
            <w:vAlign w:val="bottom"/>
            <w:tcBorders>
              <w:left w:val="single" w:sz="8" w:color="auto"/>
              <w:right w:val="single" w:sz="8" w:color="auto"/>
            </w:tcBorders>
          </w:tcPr>
          <w:p>
            <w:pPr>
              <w:spacing w:after="0"/>
              <w:rPr>
                <w:sz w:val="18"/>
                <w:szCs w:val="18"/>
                <w:color w:val="auto"/>
              </w:rPr>
            </w:pPr>
          </w:p>
        </w:tc>
        <w:tc>
          <w:tcPr>
            <w:tcW w:w="558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could not say anything further.</w:t>
            </w:r>
          </w:p>
        </w:tc>
        <w:tc>
          <w:tcPr>
            <w:tcW w:w="3160" w:type="dxa"/>
            <w:vAlign w:val="bottom"/>
            <w:tcBorders>
              <w:right w:val="single" w:sz="8" w:color="auto"/>
            </w:tcBorders>
            <w:gridSpan w:val="2"/>
            <w:vMerge w:val="restart"/>
          </w:tcPr>
          <w:p>
            <w:pPr>
              <w:ind w:left="20"/>
              <w:spacing w:after="0"/>
              <w:rPr>
                <w:sz w:val="20"/>
                <w:szCs w:val="20"/>
                <w:color w:val="auto"/>
              </w:rPr>
            </w:pPr>
            <w:r>
              <w:rPr>
                <w:rFonts w:ascii="Arial" w:cs="Arial" w:eastAsia="Arial" w:hAnsi="Arial"/>
                <w:sz w:val="18"/>
                <w:szCs w:val="18"/>
                <w:color w:val="auto"/>
              </w:rPr>
              <w:t>MKS  Instruments  (Shanghai)  Ltd.  to</w:t>
            </w:r>
          </w:p>
        </w:tc>
        <w:tc>
          <w:tcPr>
            <w:tcW w:w="0" w:type="dxa"/>
            <w:vAlign w:val="bottom"/>
          </w:tcPr>
          <w:p>
            <w:pPr>
              <w:spacing w:after="0"/>
              <w:rPr>
                <w:sz w:val="1"/>
                <w:szCs w:val="1"/>
                <w:color w:val="auto"/>
              </w:rPr>
            </w:pPr>
          </w:p>
        </w:tc>
      </w:tr>
      <w:tr>
        <w:trPr>
          <w:trHeight w:val="40"/>
        </w:trPr>
        <w:tc>
          <w:tcPr>
            <w:tcW w:w="2500" w:type="dxa"/>
            <w:vAlign w:val="bottom"/>
            <w:tcBorders>
              <w:left w:val="single" w:sz="8" w:color="auto"/>
              <w:right w:val="single" w:sz="8" w:color="auto"/>
            </w:tcBorders>
          </w:tcPr>
          <w:p>
            <w:pPr>
              <w:spacing w:after="0"/>
              <w:rPr>
                <w:sz w:val="3"/>
                <w:szCs w:val="3"/>
                <w:color w:val="auto"/>
              </w:rPr>
            </w:pPr>
          </w:p>
        </w:tc>
        <w:tc>
          <w:tcPr>
            <w:tcW w:w="5580" w:type="dxa"/>
            <w:vAlign w:val="bottom"/>
            <w:tcBorders>
              <w:right w:val="single" w:sz="8" w:color="auto"/>
            </w:tcBorders>
          </w:tcPr>
          <w:p>
            <w:pPr>
              <w:spacing w:after="0"/>
              <w:rPr>
                <w:sz w:val="3"/>
                <w:szCs w:val="3"/>
                <w:color w:val="auto"/>
              </w:rPr>
            </w:pPr>
          </w:p>
        </w:tc>
        <w:tc>
          <w:tcPr>
            <w:tcW w:w="3160" w:type="dxa"/>
            <w:vAlign w:val="bottom"/>
            <w:tcBorders>
              <w:right w:val="single" w:sz="8" w:color="auto"/>
            </w:tcBorders>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16"/>
        </w:trPr>
        <w:tc>
          <w:tcPr>
            <w:tcW w:w="2500" w:type="dxa"/>
            <w:vAlign w:val="bottom"/>
            <w:tcBorders>
              <w:left w:val="single" w:sz="8" w:color="auto"/>
              <w:right w:val="single" w:sz="8" w:color="auto"/>
            </w:tcBorders>
          </w:tcPr>
          <w:p>
            <w:pPr>
              <w:spacing w:after="0"/>
              <w:rPr>
                <w:sz w:val="18"/>
                <w:szCs w:val="18"/>
                <w:color w:val="auto"/>
              </w:rPr>
            </w:pPr>
          </w:p>
        </w:tc>
        <w:tc>
          <w:tcPr>
            <w:tcW w:w="5580" w:type="dxa"/>
            <w:vAlign w:val="bottom"/>
            <w:tcBorders>
              <w:right w:val="single" w:sz="8" w:color="auto"/>
            </w:tcBorders>
          </w:tcPr>
          <w:p>
            <w:pPr>
              <w:spacing w:after="0"/>
              <w:rPr>
                <w:sz w:val="18"/>
                <w:szCs w:val="18"/>
                <w:color w:val="auto"/>
              </w:rPr>
            </w:pPr>
          </w:p>
        </w:tc>
        <w:tc>
          <w:tcPr>
            <w:tcW w:w="3160" w:type="dxa"/>
            <w:vAlign w:val="bottom"/>
            <w:tcBorders>
              <w:right w:val="single" w:sz="8" w:color="auto"/>
            </w:tcBorders>
            <w:gridSpan w:val="2"/>
          </w:tcPr>
          <w:p>
            <w:pPr>
              <w:ind w:left="20"/>
              <w:spacing w:after="0"/>
              <w:rPr>
                <w:sz w:val="20"/>
                <w:szCs w:val="20"/>
                <w:color w:val="auto"/>
              </w:rPr>
            </w:pPr>
            <w:r>
              <w:rPr>
                <w:rFonts w:ascii="Arial" w:cs="Arial" w:eastAsia="Arial" w:hAnsi="Arial"/>
                <w:sz w:val="18"/>
                <w:szCs w:val="18"/>
                <w:color w:val="auto"/>
              </w:rPr>
              <w:t>MKS Instruments (Hong Kong) Limited</w:t>
            </w:r>
          </w:p>
        </w:tc>
        <w:tc>
          <w:tcPr>
            <w:tcW w:w="0" w:type="dxa"/>
            <w:vAlign w:val="bottom"/>
          </w:tcPr>
          <w:p>
            <w:pPr>
              <w:spacing w:after="0"/>
              <w:rPr>
                <w:sz w:val="1"/>
                <w:szCs w:val="1"/>
                <w:color w:val="auto"/>
              </w:rPr>
            </w:pPr>
          </w:p>
        </w:tc>
      </w:tr>
      <w:tr>
        <w:trPr>
          <w:trHeight w:val="216"/>
        </w:trPr>
        <w:tc>
          <w:tcPr>
            <w:tcW w:w="2500" w:type="dxa"/>
            <w:vAlign w:val="bottom"/>
            <w:tcBorders>
              <w:left w:val="single" w:sz="8" w:color="auto"/>
              <w:right w:val="single" w:sz="8" w:color="auto"/>
            </w:tcBorders>
          </w:tcPr>
          <w:p>
            <w:pPr>
              <w:spacing w:after="0"/>
              <w:rPr>
                <w:sz w:val="18"/>
                <w:szCs w:val="18"/>
                <w:color w:val="auto"/>
              </w:rPr>
            </w:pPr>
          </w:p>
        </w:tc>
        <w:tc>
          <w:tcPr>
            <w:tcW w:w="5580" w:type="dxa"/>
            <w:vAlign w:val="bottom"/>
            <w:tcBorders>
              <w:right w:val="single" w:sz="8" w:color="auto"/>
            </w:tcBorders>
          </w:tcPr>
          <w:p>
            <w:pPr>
              <w:spacing w:after="0"/>
              <w:rPr>
                <w:sz w:val="18"/>
                <w:szCs w:val="18"/>
                <w:color w:val="auto"/>
              </w:rPr>
            </w:pPr>
          </w:p>
        </w:tc>
        <w:tc>
          <w:tcPr>
            <w:tcW w:w="3160" w:type="dxa"/>
            <w:vAlign w:val="bottom"/>
            <w:tcBorders>
              <w:right w:val="single" w:sz="8" w:color="auto"/>
            </w:tcBorders>
            <w:gridSpan w:val="2"/>
          </w:tcPr>
          <w:p>
            <w:pPr>
              <w:ind w:left="20"/>
              <w:spacing w:after="0"/>
              <w:rPr>
                <w:sz w:val="20"/>
                <w:szCs w:val="20"/>
                <w:color w:val="auto"/>
              </w:rPr>
            </w:pPr>
            <w:r>
              <w:rPr>
                <w:rFonts w:ascii="Arial" w:cs="Arial" w:eastAsia="Arial" w:hAnsi="Arial"/>
                <w:sz w:val="18"/>
                <w:szCs w:val="18"/>
                <w:color w:val="auto"/>
              </w:rPr>
              <w:t>from  April  2018  due  to  its  internal</w:t>
            </w:r>
          </w:p>
        </w:tc>
        <w:tc>
          <w:tcPr>
            <w:tcW w:w="0" w:type="dxa"/>
            <w:vAlign w:val="bottom"/>
          </w:tcPr>
          <w:p>
            <w:pPr>
              <w:spacing w:after="0"/>
              <w:rPr>
                <w:sz w:val="1"/>
                <w:szCs w:val="1"/>
                <w:color w:val="auto"/>
              </w:rPr>
            </w:pPr>
          </w:p>
        </w:tc>
      </w:tr>
      <w:tr>
        <w:trPr>
          <w:trHeight w:val="230"/>
        </w:trPr>
        <w:tc>
          <w:tcPr>
            <w:tcW w:w="2500" w:type="dxa"/>
            <w:vAlign w:val="bottom"/>
            <w:tcBorders>
              <w:left w:val="single" w:sz="8" w:color="auto"/>
              <w:right w:val="single" w:sz="8" w:color="auto"/>
            </w:tcBorders>
          </w:tcPr>
          <w:p>
            <w:pPr>
              <w:spacing w:after="0"/>
              <w:rPr>
                <w:sz w:val="20"/>
                <w:szCs w:val="20"/>
                <w:color w:val="auto"/>
              </w:rPr>
            </w:pPr>
          </w:p>
        </w:tc>
        <w:tc>
          <w:tcPr>
            <w:tcW w:w="5580" w:type="dxa"/>
            <w:vAlign w:val="bottom"/>
            <w:tcBorders>
              <w:right w:val="single" w:sz="8" w:color="auto"/>
            </w:tcBorders>
          </w:tcPr>
          <w:p>
            <w:pPr>
              <w:spacing w:after="0"/>
              <w:rPr>
                <w:sz w:val="20"/>
                <w:szCs w:val="20"/>
                <w:color w:val="auto"/>
              </w:rPr>
            </w:pPr>
          </w:p>
        </w:tc>
        <w:tc>
          <w:tcPr>
            <w:tcW w:w="1680" w:type="dxa"/>
            <w:vAlign w:val="bottom"/>
          </w:tcPr>
          <w:p>
            <w:pPr>
              <w:ind w:left="20"/>
              <w:spacing w:after="0"/>
              <w:rPr>
                <w:sz w:val="20"/>
                <w:szCs w:val="20"/>
                <w:color w:val="auto"/>
              </w:rPr>
            </w:pPr>
            <w:r>
              <w:rPr>
                <w:rFonts w:ascii="Arial" w:cs="Arial" w:eastAsia="Arial" w:hAnsi="Arial"/>
                <w:sz w:val="18"/>
                <w:szCs w:val="18"/>
                <w:color w:val="auto"/>
              </w:rPr>
              <w:t>adjustment.</w:t>
            </w:r>
          </w:p>
        </w:tc>
        <w:tc>
          <w:tcPr>
            <w:tcW w:w="148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34"/>
        </w:trPr>
        <w:tc>
          <w:tcPr>
            <w:tcW w:w="2500" w:type="dxa"/>
            <w:vAlign w:val="bottom"/>
            <w:tcBorders>
              <w:left w:val="single" w:sz="8" w:color="auto"/>
              <w:bottom w:val="single" w:sz="8" w:color="auto"/>
              <w:right w:val="single" w:sz="8" w:color="auto"/>
            </w:tcBorders>
          </w:tcPr>
          <w:p>
            <w:pPr>
              <w:spacing w:after="0"/>
              <w:rPr>
                <w:sz w:val="2"/>
                <w:szCs w:val="2"/>
                <w:color w:val="auto"/>
              </w:rPr>
            </w:pPr>
          </w:p>
        </w:tc>
        <w:tc>
          <w:tcPr>
            <w:tcW w:w="5580" w:type="dxa"/>
            <w:vAlign w:val="bottom"/>
            <w:tcBorders>
              <w:bottom w:val="single" w:sz="8" w:color="auto"/>
              <w:right w:val="single" w:sz="8" w:color="auto"/>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c>
          <w:tcPr>
            <w:tcW w:w="148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582"/>
        </w:trPr>
        <w:tc>
          <w:tcPr>
            <w:tcW w:w="2500" w:type="dxa"/>
            <w:vAlign w:val="bottom"/>
          </w:tcPr>
          <w:p>
            <w:pPr>
              <w:spacing w:after="0"/>
              <w:rPr>
                <w:sz w:val="24"/>
                <w:szCs w:val="24"/>
                <w:color w:val="auto"/>
              </w:rPr>
            </w:pPr>
          </w:p>
        </w:tc>
        <w:tc>
          <w:tcPr>
            <w:tcW w:w="5580" w:type="dxa"/>
            <w:vAlign w:val="bottom"/>
          </w:tcPr>
          <w:p>
            <w:pPr>
              <w:ind w:left="2880"/>
              <w:spacing w:after="0"/>
              <w:rPr>
                <w:sz w:val="20"/>
                <w:szCs w:val="20"/>
                <w:color w:val="auto"/>
              </w:rPr>
            </w:pPr>
            <w:r>
              <w:rPr>
                <w:rFonts w:ascii="Arial" w:cs="Arial" w:eastAsia="Arial" w:hAnsi="Arial"/>
                <w:sz w:val="14"/>
                <w:szCs w:val="14"/>
                <w:color w:val="auto"/>
              </w:rPr>
              <w:t>8-4-1-92</w:t>
            </w:r>
          </w:p>
        </w:tc>
        <w:tc>
          <w:tcPr>
            <w:tcW w:w="168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6"/>
        </w:trPr>
        <w:tc>
          <w:tcPr>
            <w:tcW w:w="2500" w:type="dxa"/>
            <w:vAlign w:val="bottom"/>
            <w:tcBorders>
              <w:bottom w:val="single" w:sz="8" w:color="auto"/>
            </w:tcBorders>
          </w:tcPr>
          <w:p>
            <w:pPr>
              <w:spacing w:after="0"/>
              <w:rPr>
                <w:sz w:val="4"/>
                <w:szCs w:val="4"/>
                <w:color w:val="auto"/>
              </w:rPr>
            </w:pPr>
          </w:p>
        </w:tc>
        <w:tc>
          <w:tcPr>
            <w:tcW w:w="5580" w:type="dxa"/>
            <w:vAlign w:val="bottom"/>
            <w:tcBorders>
              <w:bottom w:val="single" w:sz="8" w:color="auto"/>
            </w:tcBorders>
          </w:tcPr>
          <w:p>
            <w:pPr>
              <w:spacing w:after="0"/>
              <w:rPr>
                <w:sz w:val="4"/>
                <w:szCs w:val="4"/>
                <w:color w:val="auto"/>
              </w:rPr>
            </w:pPr>
          </w:p>
        </w:tc>
        <w:tc>
          <w:tcPr>
            <w:tcW w:w="1680" w:type="dxa"/>
            <w:vAlign w:val="bottom"/>
            <w:tcBorders>
              <w:bottom w:val="single" w:sz="8" w:color="auto"/>
            </w:tcBorders>
          </w:tcPr>
          <w:p>
            <w:pPr>
              <w:spacing w:after="0"/>
              <w:rPr>
                <w:sz w:val="4"/>
                <w:szCs w:val="4"/>
                <w:color w:val="auto"/>
              </w:rPr>
            </w:pPr>
          </w:p>
        </w:tc>
        <w:tc>
          <w:tcPr>
            <w:tcW w:w="148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118" w:right="339" w:bottom="1440" w:gutter="0" w:footer="0" w:header="0"/>
        </w:sectPr>
      </w:pPr>
    </w:p>
    <w:bookmarkStart w:id="96" w:name="page97"/>
    <w:bookmarkEnd w:id="96"/>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256"/>
        </w:trPr>
        <w:tc>
          <w:tcPr>
            <w:tcW w:w="2500" w:type="dxa"/>
            <w:vAlign w:val="bottom"/>
            <w:tcBorders>
              <w:top w:val="single" w:sz="8" w:color="auto"/>
              <w:left w:val="single" w:sz="8" w:color="auto"/>
              <w:right w:val="single" w:sz="8" w:color="auto"/>
            </w:tcBorders>
            <w:vMerge w:val="restart"/>
          </w:tcPr>
          <w:p>
            <w:pPr>
              <w:ind w:left="60"/>
              <w:spacing w:after="0"/>
              <w:rPr>
                <w:sz w:val="20"/>
                <w:szCs w:val="20"/>
                <w:color w:val="auto"/>
              </w:rPr>
            </w:pPr>
            <w:r>
              <w:rPr>
                <w:rFonts w:ascii="Arial" w:cs="Arial" w:eastAsia="Arial" w:hAnsi="Arial"/>
                <w:sz w:val="18"/>
                <w:szCs w:val="18"/>
                <w:color w:val="auto"/>
              </w:rPr>
              <w:t>GPM-</w:t>
            </w:r>
          </w:p>
        </w:tc>
        <w:tc>
          <w:tcPr>
            <w:tcW w:w="5580" w:type="dxa"/>
            <w:vAlign w:val="bottom"/>
            <w:tcBorders>
              <w:top w:val="single" w:sz="8" w:color="auto"/>
              <w:right w:val="single" w:sz="8" w:color="auto"/>
            </w:tcBorders>
          </w:tcPr>
          <w:p>
            <w:pPr>
              <w:ind w:left="20"/>
              <w:spacing w:after="0"/>
              <w:rPr>
                <w:sz w:val="20"/>
                <w:szCs w:val="20"/>
                <w:color w:val="auto"/>
              </w:rPr>
            </w:pPr>
            <w:r>
              <w:rPr>
                <w:rFonts w:ascii="Arial" w:cs="Arial" w:eastAsia="Arial" w:hAnsi="Arial"/>
                <w:sz w:val="18"/>
                <w:szCs w:val="18"/>
                <w:color w:val="auto"/>
                <w:w w:val="94"/>
              </w:rPr>
              <w:t>We made four calls to this company. One, to the company’s switchboard,</w:t>
            </w:r>
          </w:p>
        </w:tc>
        <w:tc>
          <w:tcPr>
            <w:tcW w:w="3160" w:type="dxa"/>
            <w:vAlign w:val="bottom"/>
            <w:tcBorders>
              <w:top w:val="single" w:sz="8" w:color="auto"/>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108"/>
        </w:trPr>
        <w:tc>
          <w:tcPr>
            <w:tcW w:w="2500" w:type="dxa"/>
            <w:vAlign w:val="bottom"/>
            <w:tcBorders>
              <w:left w:val="single" w:sz="8" w:color="auto"/>
              <w:right w:val="single" w:sz="8" w:color="auto"/>
            </w:tcBorders>
            <w:vMerge w:val="continue"/>
          </w:tcPr>
          <w:p>
            <w:pPr>
              <w:spacing w:after="0"/>
              <w:rPr>
                <w:sz w:val="9"/>
                <w:szCs w:val="9"/>
                <w:color w:val="auto"/>
              </w:rPr>
            </w:pPr>
          </w:p>
        </w:tc>
        <w:tc>
          <w:tcPr>
            <w:tcW w:w="5580" w:type="dxa"/>
            <w:vAlign w:val="bottom"/>
            <w:tcBorders>
              <w:right w:val="single" w:sz="8" w:color="auto"/>
            </w:tcBorders>
            <w:vMerge w:val="restart"/>
          </w:tcPr>
          <w:p>
            <w:pPr>
              <w:ind w:left="20"/>
              <w:spacing w:after="0"/>
              <w:rPr>
                <w:sz w:val="20"/>
                <w:szCs w:val="20"/>
                <w:color w:val="auto"/>
              </w:rPr>
            </w:pPr>
            <w:r>
              <w:rPr>
                <w:rFonts w:ascii="Arial" w:cs="Arial" w:eastAsia="Arial" w:hAnsi="Arial"/>
                <w:sz w:val="18"/>
                <w:szCs w:val="18"/>
                <w:color w:val="auto"/>
                <w:w w:val="89"/>
              </w:rPr>
              <w:t>was an automatic hang-up. One employee said that the company “sells some</w:t>
            </w:r>
          </w:p>
        </w:tc>
        <w:tc>
          <w:tcPr>
            <w:tcW w:w="3160" w:type="dxa"/>
            <w:vAlign w:val="bottom"/>
            <w:tcBorders>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2500" w:type="dxa"/>
            <w:vAlign w:val="bottom"/>
            <w:tcBorders>
              <w:left w:val="single" w:sz="8" w:color="auto"/>
              <w:right w:val="single" w:sz="8" w:color="auto"/>
            </w:tcBorders>
            <w:vMerge w:val="restart"/>
          </w:tcPr>
          <w:p>
            <w:pPr>
              <w:ind w:left="60"/>
              <w:spacing w:after="0"/>
              <w:rPr>
                <w:sz w:val="20"/>
                <w:szCs w:val="20"/>
                <w:color w:val="auto"/>
              </w:rPr>
            </w:pPr>
            <w:r>
              <w:rPr>
                <w:rFonts w:ascii="Arial" w:cs="Arial" w:eastAsia="Arial" w:hAnsi="Arial"/>
                <w:sz w:val="18"/>
                <w:szCs w:val="18"/>
                <w:color w:val="auto"/>
              </w:rPr>
              <w:t>Goodwill Precision Machinery</w:t>
            </w:r>
          </w:p>
        </w:tc>
        <w:tc>
          <w:tcPr>
            <w:tcW w:w="5580" w:type="dxa"/>
            <w:vAlign w:val="bottom"/>
            <w:tcBorders>
              <w:right w:val="single" w:sz="8" w:color="auto"/>
            </w:tcBorders>
            <w:vMerge w:val="continue"/>
          </w:tcPr>
          <w:p>
            <w:pPr>
              <w:spacing w:after="0"/>
              <w:rPr>
                <w:sz w:val="9"/>
                <w:szCs w:val="9"/>
                <w:color w:val="auto"/>
              </w:rPr>
            </w:pPr>
          </w:p>
        </w:tc>
        <w:tc>
          <w:tcPr>
            <w:tcW w:w="3160" w:type="dxa"/>
            <w:vAlign w:val="bottom"/>
            <w:tcBorders>
              <w:right w:val="single" w:sz="8" w:color="auto"/>
            </w:tcBorders>
            <w:vMerge w:val="restart"/>
          </w:tcPr>
          <w:p>
            <w:pPr>
              <w:ind w:left="20"/>
              <w:spacing w:after="0"/>
              <w:rPr>
                <w:sz w:val="20"/>
                <w:szCs w:val="20"/>
                <w:color w:val="auto"/>
              </w:rPr>
            </w:pPr>
            <w:r>
              <w:rPr>
                <w:rFonts w:ascii="Arial" w:cs="Arial" w:eastAsia="Arial" w:hAnsi="Arial"/>
                <w:sz w:val="18"/>
                <w:szCs w:val="18"/>
                <w:color w:val="auto"/>
              </w:rPr>
              <w:t>Key supplier of chamber parts</w:t>
            </w:r>
          </w:p>
        </w:tc>
        <w:tc>
          <w:tcPr>
            <w:tcW w:w="0" w:type="dxa"/>
            <w:vAlign w:val="bottom"/>
          </w:tcPr>
          <w:p>
            <w:pPr>
              <w:spacing w:after="0"/>
              <w:rPr>
                <w:sz w:val="1"/>
                <w:szCs w:val="1"/>
                <w:color w:val="auto"/>
              </w:rPr>
            </w:pPr>
          </w:p>
        </w:tc>
      </w:tr>
      <w:tr>
        <w:trPr>
          <w:trHeight w:val="176"/>
        </w:trPr>
        <w:tc>
          <w:tcPr>
            <w:tcW w:w="2500" w:type="dxa"/>
            <w:vAlign w:val="bottom"/>
            <w:tcBorders>
              <w:left w:val="single" w:sz="8" w:color="auto"/>
              <w:right w:val="single" w:sz="8" w:color="auto"/>
            </w:tcBorders>
            <w:vMerge w:val="continue"/>
          </w:tcPr>
          <w:p>
            <w:pPr>
              <w:spacing w:after="0"/>
              <w:rPr>
                <w:sz w:val="15"/>
                <w:szCs w:val="15"/>
                <w:color w:val="auto"/>
              </w:rPr>
            </w:pPr>
          </w:p>
        </w:tc>
        <w:tc>
          <w:tcPr>
            <w:tcW w:w="5580" w:type="dxa"/>
            <w:vAlign w:val="bottom"/>
            <w:tcBorders>
              <w:right w:val="single" w:sz="8" w:color="auto"/>
            </w:tcBorders>
          </w:tcPr>
          <w:p>
            <w:pPr>
              <w:ind w:left="20"/>
              <w:spacing w:after="0" w:line="176" w:lineRule="exact"/>
              <w:rPr>
                <w:sz w:val="20"/>
                <w:szCs w:val="20"/>
                <w:color w:val="auto"/>
              </w:rPr>
            </w:pPr>
            <w:r>
              <w:rPr>
                <w:rFonts w:ascii="Arial" w:cs="Arial" w:eastAsia="Arial" w:hAnsi="Arial"/>
                <w:sz w:val="18"/>
                <w:szCs w:val="18"/>
                <w:color w:val="auto"/>
                <w:w w:val="98"/>
              </w:rPr>
              <w:t>low-end products” to ACMR. Another said that ACMR is a customer for</w:t>
            </w:r>
          </w:p>
        </w:tc>
        <w:tc>
          <w:tcPr>
            <w:tcW w:w="3160" w:type="dxa"/>
            <w:vAlign w:val="bottom"/>
            <w:tcBorders>
              <w:right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2500" w:type="dxa"/>
            <w:vAlign w:val="bottom"/>
            <w:tcBorders>
              <w:left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(Suzhou) Co., Ltd.</w:t>
            </w:r>
          </w:p>
        </w:tc>
        <w:tc>
          <w:tcPr>
            <w:tcW w:w="5580" w:type="dxa"/>
            <w:vAlign w:val="bottom"/>
            <w:tcBorders>
              <w:right w:val="single" w:sz="8" w:color="auto"/>
            </w:tcBorders>
            <w:vMerge w:val="restart"/>
          </w:tcPr>
          <w:p>
            <w:pPr>
              <w:ind w:left="20"/>
              <w:spacing w:after="0"/>
              <w:rPr>
                <w:sz w:val="20"/>
                <w:szCs w:val="20"/>
                <w:color w:val="auto"/>
              </w:rPr>
            </w:pPr>
            <w:r>
              <w:rPr>
                <w:rFonts w:ascii="Arial" w:cs="Arial" w:eastAsia="Arial" w:hAnsi="Arial"/>
                <w:sz w:val="18"/>
                <w:szCs w:val="18"/>
                <w:color w:val="auto"/>
              </w:rPr>
              <w:t>pre-assembled product.</w:t>
            </w:r>
          </w:p>
        </w:tc>
        <w:tc>
          <w:tcPr>
            <w:tcW w:w="31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54"/>
        </w:trPr>
        <w:tc>
          <w:tcPr>
            <w:tcW w:w="2500" w:type="dxa"/>
            <w:vAlign w:val="bottom"/>
            <w:tcBorders>
              <w:left w:val="single" w:sz="8" w:color="auto"/>
              <w:right w:val="single" w:sz="8" w:color="auto"/>
            </w:tcBorders>
          </w:tcPr>
          <w:p>
            <w:pPr>
              <w:spacing w:after="0"/>
              <w:rPr>
                <w:sz w:val="4"/>
                <w:szCs w:val="4"/>
                <w:color w:val="auto"/>
              </w:rPr>
            </w:pPr>
          </w:p>
        </w:tc>
        <w:tc>
          <w:tcPr>
            <w:tcW w:w="5580" w:type="dxa"/>
            <w:vAlign w:val="bottom"/>
            <w:tcBorders>
              <w:right w:val="single" w:sz="8" w:color="auto"/>
            </w:tcBorders>
            <w:vMerge w:val="continue"/>
          </w:tcPr>
          <w:p>
            <w:pPr>
              <w:spacing w:after="0"/>
              <w:rPr>
                <w:sz w:val="4"/>
                <w:szCs w:val="4"/>
                <w:color w:val="auto"/>
              </w:rPr>
            </w:pPr>
          </w:p>
        </w:tc>
        <w:tc>
          <w:tcPr>
            <w:tcW w:w="3160" w:type="dxa"/>
            <w:vAlign w:val="bottom"/>
            <w:tcBorders>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34"/>
        </w:trPr>
        <w:tc>
          <w:tcPr>
            <w:tcW w:w="2500" w:type="dxa"/>
            <w:vAlign w:val="bottom"/>
            <w:tcBorders>
              <w:left w:val="single" w:sz="8" w:color="auto"/>
              <w:bottom w:val="single" w:sz="8" w:color="auto"/>
              <w:right w:val="single" w:sz="8" w:color="auto"/>
            </w:tcBorders>
          </w:tcPr>
          <w:p>
            <w:pPr>
              <w:spacing w:after="0"/>
              <w:rPr>
                <w:sz w:val="2"/>
                <w:szCs w:val="2"/>
                <w:color w:val="auto"/>
              </w:rPr>
            </w:pPr>
          </w:p>
        </w:tc>
        <w:tc>
          <w:tcPr>
            <w:tcW w:w="5580" w:type="dxa"/>
            <w:vAlign w:val="bottom"/>
            <w:tcBorders>
              <w:bottom w:val="single" w:sz="8" w:color="auto"/>
              <w:right w:val="single" w:sz="8" w:color="auto"/>
            </w:tcBorders>
          </w:tcPr>
          <w:p>
            <w:pPr>
              <w:spacing w:after="0"/>
              <w:rPr>
                <w:sz w:val="2"/>
                <w:szCs w:val="2"/>
                <w:color w:val="auto"/>
              </w:rPr>
            </w:pPr>
          </w:p>
        </w:tc>
        <w:tc>
          <w:tcPr>
            <w:tcW w:w="316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97"/>
        </w:trPr>
        <w:tc>
          <w:tcPr>
            <w:tcW w:w="2500" w:type="dxa"/>
            <w:vAlign w:val="bottom"/>
            <w:tcBorders>
              <w:left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C&amp;U</w:t>
            </w:r>
          </w:p>
        </w:tc>
        <w:tc>
          <w:tcPr>
            <w:tcW w:w="558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w w:val="97"/>
              </w:rPr>
              <w:t>We spoke with four executives of this company, and none had heard of</w:t>
            </w:r>
          </w:p>
        </w:tc>
        <w:tc>
          <w:tcPr>
            <w:tcW w:w="316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w w:val="97"/>
              </w:rPr>
              <w:t>The Issuer has never purchased from it.</w:t>
            </w:r>
          </w:p>
        </w:tc>
        <w:tc>
          <w:tcPr>
            <w:tcW w:w="0" w:type="dxa"/>
            <w:vAlign w:val="bottom"/>
          </w:tcPr>
          <w:p>
            <w:pPr>
              <w:spacing w:after="0"/>
              <w:rPr>
                <w:sz w:val="1"/>
                <w:szCs w:val="1"/>
                <w:color w:val="auto"/>
              </w:rPr>
            </w:pPr>
          </w:p>
        </w:tc>
      </w:tr>
      <w:tr>
        <w:trPr>
          <w:trHeight w:val="196"/>
        </w:trPr>
        <w:tc>
          <w:tcPr>
            <w:tcW w:w="2500" w:type="dxa"/>
            <w:vAlign w:val="bottom"/>
            <w:tcBorders>
              <w:left w:val="single" w:sz="8" w:color="auto"/>
              <w:bottom w:val="single" w:sz="8" w:color="auto"/>
              <w:right w:val="single" w:sz="8" w:color="auto"/>
            </w:tcBorders>
          </w:tcPr>
          <w:p>
            <w:pPr>
              <w:spacing w:after="0"/>
              <w:rPr>
                <w:sz w:val="17"/>
                <w:szCs w:val="17"/>
                <w:color w:val="auto"/>
              </w:rPr>
            </w:pPr>
          </w:p>
        </w:tc>
        <w:tc>
          <w:tcPr>
            <w:tcW w:w="5580" w:type="dxa"/>
            <w:vAlign w:val="bottom"/>
            <w:tcBorders>
              <w:bottom w:val="single" w:sz="8" w:color="auto"/>
              <w:right w:val="single" w:sz="8" w:color="auto"/>
            </w:tcBorders>
          </w:tcPr>
          <w:p>
            <w:pPr>
              <w:ind w:left="20"/>
              <w:spacing w:after="0" w:line="189" w:lineRule="exact"/>
              <w:rPr>
                <w:sz w:val="20"/>
                <w:szCs w:val="20"/>
                <w:color w:val="auto"/>
              </w:rPr>
            </w:pPr>
            <w:r>
              <w:rPr>
                <w:rFonts w:ascii="Arial" w:cs="Arial" w:eastAsia="Arial" w:hAnsi="Arial"/>
                <w:sz w:val="18"/>
                <w:szCs w:val="18"/>
                <w:color w:val="auto"/>
              </w:rPr>
              <w:t>ACMR.</w:t>
            </w:r>
          </w:p>
        </w:tc>
        <w:tc>
          <w:tcPr>
            <w:tcW w:w="3160" w:type="dxa"/>
            <w:vAlign w:val="bottom"/>
            <w:tcBorders>
              <w:bottom w:val="single" w:sz="8" w:color="auto"/>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2500" w:type="dxa"/>
            <w:vAlign w:val="bottom"/>
            <w:tcBorders>
              <w:left w:val="single" w:sz="8" w:color="auto"/>
              <w:right w:val="single" w:sz="8" w:color="auto"/>
            </w:tcBorders>
          </w:tcPr>
          <w:p>
            <w:pPr>
              <w:spacing w:after="0"/>
              <w:rPr>
                <w:sz w:val="19"/>
                <w:szCs w:val="19"/>
                <w:color w:val="auto"/>
              </w:rPr>
            </w:pPr>
          </w:p>
        </w:tc>
        <w:tc>
          <w:tcPr>
            <w:tcW w:w="558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w w:val="99"/>
              </w:rPr>
              <w:t>A sales rep told us that ACMR makes purchases in California. ProSys</w:t>
            </w:r>
          </w:p>
        </w:tc>
        <w:tc>
          <w:tcPr>
            <w:tcW w:w="316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w w:val="93"/>
              </w:rPr>
              <w:t>ACMR  purchased  megasonic  generator</w:t>
            </w:r>
          </w:p>
        </w:tc>
        <w:tc>
          <w:tcPr>
            <w:tcW w:w="0" w:type="dxa"/>
            <w:vAlign w:val="bottom"/>
          </w:tcPr>
          <w:p>
            <w:pPr>
              <w:spacing w:after="0"/>
              <w:rPr>
                <w:sz w:val="1"/>
                <w:szCs w:val="1"/>
                <w:color w:val="auto"/>
              </w:rPr>
            </w:pPr>
          </w:p>
        </w:tc>
      </w:tr>
      <w:tr>
        <w:trPr>
          <w:trHeight w:val="216"/>
        </w:trPr>
        <w:tc>
          <w:tcPr>
            <w:tcW w:w="2500" w:type="dxa"/>
            <w:vAlign w:val="bottom"/>
            <w:tcBorders>
              <w:left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Product Systems Inc.</w:t>
            </w:r>
          </w:p>
        </w:tc>
        <w:tc>
          <w:tcPr>
            <w:tcW w:w="558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w w:val="93"/>
              </w:rPr>
              <w:t>sources commented that ACMR is an assembler and integrator but not an</w:t>
            </w:r>
          </w:p>
        </w:tc>
        <w:tc>
          <w:tcPr>
            <w:tcW w:w="316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w w:val="98"/>
              </w:rPr>
              <w:t>through Product Systems Inc. USA, the</w:t>
            </w:r>
          </w:p>
        </w:tc>
        <w:tc>
          <w:tcPr>
            <w:tcW w:w="0" w:type="dxa"/>
            <w:vAlign w:val="bottom"/>
          </w:tcPr>
          <w:p>
            <w:pPr>
              <w:spacing w:after="0"/>
              <w:rPr>
                <w:sz w:val="1"/>
                <w:szCs w:val="1"/>
                <w:color w:val="auto"/>
              </w:rPr>
            </w:pPr>
          </w:p>
        </w:tc>
      </w:tr>
      <w:tr>
        <w:trPr>
          <w:trHeight w:val="216"/>
        </w:trPr>
        <w:tc>
          <w:tcPr>
            <w:tcW w:w="2500" w:type="dxa"/>
            <w:vAlign w:val="bottom"/>
            <w:tcBorders>
              <w:left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(ProSys)</w:t>
            </w:r>
          </w:p>
        </w:tc>
        <w:tc>
          <w:tcPr>
            <w:tcW w:w="558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w w:val="96"/>
              </w:rPr>
              <w:t>originator of technology. The ProSys sales agent in China, Leadin Way,</w:t>
            </w:r>
          </w:p>
        </w:tc>
        <w:tc>
          <w:tcPr>
            <w:tcW w:w="316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key  supplier  of  key  component  of</w:t>
            </w:r>
          </w:p>
        </w:tc>
        <w:tc>
          <w:tcPr>
            <w:tcW w:w="0" w:type="dxa"/>
            <w:vAlign w:val="bottom"/>
          </w:tcPr>
          <w:p>
            <w:pPr>
              <w:spacing w:after="0"/>
              <w:rPr>
                <w:sz w:val="1"/>
                <w:szCs w:val="1"/>
                <w:color w:val="auto"/>
              </w:rPr>
            </w:pPr>
          </w:p>
        </w:tc>
      </w:tr>
      <w:tr>
        <w:trPr>
          <w:trHeight w:val="230"/>
        </w:trPr>
        <w:tc>
          <w:tcPr>
            <w:tcW w:w="2500" w:type="dxa"/>
            <w:vAlign w:val="bottom"/>
            <w:tcBorders>
              <w:left w:val="single" w:sz="8" w:color="auto"/>
              <w:right w:val="single" w:sz="8" w:color="auto"/>
            </w:tcBorders>
          </w:tcPr>
          <w:p>
            <w:pPr>
              <w:spacing w:after="0"/>
              <w:rPr>
                <w:sz w:val="20"/>
                <w:szCs w:val="20"/>
                <w:color w:val="auto"/>
              </w:rPr>
            </w:pPr>
          </w:p>
        </w:tc>
        <w:tc>
          <w:tcPr>
            <w:tcW w:w="558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does not make any sales to ACMR.</w:t>
            </w:r>
          </w:p>
        </w:tc>
        <w:tc>
          <w:tcPr>
            <w:tcW w:w="316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megasonic cleaning equipment.</w:t>
            </w:r>
          </w:p>
        </w:tc>
        <w:tc>
          <w:tcPr>
            <w:tcW w:w="0" w:type="dxa"/>
            <w:vAlign w:val="bottom"/>
          </w:tcPr>
          <w:p>
            <w:pPr>
              <w:spacing w:after="0"/>
              <w:rPr>
                <w:sz w:val="1"/>
                <w:szCs w:val="1"/>
                <w:color w:val="auto"/>
              </w:rPr>
            </w:pPr>
          </w:p>
        </w:tc>
      </w:tr>
      <w:tr>
        <w:trPr>
          <w:trHeight w:val="34"/>
        </w:trPr>
        <w:tc>
          <w:tcPr>
            <w:tcW w:w="2500" w:type="dxa"/>
            <w:vAlign w:val="bottom"/>
            <w:tcBorders>
              <w:left w:val="single" w:sz="8" w:color="auto"/>
              <w:bottom w:val="single" w:sz="8" w:color="auto"/>
              <w:right w:val="single" w:sz="8" w:color="auto"/>
            </w:tcBorders>
          </w:tcPr>
          <w:p>
            <w:pPr>
              <w:spacing w:after="0"/>
              <w:rPr>
                <w:sz w:val="2"/>
                <w:szCs w:val="2"/>
                <w:color w:val="auto"/>
              </w:rPr>
            </w:pPr>
          </w:p>
        </w:tc>
        <w:tc>
          <w:tcPr>
            <w:tcW w:w="5580" w:type="dxa"/>
            <w:vAlign w:val="bottom"/>
            <w:tcBorders>
              <w:bottom w:val="single" w:sz="8" w:color="auto"/>
              <w:right w:val="single" w:sz="8" w:color="auto"/>
            </w:tcBorders>
          </w:tcPr>
          <w:p>
            <w:pPr>
              <w:spacing w:after="0"/>
              <w:rPr>
                <w:sz w:val="2"/>
                <w:szCs w:val="2"/>
                <w:color w:val="auto"/>
              </w:rPr>
            </w:pPr>
          </w:p>
        </w:tc>
        <w:tc>
          <w:tcPr>
            <w:tcW w:w="316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9"/>
        </w:trPr>
        <w:tc>
          <w:tcPr>
            <w:tcW w:w="2500" w:type="dxa"/>
            <w:vAlign w:val="bottom"/>
            <w:tcBorders>
              <w:left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Nomura Micro Science</w:t>
            </w:r>
          </w:p>
        </w:tc>
        <w:tc>
          <w:tcPr>
            <w:tcW w:w="558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w w:val="95"/>
              </w:rPr>
              <w:t>Nomura Micro Science is not represented in China. ACMR jointly owns a</w:t>
            </w:r>
          </w:p>
        </w:tc>
        <w:tc>
          <w:tcPr>
            <w:tcW w:w="316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w w:val="95"/>
              </w:rPr>
              <w:t>The patent that ACMSH jointly owns with</w:t>
            </w:r>
          </w:p>
        </w:tc>
        <w:tc>
          <w:tcPr>
            <w:tcW w:w="0" w:type="dxa"/>
            <w:vAlign w:val="bottom"/>
          </w:tcPr>
          <w:p>
            <w:pPr>
              <w:spacing w:after="0"/>
              <w:rPr>
                <w:sz w:val="1"/>
                <w:szCs w:val="1"/>
                <w:color w:val="auto"/>
              </w:rPr>
            </w:pPr>
          </w:p>
        </w:tc>
      </w:tr>
      <w:tr>
        <w:trPr>
          <w:trHeight w:val="230"/>
        </w:trPr>
        <w:tc>
          <w:tcPr>
            <w:tcW w:w="2500" w:type="dxa"/>
            <w:vAlign w:val="bottom"/>
            <w:tcBorders>
              <w:left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Ltd.</w:t>
            </w:r>
          </w:p>
        </w:tc>
        <w:tc>
          <w:tcPr>
            <w:tcW w:w="558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patent with Nomura.</w:t>
            </w:r>
          </w:p>
        </w:tc>
        <w:tc>
          <w:tcPr>
            <w:tcW w:w="316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w w:val="97"/>
              </w:rPr>
              <w:t>it has been disclosed in the Prospectus.</w:t>
            </w:r>
          </w:p>
        </w:tc>
        <w:tc>
          <w:tcPr>
            <w:tcW w:w="0" w:type="dxa"/>
            <w:vAlign w:val="bottom"/>
          </w:tcPr>
          <w:p>
            <w:pPr>
              <w:spacing w:after="0"/>
              <w:rPr>
                <w:sz w:val="1"/>
                <w:szCs w:val="1"/>
                <w:color w:val="auto"/>
              </w:rPr>
            </w:pPr>
          </w:p>
        </w:tc>
      </w:tr>
      <w:tr>
        <w:trPr>
          <w:trHeight w:val="34"/>
        </w:trPr>
        <w:tc>
          <w:tcPr>
            <w:tcW w:w="2500" w:type="dxa"/>
            <w:vAlign w:val="bottom"/>
            <w:tcBorders>
              <w:left w:val="single" w:sz="8" w:color="auto"/>
              <w:bottom w:val="single" w:sz="8" w:color="auto"/>
              <w:right w:val="single" w:sz="8" w:color="auto"/>
            </w:tcBorders>
          </w:tcPr>
          <w:p>
            <w:pPr>
              <w:spacing w:after="0"/>
              <w:rPr>
                <w:sz w:val="2"/>
                <w:szCs w:val="2"/>
                <w:color w:val="auto"/>
              </w:rPr>
            </w:pPr>
          </w:p>
        </w:tc>
        <w:tc>
          <w:tcPr>
            <w:tcW w:w="5580" w:type="dxa"/>
            <w:vAlign w:val="bottom"/>
            <w:tcBorders>
              <w:bottom w:val="single" w:sz="8" w:color="auto"/>
              <w:right w:val="single" w:sz="8" w:color="auto"/>
            </w:tcBorders>
          </w:tcPr>
          <w:p>
            <w:pPr>
              <w:spacing w:after="0"/>
              <w:rPr>
                <w:sz w:val="2"/>
                <w:szCs w:val="2"/>
                <w:color w:val="auto"/>
              </w:rPr>
            </w:pPr>
          </w:p>
        </w:tc>
        <w:tc>
          <w:tcPr>
            <w:tcW w:w="316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9"/>
        </w:trPr>
        <w:tc>
          <w:tcPr>
            <w:tcW w:w="2500" w:type="dxa"/>
            <w:vAlign w:val="bottom"/>
            <w:tcBorders>
              <w:left w:val="single" w:sz="8" w:color="auto"/>
              <w:right w:val="single" w:sz="8" w:color="auto"/>
            </w:tcBorders>
          </w:tcPr>
          <w:p>
            <w:pPr>
              <w:spacing w:after="0"/>
              <w:rPr>
                <w:sz w:val="19"/>
                <w:szCs w:val="19"/>
                <w:color w:val="auto"/>
              </w:rPr>
            </w:pPr>
          </w:p>
        </w:tc>
        <w:tc>
          <w:tcPr>
            <w:tcW w:w="5580" w:type="dxa"/>
            <w:vAlign w:val="bottom"/>
            <w:tcBorders>
              <w:right w:val="single" w:sz="8" w:color="auto"/>
            </w:tcBorders>
          </w:tcPr>
          <w:p>
            <w:pPr>
              <w:spacing w:after="0"/>
              <w:rPr>
                <w:sz w:val="19"/>
                <w:szCs w:val="19"/>
                <w:color w:val="auto"/>
              </w:rPr>
            </w:pPr>
          </w:p>
        </w:tc>
        <w:tc>
          <w:tcPr>
            <w:tcW w:w="316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PINASON (Shanghai) Co., Ltd. acts as</w:t>
            </w:r>
          </w:p>
        </w:tc>
        <w:tc>
          <w:tcPr>
            <w:tcW w:w="0" w:type="dxa"/>
            <w:vAlign w:val="bottom"/>
          </w:tcPr>
          <w:p>
            <w:pPr>
              <w:spacing w:after="0"/>
              <w:rPr>
                <w:sz w:val="1"/>
                <w:szCs w:val="1"/>
                <w:color w:val="auto"/>
              </w:rPr>
            </w:pPr>
          </w:p>
        </w:tc>
      </w:tr>
      <w:tr>
        <w:trPr>
          <w:trHeight w:val="216"/>
        </w:trPr>
        <w:tc>
          <w:tcPr>
            <w:tcW w:w="2500" w:type="dxa"/>
            <w:vAlign w:val="bottom"/>
            <w:tcBorders>
              <w:left w:val="single" w:sz="8" w:color="auto"/>
              <w:right w:val="single" w:sz="8" w:color="auto"/>
            </w:tcBorders>
          </w:tcPr>
          <w:p>
            <w:pPr>
              <w:spacing w:after="0"/>
              <w:rPr>
                <w:sz w:val="18"/>
                <w:szCs w:val="18"/>
                <w:color w:val="auto"/>
              </w:rPr>
            </w:pPr>
          </w:p>
        </w:tc>
        <w:tc>
          <w:tcPr>
            <w:tcW w:w="5580" w:type="dxa"/>
            <w:vAlign w:val="bottom"/>
            <w:tcBorders>
              <w:right w:val="single" w:sz="8" w:color="auto"/>
            </w:tcBorders>
          </w:tcPr>
          <w:p>
            <w:pPr>
              <w:spacing w:after="0"/>
              <w:rPr>
                <w:sz w:val="18"/>
                <w:szCs w:val="18"/>
                <w:color w:val="auto"/>
              </w:rPr>
            </w:pPr>
          </w:p>
        </w:tc>
        <w:tc>
          <w:tcPr>
            <w:tcW w:w="316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the agent of white knight pump and</w:t>
            </w:r>
          </w:p>
        </w:tc>
        <w:tc>
          <w:tcPr>
            <w:tcW w:w="0" w:type="dxa"/>
            <w:vAlign w:val="bottom"/>
          </w:tcPr>
          <w:p>
            <w:pPr>
              <w:spacing w:after="0"/>
              <w:rPr>
                <w:sz w:val="1"/>
                <w:szCs w:val="1"/>
                <w:color w:val="auto"/>
              </w:rPr>
            </w:pPr>
          </w:p>
        </w:tc>
      </w:tr>
      <w:tr>
        <w:trPr>
          <w:trHeight w:val="216"/>
        </w:trPr>
        <w:tc>
          <w:tcPr>
            <w:tcW w:w="2500" w:type="dxa"/>
            <w:vAlign w:val="bottom"/>
            <w:tcBorders>
              <w:left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DOUBLE MERITS</w:t>
            </w:r>
          </w:p>
        </w:tc>
        <w:tc>
          <w:tcPr>
            <w:tcW w:w="558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The only company we can find called “Double Merits” is identified by</w:t>
            </w:r>
          </w:p>
        </w:tc>
        <w:tc>
          <w:tcPr>
            <w:tcW w:w="316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process technology heater, which has</w:t>
            </w:r>
          </w:p>
        </w:tc>
        <w:tc>
          <w:tcPr>
            <w:tcW w:w="0" w:type="dxa"/>
            <w:vAlign w:val="bottom"/>
          </w:tcPr>
          <w:p>
            <w:pPr>
              <w:spacing w:after="0"/>
              <w:rPr>
                <w:sz w:val="1"/>
                <w:szCs w:val="1"/>
                <w:color w:val="auto"/>
              </w:rPr>
            </w:pPr>
          </w:p>
        </w:tc>
      </w:tr>
      <w:tr>
        <w:trPr>
          <w:trHeight w:val="216"/>
        </w:trPr>
        <w:tc>
          <w:tcPr>
            <w:tcW w:w="2500" w:type="dxa"/>
            <w:vAlign w:val="bottom"/>
            <w:tcBorders>
              <w:left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HOLDINGS LIMITED</w:t>
            </w:r>
          </w:p>
        </w:tc>
        <w:tc>
          <w:tcPr>
            <w:tcW w:w="558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Bloomberg as an asset management company.</w:t>
            </w:r>
          </w:p>
        </w:tc>
        <w:tc>
          <w:tcPr>
            <w:tcW w:w="316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registered Double Merits Holdings</w:t>
            </w:r>
          </w:p>
        </w:tc>
        <w:tc>
          <w:tcPr>
            <w:tcW w:w="0" w:type="dxa"/>
            <w:vAlign w:val="bottom"/>
          </w:tcPr>
          <w:p>
            <w:pPr>
              <w:spacing w:after="0"/>
              <w:rPr>
                <w:sz w:val="1"/>
                <w:szCs w:val="1"/>
                <w:color w:val="auto"/>
              </w:rPr>
            </w:pPr>
          </w:p>
        </w:tc>
      </w:tr>
      <w:tr>
        <w:trPr>
          <w:trHeight w:val="216"/>
        </w:trPr>
        <w:tc>
          <w:tcPr>
            <w:tcW w:w="2500" w:type="dxa"/>
            <w:vAlign w:val="bottom"/>
            <w:tcBorders>
              <w:left w:val="single" w:sz="8" w:color="auto"/>
              <w:right w:val="single" w:sz="8" w:color="auto"/>
            </w:tcBorders>
          </w:tcPr>
          <w:p>
            <w:pPr>
              <w:spacing w:after="0"/>
              <w:rPr>
                <w:sz w:val="18"/>
                <w:szCs w:val="18"/>
                <w:color w:val="auto"/>
              </w:rPr>
            </w:pPr>
          </w:p>
        </w:tc>
        <w:tc>
          <w:tcPr>
            <w:tcW w:w="5580" w:type="dxa"/>
            <w:vAlign w:val="bottom"/>
            <w:tcBorders>
              <w:right w:val="single" w:sz="8" w:color="auto"/>
            </w:tcBorders>
          </w:tcPr>
          <w:p>
            <w:pPr>
              <w:spacing w:after="0"/>
              <w:rPr>
                <w:sz w:val="18"/>
                <w:szCs w:val="18"/>
                <w:color w:val="auto"/>
              </w:rPr>
            </w:pPr>
          </w:p>
        </w:tc>
        <w:tc>
          <w:tcPr>
            <w:tcW w:w="316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w w:val="91"/>
              </w:rPr>
              <w:t>Limited overseas to carry out the business</w:t>
            </w:r>
          </w:p>
        </w:tc>
        <w:tc>
          <w:tcPr>
            <w:tcW w:w="0" w:type="dxa"/>
            <w:vAlign w:val="bottom"/>
          </w:tcPr>
          <w:p>
            <w:pPr>
              <w:spacing w:after="0"/>
              <w:rPr>
                <w:sz w:val="1"/>
                <w:szCs w:val="1"/>
                <w:color w:val="auto"/>
              </w:rPr>
            </w:pPr>
          </w:p>
        </w:tc>
      </w:tr>
      <w:tr>
        <w:trPr>
          <w:trHeight w:val="230"/>
        </w:trPr>
        <w:tc>
          <w:tcPr>
            <w:tcW w:w="2500" w:type="dxa"/>
            <w:vAlign w:val="bottom"/>
            <w:tcBorders>
              <w:left w:val="single" w:sz="8" w:color="auto"/>
              <w:right w:val="single" w:sz="8" w:color="auto"/>
            </w:tcBorders>
          </w:tcPr>
          <w:p>
            <w:pPr>
              <w:spacing w:after="0"/>
              <w:rPr>
                <w:sz w:val="20"/>
                <w:szCs w:val="20"/>
                <w:color w:val="auto"/>
              </w:rPr>
            </w:pPr>
          </w:p>
        </w:tc>
        <w:tc>
          <w:tcPr>
            <w:tcW w:w="5580" w:type="dxa"/>
            <w:vAlign w:val="bottom"/>
            <w:tcBorders>
              <w:right w:val="single" w:sz="8" w:color="auto"/>
            </w:tcBorders>
          </w:tcPr>
          <w:p>
            <w:pPr>
              <w:spacing w:after="0"/>
              <w:rPr>
                <w:sz w:val="20"/>
                <w:szCs w:val="20"/>
                <w:color w:val="auto"/>
              </w:rPr>
            </w:pPr>
          </w:p>
        </w:tc>
        <w:tc>
          <w:tcPr>
            <w:tcW w:w="316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of USD orders</w:t>
            </w:r>
          </w:p>
        </w:tc>
        <w:tc>
          <w:tcPr>
            <w:tcW w:w="0" w:type="dxa"/>
            <w:vAlign w:val="bottom"/>
          </w:tcPr>
          <w:p>
            <w:pPr>
              <w:spacing w:after="0"/>
              <w:rPr>
                <w:sz w:val="1"/>
                <w:szCs w:val="1"/>
                <w:color w:val="auto"/>
              </w:rPr>
            </w:pPr>
          </w:p>
        </w:tc>
      </w:tr>
      <w:tr>
        <w:trPr>
          <w:trHeight w:val="34"/>
        </w:trPr>
        <w:tc>
          <w:tcPr>
            <w:tcW w:w="2500" w:type="dxa"/>
            <w:vAlign w:val="bottom"/>
            <w:tcBorders>
              <w:left w:val="single" w:sz="8" w:color="auto"/>
              <w:bottom w:val="single" w:sz="8" w:color="auto"/>
              <w:right w:val="single" w:sz="8" w:color="auto"/>
            </w:tcBorders>
          </w:tcPr>
          <w:p>
            <w:pPr>
              <w:spacing w:after="0"/>
              <w:rPr>
                <w:sz w:val="2"/>
                <w:szCs w:val="2"/>
                <w:color w:val="auto"/>
              </w:rPr>
            </w:pPr>
          </w:p>
        </w:tc>
        <w:tc>
          <w:tcPr>
            <w:tcW w:w="5580" w:type="dxa"/>
            <w:vAlign w:val="bottom"/>
            <w:tcBorders>
              <w:bottom w:val="single" w:sz="8" w:color="auto"/>
              <w:right w:val="single" w:sz="8" w:color="auto"/>
            </w:tcBorders>
          </w:tcPr>
          <w:p>
            <w:pPr>
              <w:spacing w:after="0"/>
              <w:rPr>
                <w:sz w:val="2"/>
                <w:szCs w:val="2"/>
                <w:color w:val="auto"/>
              </w:rPr>
            </w:pPr>
          </w:p>
        </w:tc>
        <w:tc>
          <w:tcPr>
            <w:tcW w:w="316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9"/>
        </w:trPr>
        <w:tc>
          <w:tcPr>
            <w:tcW w:w="2500" w:type="dxa"/>
            <w:vAlign w:val="bottom"/>
            <w:tcBorders>
              <w:left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SAS Technology</w:t>
            </w:r>
          </w:p>
        </w:tc>
        <w:tc>
          <w:tcPr>
            <w:tcW w:w="5580" w:type="dxa"/>
            <w:vAlign w:val="bottom"/>
            <w:tcBorders>
              <w:right w:val="single" w:sz="8" w:color="auto"/>
            </w:tcBorders>
            <w:vMerge w:val="restart"/>
          </w:tcPr>
          <w:p>
            <w:pPr>
              <w:ind w:left="20"/>
              <w:spacing w:after="0"/>
              <w:rPr>
                <w:sz w:val="20"/>
                <w:szCs w:val="20"/>
                <w:color w:val="auto"/>
              </w:rPr>
            </w:pPr>
            <w:r>
              <w:rPr>
                <w:rFonts w:ascii="Arial" w:cs="Arial" w:eastAsia="Arial" w:hAnsi="Arial"/>
                <w:sz w:val="18"/>
                <w:szCs w:val="18"/>
                <w:color w:val="auto"/>
              </w:rPr>
              <w:t>A representative of the company said that ACMR is a client.</w:t>
            </w:r>
          </w:p>
        </w:tc>
        <w:tc>
          <w:tcPr>
            <w:tcW w:w="3160" w:type="dxa"/>
            <w:vAlign w:val="bottom"/>
            <w:tcBorders>
              <w:right w:val="single" w:sz="8" w:color="auto"/>
            </w:tcBorders>
            <w:vMerge w:val="restart"/>
          </w:tcPr>
          <w:p>
            <w:pPr>
              <w:ind w:left="20"/>
              <w:spacing w:after="0"/>
              <w:rPr>
                <w:sz w:val="20"/>
                <w:szCs w:val="20"/>
                <w:color w:val="auto"/>
              </w:rPr>
            </w:pPr>
            <w:r>
              <w:rPr>
                <w:rFonts w:ascii="Arial" w:cs="Arial" w:eastAsia="Arial" w:hAnsi="Arial"/>
                <w:sz w:val="18"/>
                <w:szCs w:val="18"/>
                <w:color w:val="auto"/>
              </w:rPr>
              <w:t>Supplier of pump</w:t>
            </w:r>
          </w:p>
        </w:tc>
        <w:tc>
          <w:tcPr>
            <w:tcW w:w="0" w:type="dxa"/>
            <w:vAlign w:val="bottom"/>
          </w:tcPr>
          <w:p>
            <w:pPr>
              <w:spacing w:after="0"/>
              <w:rPr>
                <w:sz w:val="1"/>
                <w:szCs w:val="1"/>
                <w:color w:val="auto"/>
              </w:rPr>
            </w:pPr>
          </w:p>
        </w:tc>
      </w:tr>
      <w:tr>
        <w:trPr>
          <w:trHeight w:val="122"/>
        </w:trPr>
        <w:tc>
          <w:tcPr>
            <w:tcW w:w="2500" w:type="dxa"/>
            <w:vAlign w:val="bottom"/>
            <w:tcBorders>
              <w:left w:val="single" w:sz="8" w:color="auto"/>
              <w:right w:val="single" w:sz="8" w:color="auto"/>
            </w:tcBorders>
            <w:vMerge w:val="restart"/>
          </w:tcPr>
          <w:p>
            <w:pPr>
              <w:ind w:left="60"/>
              <w:spacing w:after="0"/>
              <w:rPr>
                <w:sz w:val="20"/>
                <w:szCs w:val="20"/>
                <w:color w:val="auto"/>
              </w:rPr>
            </w:pPr>
            <w:r>
              <w:rPr>
                <w:rFonts w:ascii="Arial" w:cs="Arial" w:eastAsia="Arial" w:hAnsi="Arial"/>
                <w:sz w:val="18"/>
                <w:szCs w:val="18"/>
                <w:color w:val="auto"/>
              </w:rPr>
              <w:t>Limited</w:t>
            </w:r>
          </w:p>
        </w:tc>
        <w:tc>
          <w:tcPr>
            <w:tcW w:w="5580" w:type="dxa"/>
            <w:vAlign w:val="bottom"/>
            <w:tcBorders>
              <w:right w:val="single" w:sz="8" w:color="auto"/>
            </w:tcBorders>
            <w:vMerge w:val="continue"/>
          </w:tcPr>
          <w:p>
            <w:pPr>
              <w:spacing w:after="0"/>
              <w:rPr>
                <w:sz w:val="10"/>
                <w:szCs w:val="10"/>
                <w:color w:val="auto"/>
              </w:rPr>
            </w:pPr>
          </w:p>
        </w:tc>
        <w:tc>
          <w:tcPr>
            <w:tcW w:w="3160" w:type="dxa"/>
            <w:vAlign w:val="bottom"/>
            <w:tcBorders>
              <w:right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2500" w:type="dxa"/>
            <w:vAlign w:val="bottom"/>
            <w:tcBorders>
              <w:left w:val="single" w:sz="8" w:color="auto"/>
              <w:right w:val="single" w:sz="8" w:color="auto"/>
            </w:tcBorders>
            <w:vMerge w:val="continue"/>
          </w:tcPr>
          <w:p>
            <w:pPr>
              <w:spacing w:after="0"/>
              <w:rPr>
                <w:sz w:val="9"/>
                <w:szCs w:val="9"/>
                <w:color w:val="auto"/>
              </w:rPr>
            </w:pPr>
          </w:p>
        </w:tc>
        <w:tc>
          <w:tcPr>
            <w:tcW w:w="5580" w:type="dxa"/>
            <w:vAlign w:val="bottom"/>
            <w:tcBorders>
              <w:right w:val="single" w:sz="8" w:color="auto"/>
            </w:tcBorders>
          </w:tcPr>
          <w:p>
            <w:pPr>
              <w:spacing w:after="0"/>
              <w:rPr>
                <w:sz w:val="9"/>
                <w:szCs w:val="9"/>
                <w:color w:val="auto"/>
              </w:rPr>
            </w:pPr>
          </w:p>
        </w:tc>
        <w:tc>
          <w:tcPr>
            <w:tcW w:w="3160" w:type="dxa"/>
            <w:vAlign w:val="bottom"/>
            <w:tcBorders>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34"/>
        </w:trPr>
        <w:tc>
          <w:tcPr>
            <w:tcW w:w="2500" w:type="dxa"/>
            <w:vAlign w:val="bottom"/>
            <w:tcBorders>
              <w:left w:val="single" w:sz="8" w:color="auto"/>
              <w:bottom w:val="single" w:sz="8" w:color="auto"/>
              <w:right w:val="single" w:sz="8" w:color="auto"/>
            </w:tcBorders>
          </w:tcPr>
          <w:p>
            <w:pPr>
              <w:spacing w:after="0"/>
              <w:rPr>
                <w:sz w:val="2"/>
                <w:szCs w:val="2"/>
                <w:color w:val="auto"/>
              </w:rPr>
            </w:pPr>
          </w:p>
        </w:tc>
        <w:tc>
          <w:tcPr>
            <w:tcW w:w="5580" w:type="dxa"/>
            <w:vAlign w:val="bottom"/>
            <w:tcBorders>
              <w:bottom w:val="single" w:sz="8" w:color="auto"/>
              <w:right w:val="single" w:sz="8" w:color="auto"/>
            </w:tcBorders>
          </w:tcPr>
          <w:p>
            <w:pPr>
              <w:spacing w:after="0"/>
              <w:rPr>
                <w:sz w:val="2"/>
                <w:szCs w:val="2"/>
                <w:color w:val="auto"/>
              </w:rPr>
            </w:pPr>
          </w:p>
        </w:tc>
        <w:tc>
          <w:tcPr>
            <w:tcW w:w="316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9"/>
        </w:trPr>
        <w:tc>
          <w:tcPr>
            <w:tcW w:w="2500" w:type="dxa"/>
            <w:vAlign w:val="bottom"/>
            <w:tcBorders>
              <w:left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Tokyo</w:t>
            </w:r>
          </w:p>
        </w:tc>
        <w:tc>
          <w:tcPr>
            <w:tcW w:w="5580" w:type="dxa"/>
            <w:vAlign w:val="bottom"/>
            <w:tcBorders>
              <w:right w:val="single" w:sz="8" w:color="auto"/>
            </w:tcBorders>
            <w:vMerge w:val="restart"/>
          </w:tcPr>
          <w:p>
            <w:pPr>
              <w:ind w:left="20"/>
              <w:spacing w:after="0"/>
              <w:rPr>
                <w:sz w:val="20"/>
                <w:szCs w:val="20"/>
                <w:color w:val="auto"/>
              </w:rPr>
            </w:pPr>
            <w:r>
              <w:rPr>
                <w:rFonts w:ascii="Arial" w:cs="Arial" w:eastAsia="Arial" w:hAnsi="Arial"/>
                <w:sz w:val="18"/>
                <w:szCs w:val="18"/>
                <w:color w:val="auto"/>
                <w:w w:val="93"/>
              </w:rPr>
              <w:t>A representative of the company said that ACMR is a client and that sales</w:t>
            </w:r>
          </w:p>
        </w:tc>
        <w:tc>
          <w:tcPr>
            <w:tcW w:w="316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08"/>
        </w:trPr>
        <w:tc>
          <w:tcPr>
            <w:tcW w:w="2500" w:type="dxa"/>
            <w:vAlign w:val="bottom"/>
            <w:tcBorders>
              <w:left w:val="single" w:sz="8" w:color="auto"/>
              <w:right w:val="single" w:sz="8" w:color="auto"/>
            </w:tcBorders>
            <w:vMerge w:val="restart"/>
          </w:tcPr>
          <w:p>
            <w:pPr>
              <w:ind w:left="60"/>
              <w:spacing w:after="0"/>
              <w:rPr>
                <w:sz w:val="20"/>
                <w:szCs w:val="20"/>
                <w:color w:val="auto"/>
              </w:rPr>
            </w:pPr>
            <w:r>
              <w:rPr>
                <w:rFonts w:ascii="Arial" w:cs="Arial" w:eastAsia="Arial" w:hAnsi="Arial"/>
                <w:sz w:val="18"/>
                <w:szCs w:val="18"/>
                <w:color w:val="auto"/>
                <w:w w:val="98"/>
              </w:rPr>
              <w:t>Keiso (Beijing) Instrument Co.,</w:t>
            </w:r>
          </w:p>
        </w:tc>
        <w:tc>
          <w:tcPr>
            <w:tcW w:w="5580" w:type="dxa"/>
            <w:vAlign w:val="bottom"/>
            <w:tcBorders>
              <w:right w:val="single" w:sz="8" w:color="auto"/>
            </w:tcBorders>
            <w:vMerge w:val="continue"/>
          </w:tcPr>
          <w:p>
            <w:pPr>
              <w:spacing w:after="0"/>
              <w:rPr>
                <w:sz w:val="9"/>
                <w:szCs w:val="9"/>
                <w:color w:val="auto"/>
              </w:rPr>
            </w:pPr>
          </w:p>
        </w:tc>
        <w:tc>
          <w:tcPr>
            <w:tcW w:w="3160" w:type="dxa"/>
            <w:vAlign w:val="bottom"/>
            <w:tcBorders>
              <w:right w:val="single" w:sz="8" w:color="auto"/>
            </w:tcBorders>
            <w:vMerge w:val="restart"/>
          </w:tcPr>
          <w:p>
            <w:pPr>
              <w:ind w:left="20"/>
              <w:spacing w:after="0"/>
              <w:rPr>
                <w:sz w:val="20"/>
                <w:szCs w:val="20"/>
                <w:color w:val="auto"/>
              </w:rPr>
            </w:pPr>
            <w:r>
              <w:rPr>
                <w:rFonts w:ascii="Arial" w:cs="Arial" w:eastAsia="Arial" w:hAnsi="Arial"/>
                <w:sz w:val="18"/>
                <w:szCs w:val="18"/>
                <w:color w:val="auto"/>
              </w:rPr>
              <w:t>Supplier of flowmeter</w:t>
            </w:r>
          </w:p>
        </w:tc>
        <w:tc>
          <w:tcPr>
            <w:tcW w:w="0" w:type="dxa"/>
            <w:vAlign w:val="bottom"/>
          </w:tcPr>
          <w:p>
            <w:pPr>
              <w:spacing w:after="0"/>
              <w:rPr>
                <w:sz w:val="1"/>
                <w:szCs w:val="1"/>
                <w:color w:val="auto"/>
              </w:rPr>
            </w:pPr>
          </w:p>
        </w:tc>
      </w:tr>
      <w:tr>
        <w:trPr>
          <w:trHeight w:val="176"/>
        </w:trPr>
        <w:tc>
          <w:tcPr>
            <w:tcW w:w="2500" w:type="dxa"/>
            <w:vAlign w:val="bottom"/>
            <w:tcBorders>
              <w:left w:val="single" w:sz="8" w:color="auto"/>
              <w:right w:val="single" w:sz="8" w:color="auto"/>
            </w:tcBorders>
            <w:vMerge w:val="continue"/>
          </w:tcPr>
          <w:p>
            <w:pPr>
              <w:spacing w:after="0"/>
              <w:rPr>
                <w:sz w:val="15"/>
                <w:szCs w:val="15"/>
                <w:color w:val="auto"/>
              </w:rPr>
            </w:pPr>
          </w:p>
        </w:tc>
        <w:tc>
          <w:tcPr>
            <w:tcW w:w="5580" w:type="dxa"/>
            <w:vAlign w:val="bottom"/>
            <w:tcBorders>
              <w:right w:val="single" w:sz="8" w:color="auto"/>
            </w:tcBorders>
          </w:tcPr>
          <w:p>
            <w:pPr>
              <w:ind w:left="20"/>
              <w:spacing w:after="0" w:line="176" w:lineRule="exact"/>
              <w:rPr>
                <w:sz w:val="20"/>
                <w:szCs w:val="20"/>
                <w:color w:val="auto"/>
              </w:rPr>
            </w:pPr>
            <w:r>
              <w:rPr>
                <w:rFonts w:ascii="Arial" w:cs="Arial" w:eastAsia="Arial" w:hAnsi="Arial"/>
                <w:sz w:val="18"/>
                <w:szCs w:val="18"/>
                <w:color w:val="auto"/>
              </w:rPr>
              <w:t>volume to them grew 30-50% in 2019.</w:t>
            </w:r>
          </w:p>
        </w:tc>
        <w:tc>
          <w:tcPr>
            <w:tcW w:w="3160" w:type="dxa"/>
            <w:vAlign w:val="bottom"/>
            <w:tcBorders>
              <w:right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2500" w:type="dxa"/>
            <w:vAlign w:val="bottom"/>
            <w:tcBorders>
              <w:left w:val="single" w:sz="8" w:color="auto"/>
              <w:bottom w:val="single" w:sz="8" w:color="auto"/>
              <w:right w:val="single" w:sz="8" w:color="auto"/>
            </w:tcBorders>
          </w:tcPr>
          <w:p>
            <w:pPr>
              <w:ind w:left="60"/>
              <w:spacing w:after="0" w:line="189" w:lineRule="exact"/>
              <w:rPr>
                <w:sz w:val="20"/>
                <w:szCs w:val="20"/>
                <w:color w:val="auto"/>
              </w:rPr>
            </w:pPr>
            <w:r>
              <w:rPr>
                <w:rFonts w:ascii="Arial" w:cs="Arial" w:eastAsia="Arial" w:hAnsi="Arial"/>
                <w:sz w:val="18"/>
                <w:szCs w:val="18"/>
                <w:color w:val="auto"/>
              </w:rPr>
              <w:t>Ltd.</w:t>
            </w:r>
          </w:p>
        </w:tc>
        <w:tc>
          <w:tcPr>
            <w:tcW w:w="5580" w:type="dxa"/>
            <w:vAlign w:val="bottom"/>
            <w:tcBorders>
              <w:bottom w:val="single" w:sz="8" w:color="auto"/>
              <w:right w:val="single" w:sz="8" w:color="auto"/>
            </w:tcBorders>
          </w:tcPr>
          <w:p>
            <w:pPr>
              <w:spacing w:after="0"/>
              <w:rPr>
                <w:sz w:val="17"/>
                <w:szCs w:val="17"/>
                <w:color w:val="auto"/>
              </w:rPr>
            </w:pPr>
          </w:p>
        </w:tc>
        <w:tc>
          <w:tcPr>
            <w:tcW w:w="3160" w:type="dxa"/>
            <w:vAlign w:val="bottom"/>
            <w:tcBorders>
              <w:bottom w:val="single" w:sz="8" w:color="auto"/>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2500" w:type="dxa"/>
            <w:vAlign w:val="bottom"/>
            <w:tcBorders>
              <w:left w:val="single" w:sz="8" w:color="auto"/>
              <w:right w:val="single" w:sz="8" w:color="auto"/>
            </w:tcBorders>
          </w:tcPr>
          <w:p>
            <w:pPr>
              <w:spacing w:after="0"/>
              <w:rPr>
                <w:sz w:val="19"/>
                <w:szCs w:val="19"/>
                <w:color w:val="auto"/>
              </w:rPr>
            </w:pPr>
          </w:p>
        </w:tc>
        <w:tc>
          <w:tcPr>
            <w:tcW w:w="5580" w:type="dxa"/>
            <w:vAlign w:val="bottom"/>
            <w:tcBorders>
              <w:right w:val="single" w:sz="8" w:color="auto"/>
            </w:tcBorders>
            <w:vMerge w:val="restart"/>
          </w:tcPr>
          <w:p>
            <w:pPr>
              <w:ind w:left="20"/>
              <w:spacing w:after="0"/>
              <w:rPr>
                <w:sz w:val="20"/>
                <w:szCs w:val="20"/>
                <w:color w:val="auto"/>
              </w:rPr>
            </w:pPr>
            <w:r>
              <w:rPr>
                <w:rFonts w:ascii="Arial" w:cs="Arial" w:eastAsia="Arial" w:hAnsi="Arial"/>
                <w:sz w:val="18"/>
                <w:szCs w:val="18"/>
                <w:color w:val="auto"/>
                <w:w w:val="95"/>
              </w:rPr>
              <w:t>We spoke with three executives of this company. Two said that ACMR is</w:t>
            </w:r>
          </w:p>
        </w:tc>
        <w:tc>
          <w:tcPr>
            <w:tcW w:w="316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Key supplier of gas panel, which also</w:t>
            </w:r>
          </w:p>
        </w:tc>
        <w:tc>
          <w:tcPr>
            <w:tcW w:w="0" w:type="dxa"/>
            <w:vAlign w:val="bottom"/>
          </w:tcPr>
          <w:p>
            <w:pPr>
              <w:spacing w:after="0"/>
              <w:rPr>
                <w:sz w:val="1"/>
                <w:szCs w:val="1"/>
                <w:color w:val="auto"/>
              </w:rPr>
            </w:pPr>
          </w:p>
        </w:tc>
      </w:tr>
      <w:tr>
        <w:trPr>
          <w:trHeight w:val="176"/>
        </w:trPr>
        <w:tc>
          <w:tcPr>
            <w:tcW w:w="2500" w:type="dxa"/>
            <w:vAlign w:val="bottom"/>
            <w:tcBorders>
              <w:left w:val="single" w:sz="8" w:color="auto"/>
              <w:right w:val="single" w:sz="8" w:color="auto"/>
            </w:tcBorders>
          </w:tcPr>
          <w:p>
            <w:pPr>
              <w:ind w:left="60"/>
              <w:spacing w:after="0" w:line="176" w:lineRule="exact"/>
              <w:rPr>
                <w:sz w:val="20"/>
                <w:szCs w:val="20"/>
                <w:color w:val="auto"/>
              </w:rPr>
            </w:pPr>
            <w:r>
              <w:rPr>
                <w:rFonts w:ascii="Arial" w:cs="Arial" w:eastAsia="Arial" w:hAnsi="Arial"/>
                <w:sz w:val="18"/>
                <w:szCs w:val="18"/>
                <w:color w:val="auto"/>
              </w:rPr>
              <w:t>Fujikin of China, Inc.</w:t>
            </w:r>
          </w:p>
        </w:tc>
        <w:tc>
          <w:tcPr>
            <w:tcW w:w="5580" w:type="dxa"/>
            <w:vAlign w:val="bottom"/>
            <w:tcBorders>
              <w:right w:val="single" w:sz="8" w:color="auto"/>
            </w:tcBorders>
            <w:vMerge w:val="continue"/>
          </w:tcPr>
          <w:p>
            <w:pPr>
              <w:spacing w:after="0"/>
              <w:rPr>
                <w:sz w:val="15"/>
                <w:szCs w:val="15"/>
                <w:color w:val="auto"/>
              </w:rPr>
            </w:pPr>
          </w:p>
        </w:tc>
        <w:tc>
          <w:tcPr>
            <w:tcW w:w="3160" w:type="dxa"/>
            <w:vAlign w:val="bottom"/>
            <w:tcBorders>
              <w:right w:val="single" w:sz="8" w:color="auto"/>
            </w:tcBorders>
          </w:tcPr>
          <w:p>
            <w:pPr>
              <w:ind w:left="20"/>
              <w:spacing w:after="0" w:line="176" w:lineRule="exact"/>
              <w:rPr>
                <w:sz w:val="20"/>
                <w:szCs w:val="20"/>
                <w:color w:val="auto"/>
              </w:rPr>
            </w:pPr>
            <w:r>
              <w:rPr>
                <w:rFonts w:ascii="Arial" w:cs="Arial" w:eastAsia="Arial" w:hAnsi="Arial"/>
                <w:sz w:val="18"/>
                <w:szCs w:val="18"/>
                <w:color w:val="auto"/>
                <w:w w:val="95"/>
              </w:rPr>
              <w:t>supplies all kinds of stainless steel joints,</w:t>
            </w:r>
          </w:p>
        </w:tc>
        <w:tc>
          <w:tcPr>
            <w:tcW w:w="0" w:type="dxa"/>
            <w:vAlign w:val="bottom"/>
          </w:tcPr>
          <w:p>
            <w:pPr>
              <w:spacing w:after="0"/>
              <w:rPr>
                <w:sz w:val="1"/>
                <w:szCs w:val="1"/>
                <w:color w:val="auto"/>
              </w:rPr>
            </w:pPr>
          </w:p>
        </w:tc>
      </w:tr>
      <w:tr>
        <w:trPr>
          <w:trHeight w:val="216"/>
        </w:trPr>
        <w:tc>
          <w:tcPr>
            <w:tcW w:w="2500" w:type="dxa"/>
            <w:vAlign w:val="bottom"/>
            <w:tcBorders>
              <w:left w:val="single" w:sz="8" w:color="auto"/>
              <w:right w:val="single" w:sz="8" w:color="auto"/>
            </w:tcBorders>
          </w:tcPr>
          <w:p>
            <w:pPr>
              <w:spacing w:after="0"/>
              <w:rPr>
                <w:sz w:val="18"/>
                <w:szCs w:val="18"/>
                <w:color w:val="auto"/>
              </w:rPr>
            </w:pPr>
          </w:p>
        </w:tc>
        <w:tc>
          <w:tcPr>
            <w:tcW w:w="558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not a client, and one of them checked an internal client list to confirm.</w:t>
            </w:r>
          </w:p>
        </w:tc>
        <w:tc>
          <w:tcPr>
            <w:tcW w:w="3160" w:type="dxa"/>
            <w:vAlign w:val="bottom"/>
            <w:tcBorders>
              <w:right w:val="single" w:sz="8" w:color="auto"/>
            </w:tcBorders>
            <w:vMerge w:val="restart"/>
          </w:tcPr>
          <w:p>
            <w:pPr>
              <w:ind w:left="20"/>
              <w:spacing w:after="0"/>
              <w:rPr>
                <w:sz w:val="20"/>
                <w:szCs w:val="20"/>
                <w:color w:val="auto"/>
              </w:rPr>
            </w:pPr>
            <w:r>
              <w:rPr>
                <w:rFonts w:ascii="Arial" w:cs="Arial" w:eastAsia="Arial" w:hAnsi="Arial"/>
                <w:sz w:val="18"/>
                <w:szCs w:val="18"/>
                <w:color w:val="auto"/>
                <w:w w:val="97"/>
              </w:rPr>
              <w:t>valves, MFC and other gas components</w:t>
            </w:r>
          </w:p>
        </w:tc>
        <w:tc>
          <w:tcPr>
            <w:tcW w:w="0" w:type="dxa"/>
            <w:vAlign w:val="bottom"/>
          </w:tcPr>
          <w:p>
            <w:pPr>
              <w:spacing w:after="0"/>
              <w:rPr>
                <w:sz w:val="1"/>
                <w:szCs w:val="1"/>
                <w:color w:val="auto"/>
              </w:rPr>
            </w:pPr>
          </w:p>
        </w:tc>
      </w:tr>
      <w:tr>
        <w:trPr>
          <w:trHeight w:val="54"/>
        </w:trPr>
        <w:tc>
          <w:tcPr>
            <w:tcW w:w="2500" w:type="dxa"/>
            <w:vAlign w:val="bottom"/>
            <w:tcBorders>
              <w:left w:val="single" w:sz="8" w:color="auto"/>
              <w:right w:val="single" w:sz="8" w:color="auto"/>
            </w:tcBorders>
          </w:tcPr>
          <w:p>
            <w:pPr>
              <w:spacing w:after="0"/>
              <w:rPr>
                <w:sz w:val="4"/>
                <w:szCs w:val="4"/>
                <w:color w:val="auto"/>
              </w:rPr>
            </w:pPr>
          </w:p>
        </w:tc>
        <w:tc>
          <w:tcPr>
            <w:tcW w:w="5580" w:type="dxa"/>
            <w:vAlign w:val="bottom"/>
            <w:tcBorders>
              <w:right w:val="single" w:sz="8" w:color="auto"/>
            </w:tcBorders>
          </w:tcPr>
          <w:p>
            <w:pPr>
              <w:spacing w:after="0"/>
              <w:rPr>
                <w:sz w:val="4"/>
                <w:szCs w:val="4"/>
                <w:color w:val="auto"/>
              </w:rPr>
            </w:pPr>
          </w:p>
        </w:tc>
        <w:tc>
          <w:tcPr>
            <w:tcW w:w="3160" w:type="dxa"/>
            <w:vAlign w:val="bottom"/>
            <w:tcBorders>
              <w:right w:val="single" w:sz="8" w:color="auto"/>
            </w:tcBorders>
            <w:vMerge w:val="continue"/>
          </w:tcPr>
          <w:p>
            <w:pPr>
              <w:spacing w:after="0"/>
              <w:rPr>
                <w:sz w:val="4"/>
                <w:szCs w:val="4"/>
                <w:color w:val="auto"/>
              </w:rPr>
            </w:pPr>
          </w:p>
        </w:tc>
        <w:tc>
          <w:tcPr>
            <w:tcW w:w="0" w:type="dxa"/>
            <w:vAlign w:val="bottom"/>
          </w:tcPr>
          <w:p>
            <w:pPr>
              <w:spacing w:after="0"/>
              <w:rPr>
                <w:sz w:val="1"/>
                <w:szCs w:val="1"/>
                <w:color w:val="auto"/>
              </w:rPr>
            </w:pPr>
          </w:p>
        </w:tc>
      </w:tr>
      <w:tr>
        <w:trPr>
          <w:trHeight w:val="34"/>
        </w:trPr>
        <w:tc>
          <w:tcPr>
            <w:tcW w:w="2500" w:type="dxa"/>
            <w:vAlign w:val="bottom"/>
            <w:tcBorders>
              <w:left w:val="single" w:sz="8" w:color="auto"/>
              <w:bottom w:val="single" w:sz="8" w:color="auto"/>
              <w:right w:val="single" w:sz="8" w:color="auto"/>
            </w:tcBorders>
          </w:tcPr>
          <w:p>
            <w:pPr>
              <w:spacing w:after="0"/>
              <w:rPr>
                <w:sz w:val="2"/>
                <w:szCs w:val="2"/>
                <w:color w:val="auto"/>
              </w:rPr>
            </w:pPr>
          </w:p>
        </w:tc>
        <w:tc>
          <w:tcPr>
            <w:tcW w:w="5580" w:type="dxa"/>
            <w:vAlign w:val="bottom"/>
            <w:tcBorders>
              <w:bottom w:val="single" w:sz="8" w:color="auto"/>
              <w:right w:val="single" w:sz="8" w:color="auto"/>
            </w:tcBorders>
          </w:tcPr>
          <w:p>
            <w:pPr>
              <w:spacing w:after="0"/>
              <w:rPr>
                <w:sz w:val="2"/>
                <w:szCs w:val="2"/>
                <w:color w:val="auto"/>
              </w:rPr>
            </w:pPr>
          </w:p>
        </w:tc>
        <w:tc>
          <w:tcPr>
            <w:tcW w:w="316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9"/>
        </w:trPr>
        <w:tc>
          <w:tcPr>
            <w:tcW w:w="2500" w:type="dxa"/>
            <w:vAlign w:val="bottom"/>
            <w:tcBorders>
              <w:left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Shanghai Molan</w:t>
            </w:r>
          </w:p>
        </w:tc>
        <w:tc>
          <w:tcPr>
            <w:tcW w:w="5580" w:type="dxa"/>
            <w:vAlign w:val="bottom"/>
            <w:tcBorders>
              <w:right w:val="single" w:sz="8" w:color="auto"/>
            </w:tcBorders>
          </w:tcPr>
          <w:p>
            <w:pPr>
              <w:spacing w:after="0"/>
              <w:rPr>
                <w:sz w:val="19"/>
                <w:szCs w:val="19"/>
                <w:color w:val="auto"/>
              </w:rPr>
            </w:pPr>
          </w:p>
        </w:tc>
        <w:tc>
          <w:tcPr>
            <w:tcW w:w="316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500" w:type="dxa"/>
            <w:vAlign w:val="bottom"/>
            <w:tcBorders>
              <w:left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Electromechanical</w:t>
            </w:r>
          </w:p>
        </w:tc>
        <w:tc>
          <w:tcPr>
            <w:tcW w:w="558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An executive said that ACMR is a client.</w:t>
            </w:r>
          </w:p>
        </w:tc>
        <w:tc>
          <w:tcPr>
            <w:tcW w:w="316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Supplier of electronic modules</w:t>
            </w:r>
          </w:p>
        </w:tc>
        <w:tc>
          <w:tcPr>
            <w:tcW w:w="0" w:type="dxa"/>
            <w:vAlign w:val="bottom"/>
          </w:tcPr>
          <w:p>
            <w:pPr>
              <w:spacing w:after="0"/>
              <w:rPr>
                <w:sz w:val="1"/>
                <w:szCs w:val="1"/>
                <w:color w:val="auto"/>
              </w:rPr>
            </w:pPr>
          </w:p>
        </w:tc>
      </w:tr>
      <w:tr>
        <w:trPr>
          <w:trHeight w:val="230"/>
        </w:trPr>
        <w:tc>
          <w:tcPr>
            <w:tcW w:w="2500" w:type="dxa"/>
            <w:vAlign w:val="bottom"/>
            <w:tcBorders>
              <w:left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Equipment Co., Ltd.</w:t>
            </w:r>
          </w:p>
        </w:tc>
        <w:tc>
          <w:tcPr>
            <w:tcW w:w="5580" w:type="dxa"/>
            <w:vAlign w:val="bottom"/>
            <w:tcBorders>
              <w:right w:val="single" w:sz="8" w:color="auto"/>
            </w:tcBorders>
          </w:tcPr>
          <w:p>
            <w:pPr>
              <w:spacing w:after="0"/>
              <w:rPr>
                <w:sz w:val="20"/>
                <w:szCs w:val="20"/>
                <w:color w:val="auto"/>
              </w:rPr>
            </w:pPr>
          </w:p>
        </w:tc>
        <w:tc>
          <w:tcPr>
            <w:tcW w:w="31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34"/>
        </w:trPr>
        <w:tc>
          <w:tcPr>
            <w:tcW w:w="2500" w:type="dxa"/>
            <w:vAlign w:val="bottom"/>
            <w:tcBorders>
              <w:left w:val="single" w:sz="8" w:color="auto"/>
              <w:bottom w:val="single" w:sz="8" w:color="auto"/>
              <w:right w:val="single" w:sz="8" w:color="auto"/>
            </w:tcBorders>
          </w:tcPr>
          <w:p>
            <w:pPr>
              <w:spacing w:after="0"/>
              <w:rPr>
                <w:sz w:val="2"/>
                <w:szCs w:val="2"/>
                <w:color w:val="auto"/>
              </w:rPr>
            </w:pPr>
          </w:p>
        </w:tc>
        <w:tc>
          <w:tcPr>
            <w:tcW w:w="5580" w:type="dxa"/>
            <w:vAlign w:val="bottom"/>
            <w:tcBorders>
              <w:bottom w:val="single" w:sz="8" w:color="auto"/>
              <w:right w:val="single" w:sz="8" w:color="auto"/>
            </w:tcBorders>
          </w:tcPr>
          <w:p>
            <w:pPr>
              <w:spacing w:after="0"/>
              <w:rPr>
                <w:sz w:val="2"/>
                <w:szCs w:val="2"/>
                <w:color w:val="auto"/>
              </w:rPr>
            </w:pPr>
          </w:p>
        </w:tc>
        <w:tc>
          <w:tcPr>
            <w:tcW w:w="316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582"/>
        </w:trPr>
        <w:tc>
          <w:tcPr>
            <w:tcW w:w="2500" w:type="dxa"/>
            <w:vAlign w:val="bottom"/>
          </w:tcPr>
          <w:p>
            <w:pPr>
              <w:spacing w:after="0"/>
              <w:rPr>
                <w:sz w:val="24"/>
                <w:szCs w:val="24"/>
                <w:color w:val="auto"/>
              </w:rPr>
            </w:pPr>
          </w:p>
        </w:tc>
        <w:tc>
          <w:tcPr>
            <w:tcW w:w="5580" w:type="dxa"/>
            <w:vAlign w:val="bottom"/>
          </w:tcPr>
          <w:p>
            <w:pPr>
              <w:ind w:left="2880"/>
              <w:spacing w:after="0"/>
              <w:rPr>
                <w:sz w:val="20"/>
                <w:szCs w:val="20"/>
                <w:color w:val="auto"/>
              </w:rPr>
            </w:pPr>
            <w:r>
              <w:rPr>
                <w:rFonts w:ascii="Arial" w:cs="Arial" w:eastAsia="Arial" w:hAnsi="Arial"/>
                <w:sz w:val="14"/>
                <w:szCs w:val="14"/>
                <w:color w:val="auto"/>
              </w:rPr>
              <w:t>8-4-1-93</w:t>
            </w:r>
          </w:p>
        </w:tc>
        <w:tc>
          <w:tcPr>
            <w:tcW w:w="3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6"/>
        </w:trPr>
        <w:tc>
          <w:tcPr>
            <w:tcW w:w="2500" w:type="dxa"/>
            <w:vAlign w:val="bottom"/>
            <w:tcBorders>
              <w:bottom w:val="single" w:sz="8" w:color="auto"/>
            </w:tcBorders>
          </w:tcPr>
          <w:p>
            <w:pPr>
              <w:spacing w:after="0"/>
              <w:rPr>
                <w:sz w:val="4"/>
                <w:szCs w:val="4"/>
                <w:color w:val="auto"/>
              </w:rPr>
            </w:pPr>
          </w:p>
        </w:tc>
        <w:tc>
          <w:tcPr>
            <w:tcW w:w="5580" w:type="dxa"/>
            <w:vAlign w:val="bottom"/>
            <w:tcBorders>
              <w:bottom w:val="single" w:sz="8" w:color="auto"/>
            </w:tcBorders>
          </w:tcPr>
          <w:p>
            <w:pPr>
              <w:spacing w:after="0"/>
              <w:rPr>
                <w:sz w:val="4"/>
                <w:szCs w:val="4"/>
                <w:color w:val="auto"/>
              </w:rPr>
            </w:pPr>
          </w:p>
        </w:tc>
        <w:tc>
          <w:tcPr>
            <w:tcW w:w="316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120" w:right="339" w:bottom="1440" w:gutter="0" w:footer="0" w:header="0"/>
        </w:sectPr>
      </w:pPr>
    </w:p>
    <w:bookmarkStart w:id="97" w:name="page98"/>
    <w:bookmarkEnd w:id="97"/>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324"/>
        </w:trPr>
        <w:tc>
          <w:tcPr>
            <w:tcW w:w="2500" w:type="dxa"/>
            <w:vAlign w:val="bottom"/>
            <w:tcBorders>
              <w:top w:val="single" w:sz="8" w:color="auto"/>
              <w:left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Wuxi Paisi Technology</w:t>
            </w:r>
          </w:p>
        </w:tc>
        <w:tc>
          <w:tcPr>
            <w:tcW w:w="5580" w:type="dxa"/>
            <w:vAlign w:val="bottom"/>
            <w:tcBorders>
              <w:top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An employee of this company said that Wuxi Paisi has provided PVC</w:t>
            </w:r>
          </w:p>
        </w:tc>
        <w:tc>
          <w:tcPr>
            <w:tcW w:w="2420" w:type="dxa"/>
            <w:vAlign w:val="bottom"/>
            <w:tcBorders>
              <w:top w:val="single" w:sz="8" w:color="auto"/>
            </w:tcBorders>
            <w:gridSpan w:val="2"/>
          </w:tcPr>
          <w:p>
            <w:pPr>
              <w:ind w:left="20"/>
              <w:spacing w:after="0"/>
              <w:rPr>
                <w:sz w:val="20"/>
                <w:szCs w:val="20"/>
                <w:color w:val="auto"/>
              </w:rPr>
            </w:pPr>
            <w:r>
              <w:rPr>
                <w:rFonts w:ascii="Arial" w:cs="Arial" w:eastAsia="Arial" w:hAnsi="Arial"/>
                <w:sz w:val="18"/>
                <w:szCs w:val="18"/>
                <w:color w:val="auto"/>
              </w:rPr>
              <w:t>Supplier of cabinet</w:t>
            </w:r>
          </w:p>
        </w:tc>
        <w:tc>
          <w:tcPr>
            <w:tcW w:w="740" w:type="dxa"/>
            <w:vAlign w:val="bottom"/>
            <w:tcBorders>
              <w:top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2500" w:type="dxa"/>
            <w:vAlign w:val="bottom"/>
            <w:tcBorders>
              <w:left w:val="single" w:sz="8" w:color="auto"/>
              <w:bottom w:val="single" w:sz="8" w:color="auto"/>
              <w:right w:val="single" w:sz="8" w:color="auto"/>
            </w:tcBorders>
          </w:tcPr>
          <w:p>
            <w:pPr>
              <w:ind w:left="60"/>
              <w:spacing w:after="0" w:line="189" w:lineRule="exact"/>
              <w:rPr>
                <w:sz w:val="20"/>
                <w:szCs w:val="20"/>
                <w:color w:val="auto"/>
              </w:rPr>
            </w:pPr>
            <w:r>
              <w:rPr>
                <w:rFonts w:ascii="Arial" w:cs="Arial" w:eastAsia="Arial" w:hAnsi="Arial"/>
                <w:sz w:val="18"/>
                <w:szCs w:val="18"/>
                <w:color w:val="auto"/>
              </w:rPr>
              <w:t>Co., Ltd</w:t>
            </w:r>
          </w:p>
        </w:tc>
        <w:tc>
          <w:tcPr>
            <w:tcW w:w="5580" w:type="dxa"/>
            <w:vAlign w:val="bottom"/>
            <w:tcBorders>
              <w:bottom w:val="single" w:sz="8" w:color="auto"/>
              <w:right w:val="single" w:sz="8" w:color="auto"/>
            </w:tcBorders>
          </w:tcPr>
          <w:p>
            <w:pPr>
              <w:ind w:left="20"/>
              <w:spacing w:after="0" w:line="189" w:lineRule="exact"/>
              <w:rPr>
                <w:sz w:val="20"/>
                <w:szCs w:val="20"/>
                <w:color w:val="auto"/>
              </w:rPr>
            </w:pPr>
            <w:r>
              <w:rPr>
                <w:rFonts w:ascii="Arial" w:cs="Arial" w:eastAsia="Arial" w:hAnsi="Arial"/>
                <w:sz w:val="18"/>
                <w:szCs w:val="18"/>
                <w:color w:val="auto"/>
              </w:rPr>
              <w:t>welding services to ACMR for cabinet shells.</w:t>
            </w:r>
          </w:p>
        </w:tc>
        <w:tc>
          <w:tcPr>
            <w:tcW w:w="900" w:type="dxa"/>
            <w:vAlign w:val="bottom"/>
            <w:tcBorders>
              <w:bottom w:val="single" w:sz="8" w:color="auto"/>
            </w:tcBorders>
          </w:tcPr>
          <w:p>
            <w:pPr>
              <w:spacing w:after="0"/>
              <w:rPr>
                <w:sz w:val="17"/>
                <w:szCs w:val="17"/>
                <w:color w:val="auto"/>
              </w:rPr>
            </w:pPr>
          </w:p>
        </w:tc>
        <w:tc>
          <w:tcPr>
            <w:tcW w:w="1520" w:type="dxa"/>
            <w:vAlign w:val="bottom"/>
            <w:tcBorders>
              <w:bottom w:val="single" w:sz="8" w:color="auto"/>
            </w:tcBorders>
          </w:tcPr>
          <w:p>
            <w:pPr>
              <w:spacing w:after="0"/>
              <w:rPr>
                <w:sz w:val="17"/>
                <w:szCs w:val="17"/>
                <w:color w:val="auto"/>
              </w:rPr>
            </w:pPr>
          </w:p>
        </w:tc>
        <w:tc>
          <w:tcPr>
            <w:tcW w:w="740" w:type="dxa"/>
            <w:vAlign w:val="bottom"/>
            <w:tcBorders>
              <w:bottom w:val="single" w:sz="8" w:color="auto"/>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2500" w:type="dxa"/>
            <w:vAlign w:val="bottom"/>
            <w:tcBorders>
              <w:left w:val="single" w:sz="8" w:color="auto"/>
              <w:right w:val="single" w:sz="8" w:color="auto"/>
            </w:tcBorders>
          </w:tcPr>
          <w:p>
            <w:pPr>
              <w:spacing w:after="0"/>
              <w:rPr>
                <w:sz w:val="19"/>
                <w:szCs w:val="19"/>
                <w:color w:val="auto"/>
              </w:rPr>
            </w:pPr>
          </w:p>
        </w:tc>
        <w:tc>
          <w:tcPr>
            <w:tcW w:w="5580" w:type="dxa"/>
            <w:vAlign w:val="bottom"/>
            <w:tcBorders>
              <w:right w:val="single" w:sz="8" w:color="auto"/>
            </w:tcBorders>
          </w:tcPr>
          <w:p>
            <w:pPr>
              <w:spacing w:after="0"/>
              <w:rPr>
                <w:sz w:val="19"/>
                <w:szCs w:val="19"/>
                <w:color w:val="auto"/>
              </w:rPr>
            </w:pPr>
          </w:p>
        </w:tc>
        <w:tc>
          <w:tcPr>
            <w:tcW w:w="3160" w:type="dxa"/>
            <w:vAlign w:val="bottom"/>
            <w:tcBorders>
              <w:right w:val="single" w:sz="8" w:color="auto"/>
            </w:tcBorders>
            <w:gridSpan w:val="3"/>
          </w:tcPr>
          <w:p>
            <w:pPr>
              <w:ind w:left="20"/>
              <w:spacing w:after="0"/>
              <w:rPr>
                <w:sz w:val="20"/>
                <w:szCs w:val="20"/>
                <w:color w:val="auto"/>
              </w:rPr>
            </w:pPr>
            <w:r>
              <w:rPr>
                <w:rFonts w:ascii="Arial" w:cs="Arial" w:eastAsia="Arial" w:hAnsi="Arial"/>
                <w:sz w:val="18"/>
                <w:szCs w:val="18"/>
                <w:color w:val="auto"/>
                <w:w w:val="98"/>
              </w:rPr>
              <w:t>Advance  only  sells  valve  bodies  with</w:t>
            </w:r>
          </w:p>
        </w:tc>
        <w:tc>
          <w:tcPr>
            <w:tcW w:w="0" w:type="dxa"/>
            <w:vAlign w:val="bottom"/>
          </w:tcPr>
          <w:p>
            <w:pPr>
              <w:spacing w:after="0"/>
              <w:rPr>
                <w:sz w:val="1"/>
                <w:szCs w:val="1"/>
                <w:color w:val="auto"/>
              </w:rPr>
            </w:pPr>
          </w:p>
        </w:tc>
      </w:tr>
      <w:tr>
        <w:trPr>
          <w:trHeight w:val="216"/>
        </w:trPr>
        <w:tc>
          <w:tcPr>
            <w:tcW w:w="2500" w:type="dxa"/>
            <w:vAlign w:val="bottom"/>
            <w:tcBorders>
              <w:left w:val="single" w:sz="8" w:color="auto"/>
              <w:right w:val="single" w:sz="8" w:color="auto"/>
            </w:tcBorders>
          </w:tcPr>
          <w:p>
            <w:pPr>
              <w:spacing w:after="0"/>
              <w:rPr>
                <w:sz w:val="18"/>
                <w:szCs w:val="18"/>
                <w:color w:val="auto"/>
              </w:rPr>
            </w:pPr>
          </w:p>
        </w:tc>
        <w:tc>
          <w:tcPr>
            <w:tcW w:w="558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w w:val="96"/>
              </w:rPr>
              <w:t>ACMR purchases components from Advance in the United States. But it</w:t>
            </w:r>
          </w:p>
        </w:tc>
        <w:tc>
          <w:tcPr>
            <w:tcW w:w="900" w:type="dxa"/>
            <w:vAlign w:val="bottom"/>
          </w:tcPr>
          <w:p>
            <w:pPr>
              <w:ind w:left="20"/>
              <w:spacing w:after="0"/>
              <w:rPr>
                <w:sz w:val="20"/>
                <w:szCs w:val="20"/>
                <w:color w:val="auto"/>
              </w:rPr>
            </w:pPr>
            <w:r>
              <w:rPr>
                <w:rFonts w:ascii="Arial" w:cs="Arial" w:eastAsia="Arial" w:hAnsi="Arial"/>
                <w:sz w:val="18"/>
                <w:szCs w:val="18"/>
                <w:color w:val="auto"/>
              </w:rPr>
              <w:t>relatively</w:t>
            </w:r>
          </w:p>
        </w:tc>
        <w:tc>
          <w:tcPr>
            <w:tcW w:w="1520" w:type="dxa"/>
            <w:vAlign w:val="bottom"/>
          </w:tcPr>
          <w:p>
            <w:pPr>
              <w:ind w:left="60"/>
              <w:spacing w:after="0"/>
              <w:rPr>
                <w:sz w:val="20"/>
                <w:szCs w:val="20"/>
                <w:color w:val="auto"/>
              </w:rPr>
            </w:pPr>
            <w:r>
              <w:rPr>
                <w:rFonts w:ascii="Arial" w:cs="Arial" w:eastAsia="Arial" w:hAnsi="Arial"/>
                <w:sz w:val="18"/>
                <w:szCs w:val="18"/>
                <w:color w:val="auto"/>
              </w:rPr>
              <w:t>backward   styles</w:t>
            </w:r>
          </w:p>
        </w:tc>
        <w:tc>
          <w:tcPr>
            <w:tcW w:w="74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rPr>
              <w:t>through</w:t>
            </w:r>
          </w:p>
        </w:tc>
        <w:tc>
          <w:tcPr>
            <w:tcW w:w="0" w:type="dxa"/>
            <w:vAlign w:val="bottom"/>
          </w:tcPr>
          <w:p>
            <w:pPr>
              <w:spacing w:after="0"/>
              <w:rPr>
                <w:sz w:val="1"/>
                <w:szCs w:val="1"/>
                <w:color w:val="auto"/>
              </w:rPr>
            </w:pPr>
          </w:p>
        </w:tc>
      </w:tr>
      <w:tr>
        <w:trPr>
          <w:trHeight w:val="216"/>
        </w:trPr>
        <w:tc>
          <w:tcPr>
            <w:tcW w:w="2500" w:type="dxa"/>
            <w:vAlign w:val="bottom"/>
            <w:tcBorders>
              <w:left w:val="single" w:sz="8" w:color="auto"/>
              <w:right w:val="single" w:sz="8" w:color="auto"/>
            </w:tcBorders>
            <w:vMerge w:val="restart"/>
          </w:tcPr>
          <w:p>
            <w:pPr>
              <w:ind w:left="60"/>
              <w:spacing w:after="0"/>
              <w:rPr>
                <w:sz w:val="20"/>
                <w:szCs w:val="20"/>
                <w:color w:val="auto"/>
              </w:rPr>
            </w:pPr>
            <w:r>
              <w:rPr>
                <w:rFonts w:ascii="Arial" w:cs="Arial" w:eastAsia="Arial" w:hAnsi="Arial"/>
                <w:sz w:val="18"/>
                <w:szCs w:val="18"/>
                <w:color w:val="auto"/>
              </w:rPr>
              <w:t>Advance Electric</w:t>
            </w:r>
          </w:p>
        </w:tc>
        <w:tc>
          <w:tcPr>
            <w:tcW w:w="558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w w:val="95"/>
              </w:rPr>
              <w:t>would be easy to buy components in China: Advance’s agent in China in</w:t>
            </w:r>
          </w:p>
        </w:tc>
        <w:tc>
          <w:tcPr>
            <w:tcW w:w="3160" w:type="dxa"/>
            <w:vAlign w:val="bottom"/>
            <w:tcBorders>
              <w:right w:val="single" w:sz="8" w:color="auto"/>
            </w:tcBorders>
            <w:gridSpan w:val="3"/>
          </w:tcPr>
          <w:p>
            <w:pPr>
              <w:ind w:left="20"/>
              <w:spacing w:after="0"/>
              <w:rPr>
                <w:sz w:val="20"/>
                <w:szCs w:val="20"/>
                <w:color w:val="auto"/>
              </w:rPr>
            </w:pPr>
            <w:r>
              <w:rPr>
                <w:rFonts w:ascii="Arial" w:cs="Arial" w:eastAsia="Arial" w:hAnsi="Arial"/>
                <w:sz w:val="18"/>
                <w:szCs w:val="18"/>
                <w:color w:val="auto"/>
                <w:w w:val="93"/>
              </w:rPr>
              <w:t>Chinese agents; the Company purchased</w:t>
            </w:r>
          </w:p>
        </w:tc>
        <w:tc>
          <w:tcPr>
            <w:tcW w:w="0" w:type="dxa"/>
            <w:vAlign w:val="bottom"/>
          </w:tcPr>
          <w:p>
            <w:pPr>
              <w:spacing w:after="0"/>
              <w:rPr>
                <w:sz w:val="1"/>
                <w:szCs w:val="1"/>
                <w:color w:val="auto"/>
              </w:rPr>
            </w:pPr>
          </w:p>
        </w:tc>
      </w:tr>
      <w:tr>
        <w:trPr>
          <w:trHeight w:val="108"/>
        </w:trPr>
        <w:tc>
          <w:tcPr>
            <w:tcW w:w="2500" w:type="dxa"/>
            <w:vAlign w:val="bottom"/>
            <w:tcBorders>
              <w:left w:val="single" w:sz="8" w:color="auto"/>
              <w:right w:val="single" w:sz="8" w:color="auto"/>
            </w:tcBorders>
            <w:vMerge w:val="continue"/>
          </w:tcPr>
          <w:p>
            <w:pPr>
              <w:spacing w:after="0"/>
              <w:rPr>
                <w:sz w:val="9"/>
                <w:szCs w:val="9"/>
                <w:color w:val="auto"/>
              </w:rPr>
            </w:pPr>
          </w:p>
        </w:tc>
        <w:tc>
          <w:tcPr>
            <w:tcW w:w="5580" w:type="dxa"/>
            <w:vAlign w:val="bottom"/>
            <w:tcBorders>
              <w:right w:val="single" w:sz="8" w:color="auto"/>
            </w:tcBorders>
            <w:vMerge w:val="restart"/>
          </w:tcPr>
          <w:p>
            <w:pPr>
              <w:ind w:left="20"/>
              <w:spacing w:after="0"/>
              <w:rPr>
                <w:sz w:val="20"/>
                <w:szCs w:val="20"/>
                <w:color w:val="auto"/>
              </w:rPr>
            </w:pPr>
            <w:r>
              <w:rPr>
                <w:rFonts w:ascii="Arial" w:cs="Arial" w:eastAsia="Arial" w:hAnsi="Arial"/>
                <w:sz w:val="18"/>
                <w:szCs w:val="18"/>
                <w:color w:val="auto"/>
              </w:rPr>
              <w:t>Lush Mount (http://www.lush-mount.com/). We spoke with three Lush</w:t>
            </w:r>
          </w:p>
        </w:tc>
        <w:tc>
          <w:tcPr>
            <w:tcW w:w="900" w:type="dxa"/>
            <w:vAlign w:val="bottom"/>
            <w:vMerge w:val="restart"/>
          </w:tcPr>
          <w:p>
            <w:pPr>
              <w:ind w:left="20"/>
              <w:spacing w:after="0"/>
              <w:rPr>
                <w:sz w:val="20"/>
                <w:szCs w:val="20"/>
                <w:color w:val="auto"/>
              </w:rPr>
            </w:pPr>
            <w:r>
              <w:rPr>
                <w:rFonts w:ascii="Arial" w:cs="Arial" w:eastAsia="Arial" w:hAnsi="Arial"/>
                <w:sz w:val="18"/>
                <w:szCs w:val="18"/>
                <w:color w:val="auto"/>
                <w:w w:val="94"/>
              </w:rPr>
              <w:t>customized</w:t>
            </w:r>
          </w:p>
        </w:tc>
        <w:tc>
          <w:tcPr>
            <w:tcW w:w="1520" w:type="dxa"/>
            <w:vAlign w:val="bottom"/>
            <w:vMerge w:val="restart"/>
          </w:tcPr>
          <w:p>
            <w:pPr>
              <w:ind w:left="40"/>
              <w:spacing w:after="0"/>
              <w:rPr>
                <w:sz w:val="20"/>
                <w:szCs w:val="20"/>
                <w:color w:val="auto"/>
              </w:rPr>
            </w:pPr>
            <w:r>
              <w:rPr>
                <w:rFonts w:ascii="Arial" w:cs="Arial" w:eastAsia="Arial" w:hAnsi="Arial"/>
                <w:sz w:val="18"/>
                <w:szCs w:val="18"/>
                <w:color w:val="auto"/>
              </w:rPr>
              <w:t>valve bodies from</w:t>
            </w:r>
          </w:p>
        </w:tc>
        <w:tc>
          <w:tcPr>
            <w:tcW w:w="740" w:type="dxa"/>
            <w:vAlign w:val="bottom"/>
            <w:tcBorders>
              <w:right w:val="single" w:sz="8" w:color="auto"/>
            </w:tcBorders>
            <w:vMerge w:val="restart"/>
          </w:tcPr>
          <w:p>
            <w:pPr>
              <w:jc w:val="right"/>
              <w:spacing w:after="0"/>
              <w:rPr>
                <w:sz w:val="20"/>
                <w:szCs w:val="20"/>
                <w:color w:val="auto"/>
              </w:rPr>
            </w:pPr>
            <w:r>
              <w:rPr>
                <w:rFonts w:ascii="Arial" w:cs="Arial" w:eastAsia="Arial" w:hAnsi="Arial"/>
                <w:sz w:val="18"/>
                <w:szCs w:val="18"/>
                <w:color w:val="auto"/>
                <w:w w:val="94"/>
              </w:rPr>
              <w:t>Advance</w:t>
            </w:r>
          </w:p>
        </w:tc>
        <w:tc>
          <w:tcPr>
            <w:tcW w:w="0" w:type="dxa"/>
            <w:vAlign w:val="bottom"/>
          </w:tcPr>
          <w:p>
            <w:pPr>
              <w:spacing w:after="0"/>
              <w:rPr>
                <w:sz w:val="1"/>
                <w:szCs w:val="1"/>
                <w:color w:val="auto"/>
              </w:rPr>
            </w:pPr>
          </w:p>
        </w:tc>
      </w:tr>
      <w:tr>
        <w:trPr>
          <w:trHeight w:val="108"/>
        </w:trPr>
        <w:tc>
          <w:tcPr>
            <w:tcW w:w="2500" w:type="dxa"/>
            <w:vAlign w:val="bottom"/>
            <w:tcBorders>
              <w:left w:val="single" w:sz="8" w:color="auto"/>
              <w:right w:val="single" w:sz="8" w:color="auto"/>
            </w:tcBorders>
            <w:vMerge w:val="restart"/>
          </w:tcPr>
          <w:p>
            <w:pPr>
              <w:ind w:left="60"/>
              <w:spacing w:after="0"/>
              <w:rPr>
                <w:sz w:val="20"/>
                <w:szCs w:val="20"/>
                <w:color w:val="auto"/>
              </w:rPr>
            </w:pPr>
            <w:r>
              <w:rPr>
                <w:rFonts w:ascii="Arial" w:cs="Arial" w:eastAsia="Arial" w:hAnsi="Arial"/>
                <w:sz w:val="18"/>
                <w:szCs w:val="18"/>
                <w:color w:val="auto"/>
              </w:rPr>
              <w:t>America Co., Inc</w:t>
            </w:r>
          </w:p>
        </w:tc>
        <w:tc>
          <w:tcPr>
            <w:tcW w:w="5580" w:type="dxa"/>
            <w:vAlign w:val="bottom"/>
            <w:tcBorders>
              <w:right w:val="single" w:sz="8" w:color="auto"/>
            </w:tcBorders>
            <w:vMerge w:val="continue"/>
          </w:tcPr>
          <w:p>
            <w:pPr>
              <w:spacing w:after="0"/>
              <w:rPr>
                <w:sz w:val="9"/>
                <w:szCs w:val="9"/>
                <w:color w:val="auto"/>
              </w:rPr>
            </w:pPr>
          </w:p>
        </w:tc>
        <w:tc>
          <w:tcPr>
            <w:tcW w:w="900" w:type="dxa"/>
            <w:vAlign w:val="bottom"/>
            <w:vMerge w:val="continue"/>
          </w:tcPr>
          <w:p>
            <w:pPr>
              <w:spacing w:after="0"/>
              <w:rPr>
                <w:sz w:val="9"/>
                <w:szCs w:val="9"/>
                <w:color w:val="auto"/>
              </w:rPr>
            </w:pPr>
          </w:p>
        </w:tc>
        <w:tc>
          <w:tcPr>
            <w:tcW w:w="1520" w:type="dxa"/>
            <w:vAlign w:val="bottom"/>
            <w:vMerge w:val="continue"/>
          </w:tcPr>
          <w:p>
            <w:pPr>
              <w:spacing w:after="0"/>
              <w:rPr>
                <w:sz w:val="9"/>
                <w:szCs w:val="9"/>
                <w:color w:val="auto"/>
              </w:rPr>
            </w:pPr>
          </w:p>
        </w:tc>
        <w:tc>
          <w:tcPr>
            <w:tcW w:w="740" w:type="dxa"/>
            <w:vAlign w:val="bottom"/>
            <w:tcBorders>
              <w:right w:val="single" w:sz="8" w:color="auto"/>
            </w:tcBorders>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22"/>
        </w:trPr>
        <w:tc>
          <w:tcPr>
            <w:tcW w:w="2500" w:type="dxa"/>
            <w:vAlign w:val="bottom"/>
            <w:tcBorders>
              <w:left w:val="single" w:sz="8" w:color="auto"/>
              <w:right w:val="single" w:sz="8" w:color="auto"/>
            </w:tcBorders>
            <w:vMerge w:val="continue"/>
          </w:tcPr>
          <w:p>
            <w:pPr>
              <w:spacing w:after="0"/>
              <w:rPr>
                <w:sz w:val="10"/>
                <w:szCs w:val="10"/>
                <w:color w:val="auto"/>
              </w:rPr>
            </w:pPr>
          </w:p>
        </w:tc>
        <w:tc>
          <w:tcPr>
            <w:tcW w:w="5580" w:type="dxa"/>
            <w:vAlign w:val="bottom"/>
            <w:tcBorders>
              <w:right w:val="single" w:sz="8" w:color="auto"/>
            </w:tcBorders>
            <w:vMerge w:val="restart"/>
          </w:tcPr>
          <w:p>
            <w:pPr>
              <w:ind w:left="20"/>
              <w:spacing w:after="0"/>
              <w:rPr>
                <w:sz w:val="20"/>
                <w:szCs w:val="20"/>
                <w:color w:val="auto"/>
              </w:rPr>
            </w:pPr>
            <w:r>
              <w:rPr>
                <w:rFonts w:ascii="Arial" w:cs="Arial" w:eastAsia="Arial" w:hAnsi="Arial"/>
                <w:sz w:val="18"/>
                <w:szCs w:val="18"/>
                <w:color w:val="auto"/>
                <w:w w:val="94"/>
              </w:rPr>
              <w:t>Mount representatives. They acknowledged that ACMR was a client but a</w:t>
            </w:r>
          </w:p>
        </w:tc>
        <w:tc>
          <w:tcPr>
            <w:tcW w:w="3160" w:type="dxa"/>
            <w:vAlign w:val="bottom"/>
            <w:tcBorders>
              <w:right w:val="single" w:sz="8" w:color="auto"/>
            </w:tcBorders>
            <w:gridSpan w:val="3"/>
            <w:vMerge w:val="restart"/>
          </w:tcPr>
          <w:p>
            <w:pPr>
              <w:ind w:left="20"/>
              <w:spacing w:after="0"/>
              <w:rPr>
                <w:sz w:val="20"/>
                <w:szCs w:val="20"/>
                <w:color w:val="auto"/>
              </w:rPr>
            </w:pPr>
            <w:r>
              <w:rPr>
                <w:rFonts w:ascii="Arial" w:cs="Arial" w:eastAsia="Arial" w:hAnsi="Arial"/>
                <w:sz w:val="18"/>
                <w:szCs w:val="18"/>
                <w:color w:val="auto"/>
                <w:w w:val="99"/>
              </w:rPr>
              <w:t>Electric  America  Co.,  Inc.;  it  did  not</w:t>
            </w:r>
          </w:p>
        </w:tc>
        <w:tc>
          <w:tcPr>
            <w:tcW w:w="0" w:type="dxa"/>
            <w:vAlign w:val="bottom"/>
          </w:tcPr>
          <w:p>
            <w:pPr>
              <w:spacing w:after="0"/>
              <w:rPr>
                <w:sz w:val="1"/>
                <w:szCs w:val="1"/>
                <w:color w:val="auto"/>
              </w:rPr>
            </w:pPr>
          </w:p>
        </w:tc>
      </w:tr>
      <w:tr>
        <w:trPr>
          <w:trHeight w:val="94"/>
        </w:trPr>
        <w:tc>
          <w:tcPr>
            <w:tcW w:w="2500" w:type="dxa"/>
            <w:vAlign w:val="bottom"/>
            <w:tcBorders>
              <w:left w:val="single" w:sz="8" w:color="auto"/>
              <w:right w:val="single" w:sz="8" w:color="auto"/>
            </w:tcBorders>
          </w:tcPr>
          <w:p>
            <w:pPr>
              <w:spacing w:after="0"/>
              <w:rPr>
                <w:sz w:val="8"/>
                <w:szCs w:val="8"/>
                <w:color w:val="auto"/>
              </w:rPr>
            </w:pPr>
          </w:p>
        </w:tc>
        <w:tc>
          <w:tcPr>
            <w:tcW w:w="5580" w:type="dxa"/>
            <w:vAlign w:val="bottom"/>
            <w:tcBorders>
              <w:right w:val="single" w:sz="8" w:color="auto"/>
            </w:tcBorders>
            <w:vMerge w:val="continue"/>
          </w:tcPr>
          <w:p>
            <w:pPr>
              <w:spacing w:after="0"/>
              <w:rPr>
                <w:sz w:val="8"/>
                <w:szCs w:val="8"/>
                <w:color w:val="auto"/>
              </w:rPr>
            </w:pPr>
          </w:p>
        </w:tc>
        <w:tc>
          <w:tcPr>
            <w:tcW w:w="3160" w:type="dxa"/>
            <w:vAlign w:val="bottom"/>
            <w:tcBorders>
              <w:right w:val="single" w:sz="8" w:color="auto"/>
            </w:tcBorders>
            <w:gridSpan w:val="3"/>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500" w:type="dxa"/>
            <w:vAlign w:val="bottom"/>
            <w:tcBorders>
              <w:left w:val="single" w:sz="8" w:color="auto"/>
              <w:right w:val="single" w:sz="8" w:color="auto"/>
            </w:tcBorders>
          </w:tcPr>
          <w:p>
            <w:pPr>
              <w:spacing w:after="0"/>
              <w:rPr>
                <w:sz w:val="18"/>
                <w:szCs w:val="18"/>
                <w:color w:val="auto"/>
              </w:rPr>
            </w:pPr>
          </w:p>
        </w:tc>
        <w:tc>
          <w:tcPr>
            <w:tcW w:w="558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small one: “We sell very little to ACMR, not even the value of a car.”</w:t>
            </w:r>
          </w:p>
        </w:tc>
        <w:tc>
          <w:tcPr>
            <w:tcW w:w="3160" w:type="dxa"/>
            <w:vAlign w:val="bottom"/>
            <w:tcBorders>
              <w:right w:val="single" w:sz="8" w:color="auto"/>
            </w:tcBorders>
            <w:gridSpan w:val="3"/>
          </w:tcPr>
          <w:p>
            <w:pPr>
              <w:ind w:left="20"/>
              <w:spacing w:after="0"/>
              <w:rPr>
                <w:sz w:val="20"/>
                <w:szCs w:val="20"/>
                <w:color w:val="auto"/>
              </w:rPr>
            </w:pPr>
            <w:r>
              <w:rPr>
                <w:rFonts w:ascii="Arial" w:cs="Arial" w:eastAsia="Arial" w:hAnsi="Arial"/>
                <w:sz w:val="18"/>
                <w:szCs w:val="18"/>
                <w:color w:val="auto"/>
                <w:w w:val="95"/>
              </w:rPr>
              <w:t>purchase  the  customized  valve  bodies</w:t>
            </w:r>
          </w:p>
        </w:tc>
        <w:tc>
          <w:tcPr>
            <w:tcW w:w="0" w:type="dxa"/>
            <w:vAlign w:val="bottom"/>
          </w:tcPr>
          <w:p>
            <w:pPr>
              <w:spacing w:after="0"/>
              <w:rPr>
                <w:sz w:val="1"/>
                <w:szCs w:val="1"/>
                <w:color w:val="auto"/>
              </w:rPr>
            </w:pPr>
          </w:p>
        </w:tc>
      </w:tr>
      <w:tr>
        <w:trPr>
          <w:trHeight w:val="230"/>
        </w:trPr>
        <w:tc>
          <w:tcPr>
            <w:tcW w:w="2500" w:type="dxa"/>
            <w:vAlign w:val="bottom"/>
            <w:tcBorders>
              <w:left w:val="single" w:sz="8" w:color="auto"/>
              <w:right w:val="single" w:sz="8" w:color="auto"/>
            </w:tcBorders>
          </w:tcPr>
          <w:p>
            <w:pPr>
              <w:spacing w:after="0"/>
              <w:rPr>
                <w:sz w:val="20"/>
                <w:szCs w:val="20"/>
                <w:color w:val="auto"/>
              </w:rPr>
            </w:pPr>
          </w:p>
        </w:tc>
        <w:tc>
          <w:tcPr>
            <w:tcW w:w="5580" w:type="dxa"/>
            <w:vAlign w:val="bottom"/>
            <w:tcBorders>
              <w:right w:val="single" w:sz="8" w:color="auto"/>
            </w:tcBorders>
          </w:tcPr>
          <w:p>
            <w:pPr>
              <w:spacing w:after="0"/>
              <w:rPr>
                <w:sz w:val="20"/>
                <w:szCs w:val="20"/>
                <w:color w:val="auto"/>
              </w:rPr>
            </w:pPr>
          </w:p>
        </w:tc>
        <w:tc>
          <w:tcPr>
            <w:tcW w:w="3160" w:type="dxa"/>
            <w:vAlign w:val="bottom"/>
            <w:tcBorders>
              <w:right w:val="single" w:sz="8" w:color="auto"/>
            </w:tcBorders>
            <w:gridSpan w:val="3"/>
          </w:tcPr>
          <w:p>
            <w:pPr>
              <w:ind w:left="20"/>
              <w:spacing w:after="0"/>
              <w:rPr>
                <w:sz w:val="20"/>
                <w:szCs w:val="20"/>
                <w:color w:val="auto"/>
              </w:rPr>
            </w:pPr>
            <w:r>
              <w:rPr>
                <w:rFonts w:ascii="Arial" w:cs="Arial" w:eastAsia="Arial" w:hAnsi="Arial"/>
                <w:sz w:val="18"/>
                <w:szCs w:val="18"/>
                <w:color w:val="auto"/>
                <w:w w:val="97"/>
              </w:rPr>
              <w:t>required from domestic Chinese agents.</w:t>
            </w:r>
          </w:p>
        </w:tc>
        <w:tc>
          <w:tcPr>
            <w:tcW w:w="0" w:type="dxa"/>
            <w:vAlign w:val="bottom"/>
          </w:tcPr>
          <w:p>
            <w:pPr>
              <w:spacing w:after="0"/>
              <w:rPr>
                <w:sz w:val="1"/>
                <w:szCs w:val="1"/>
                <w:color w:val="auto"/>
              </w:rPr>
            </w:pPr>
          </w:p>
        </w:tc>
      </w:tr>
      <w:tr>
        <w:trPr>
          <w:trHeight w:val="34"/>
        </w:trPr>
        <w:tc>
          <w:tcPr>
            <w:tcW w:w="2500" w:type="dxa"/>
            <w:vAlign w:val="bottom"/>
            <w:tcBorders>
              <w:left w:val="single" w:sz="8" w:color="auto"/>
              <w:bottom w:val="single" w:sz="8" w:color="auto"/>
              <w:right w:val="single" w:sz="8" w:color="auto"/>
            </w:tcBorders>
          </w:tcPr>
          <w:p>
            <w:pPr>
              <w:spacing w:after="0"/>
              <w:rPr>
                <w:sz w:val="2"/>
                <w:szCs w:val="2"/>
                <w:color w:val="auto"/>
              </w:rPr>
            </w:pPr>
          </w:p>
        </w:tc>
        <w:tc>
          <w:tcPr>
            <w:tcW w:w="5580" w:type="dxa"/>
            <w:vAlign w:val="bottom"/>
            <w:tcBorders>
              <w:bottom w:val="single" w:sz="8" w:color="auto"/>
              <w:right w:val="single" w:sz="8" w:color="auto"/>
            </w:tcBorders>
          </w:tcPr>
          <w:p>
            <w:pPr>
              <w:spacing w:after="0"/>
              <w:rPr>
                <w:sz w:val="2"/>
                <w:szCs w:val="2"/>
                <w:color w:val="auto"/>
              </w:rPr>
            </w:pPr>
          </w:p>
        </w:tc>
        <w:tc>
          <w:tcPr>
            <w:tcW w:w="3160" w:type="dxa"/>
            <w:vAlign w:val="bottom"/>
            <w:tcBorders>
              <w:bottom w:val="single" w:sz="8" w:color="auto"/>
              <w:right w:val="single" w:sz="8" w:color="auto"/>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297"/>
        </w:trPr>
        <w:tc>
          <w:tcPr>
            <w:tcW w:w="2500" w:type="dxa"/>
            <w:vAlign w:val="bottom"/>
            <w:tcBorders>
              <w:left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Harrington Industrial</w:t>
            </w:r>
          </w:p>
        </w:tc>
        <w:tc>
          <w:tcPr>
            <w:tcW w:w="558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w w:val="92"/>
              </w:rPr>
              <w:t>Harrington sells products to ACMR. The company does not sell products in</w:t>
            </w:r>
          </w:p>
        </w:tc>
        <w:tc>
          <w:tcPr>
            <w:tcW w:w="3160" w:type="dxa"/>
            <w:vAlign w:val="bottom"/>
            <w:tcBorders>
              <w:right w:val="single" w:sz="8" w:color="auto"/>
            </w:tcBorders>
            <w:gridSpan w:val="3"/>
          </w:tcPr>
          <w:p>
            <w:pPr>
              <w:ind w:left="20"/>
              <w:spacing w:after="0"/>
              <w:rPr>
                <w:sz w:val="20"/>
                <w:szCs w:val="20"/>
                <w:color w:val="auto"/>
              </w:rPr>
            </w:pPr>
            <w:r>
              <w:rPr>
                <w:rFonts w:ascii="Arial" w:cs="Arial" w:eastAsia="Arial" w:hAnsi="Arial"/>
                <w:sz w:val="18"/>
                <w:szCs w:val="18"/>
                <w:color w:val="auto"/>
              </w:rPr>
              <w:t>Flarelink joints were purchased from it.</w:t>
            </w:r>
          </w:p>
        </w:tc>
        <w:tc>
          <w:tcPr>
            <w:tcW w:w="0" w:type="dxa"/>
            <w:vAlign w:val="bottom"/>
          </w:tcPr>
          <w:p>
            <w:pPr>
              <w:spacing w:after="0"/>
              <w:rPr>
                <w:sz w:val="1"/>
                <w:szCs w:val="1"/>
                <w:color w:val="auto"/>
              </w:rPr>
            </w:pPr>
          </w:p>
        </w:tc>
      </w:tr>
      <w:tr>
        <w:trPr>
          <w:trHeight w:val="196"/>
        </w:trPr>
        <w:tc>
          <w:tcPr>
            <w:tcW w:w="2500" w:type="dxa"/>
            <w:vAlign w:val="bottom"/>
            <w:tcBorders>
              <w:left w:val="single" w:sz="8" w:color="auto"/>
              <w:bottom w:val="single" w:sz="8" w:color="auto"/>
              <w:right w:val="single" w:sz="8" w:color="auto"/>
            </w:tcBorders>
          </w:tcPr>
          <w:p>
            <w:pPr>
              <w:ind w:left="60"/>
              <w:spacing w:after="0" w:line="189" w:lineRule="exact"/>
              <w:rPr>
                <w:sz w:val="20"/>
                <w:szCs w:val="20"/>
                <w:color w:val="auto"/>
              </w:rPr>
            </w:pPr>
            <w:r>
              <w:rPr>
                <w:rFonts w:ascii="Arial" w:cs="Arial" w:eastAsia="Arial" w:hAnsi="Arial"/>
                <w:sz w:val="18"/>
                <w:szCs w:val="18"/>
                <w:color w:val="auto"/>
              </w:rPr>
              <w:t>Plastics</w:t>
            </w:r>
          </w:p>
        </w:tc>
        <w:tc>
          <w:tcPr>
            <w:tcW w:w="5580" w:type="dxa"/>
            <w:vAlign w:val="bottom"/>
            <w:tcBorders>
              <w:bottom w:val="single" w:sz="8" w:color="auto"/>
              <w:right w:val="single" w:sz="8" w:color="auto"/>
            </w:tcBorders>
          </w:tcPr>
          <w:p>
            <w:pPr>
              <w:ind w:left="20"/>
              <w:spacing w:after="0" w:line="189" w:lineRule="exact"/>
              <w:rPr>
                <w:sz w:val="20"/>
                <w:szCs w:val="20"/>
                <w:color w:val="auto"/>
              </w:rPr>
            </w:pPr>
            <w:r>
              <w:rPr>
                <w:rFonts w:ascii="Arial" w:cs="Arial" w:eastAsia="Arial" w:hAnsi="Arial"/>
                <w:sz w:val="18"/>
                <w:szCs w:val="18"/>
                <w:color w:val="auto"/>
              </w:rPr>
              <w:t>China or have an agent there.</w:t>
            </w:r>
          </w:p>
        </w:tc>
        <w:tc>
          <w:tcPr>
            <w:tcW w:w="900" w:type="dxa"/>
            <w:vAlign w:val="bottom"/>
            <w:tcBorders>
              <w:bottom w:val="single" w:sz="8" w:color="auto"/>
            </w:tcBorders>
          </w:tcPr>
          <w:p>
            <w:pPr>
              <w:spacing w:after="0"/>
              <w:rPr>
                <w:sz w:val="17"/>
                <w:szCs w:val="17"/>
                <w:color w:val="auto"/>
              </w:rPr>
            </w:pPr>
          </w:p>
        </w:tc>
        <w:tc>
          <w:tcPr>
            <w:tcW w:w="1520" w:type="dxa"/>
            <w:vAlign w:val="bottom"/>
            <w:tcBorders>
              <w:bottom w:val="single" w:sz="8" w:color="auto"/>
            </w:tcBorders>
          </w:tcPr>
          <w:p>
            <w:pPr>
              <w:spacing w:after="0"/>
              <w:rPr>
                <w:sz w:val="17"/>
                <w:szCs w:val="17"/>
                <w:color w:val="auto"/>
              </w:rPr>
            </w:pPr>
          </w:p>
        </w:tc>
        <w:tc>
          <w:tcPr>
            <w:tcW w:w="740" w:type="dxa"/>
            <w:vAlign w:val="bottom"/>
            <w:tcBorders>
              <w:bottom w:val="single" w:sz="8" w:color="auto"/>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bl>
    <w:p>
      <w:pPr>
        <w:spacing w:after="0" w:line="216" w:lineRule="exact"/>
        <w:rPr>
          <w:sz w:val="20"/>
          <w:szCs w:val="20"/>
          <w:color w:val="auto"/>
        </w:rPr>
      </w:pPr>
    </w:p>
    <w:p>
      <w:pPr>
        <w:ind w:left="600" w:hanging="268"/>
        <w:spacing w:after="0"/>
        <w:tabs>
          <w:tab w:leader="none" w:pos="600" w:val="left"/>
        </w:tabs>
        <w:numPr>
          <w:ilvl w:val="0"/>
          <w:numId w:val="120"/>
        </w:numPr>
        <w:rPr>
          <w:rFonts w:ascii="Arial" w:cs="Arial" w:eastAsia="Arial" w:hAnsi="Arial"/>
          <w:sz w:val="22"/>
          <w:szCs w:val="22"/>
          <w:b w:val="1"/>
          <w:bCs w:val="1"/>
          <w:color w:val="auto"/>
        </w:rPr>
      </w:pPr>
      <w:r>
        <w:rPr>
          <w:rFonts w:ascii="Arial" w:cs="Arial" w:eastAsia="Arial" w:hAnsi="Arial"/>
          <w:sz w:val="22"/>
          <w:szCs w:val="22"/>
          <w:b w:val="1"/>
          <w:bCs w:val="1"/>
          <w:color w:val="auto"/>
        </w:rPr>
        <w:t>Verification Procedures and Opinions</w:t>
      </w:r>
    </w:p>
    <w:p>
      <w:pPr>
        <w:spacing w:after="0" w:line="233" w:lineRule="exact"/>
        <w:rPr>
          <w:rFonts w:ascii="Arial" w:cs="Arial" w:eastAsia="Arial" w:hAnsi="Arial"/>
          <w:sz w:val="22"/>
          <w:szCs w:val="22"/>
          <w:b w:val="1"/>
          <w:bCs w:val="1"/>
          <w:color w:val="auto"/>
        </w:rPr>
      </w:pPr>
    </w:p>
    <w:p>
      <w:pPr>
        <w:ind w:left="340"/>
        <w:spacing w:after="0"/>
        <w:rPr>
          <w:rFonts w:ascii="Arial" w:cs="Arial" w:eastAsia="Arial" w:hAnsi="Arial"/>
          <w:sz w:val="22"/>
          <w:szCs w:val="22"/>
          <w:b w:val="1"/>
          <w:bCs w:val="1"/>
          <w:color w:val="auto"/>
        </w:rPr>
      </w:pPr>
      <w:r>
        <w:rPr>
          <w:rFonts w:ascii="Arial" w:cs="Arial" w:eastAsia="Arial" w:hAnsi="Arial"/>
          <w:sz w:val="22"/>
          <w:szCs w:val="22"/>
          <w:b w:val="1"/>
          <w:bCs w:val="1"/>
          <w:color w:val="auto"/>
        </w:rPr>
        <w:t>(i) Verification Procedures</w:t>
      </w:r>
    </w:p>
    <w:p>
      <w:pPr>
        <w:spacing w:after="0" w:line="246" w:lineRule="exact"/>
        <w:rPr>
          <w:sz w:val="20"/>
          <w:szCs w:val="20"/>
          <w:color w:val="auto"/>
        </w:rPr>
      </w:pPr>
    </w:p>
    <w:p>
      <w:pPr>
        <w:ind w:left="340"/>
        <w:spacing w:after="0"/>
        <w:rPr>
          <w:sz w:val="20"/>
          <w:szCs w:val="20"/>
          <w:color w:val="auto"/>
        </w:rPr>
      </w:pPr>
      <w:r>
        <w:rPr>
          <w:rFonts w:ascii="Arial" w:cs="Arial" w:eastAsia="Arial" w:hAnsi="Arial"/>
          <w:sz w:val="18"/>
          <w:szCs w:val="18"/>
          <w:color w:val="auto"/>
        </w:rPr>
        <w:t>Before the release of the Short-sell Report, the Sponsor performed the following verification procedures:</w:t>
      </w:r>
    </w:p>
    <w:p>
      <w:pPr>
        <w:spacing w:after="0" w:line="252" w:lineRule="exact"/>
        <w:rPr>
          <w:sz w:val="20"/>
          <w:szCs w:val="20"/>
          <w:color w:val="auto"/>
        </w:rPr>
      </w:pPr>
    </w:p>
    <w:p>
      <w:pPr>
        <w:ind w:left="520" w:hanging="188"/>
        <w:spacing w:after="0"/>
        <w:tabs>
          <w:tab w:leader="none" w:pos="520" w:val="left"/>
        </w:tabs>
        <w:numPr>
          <w:ilvl w:val="0"/>
          <w:numId w:val="121"/>
        </w:numPr>
        <w:rPr>
          <w:rFonts w:ascii="Arial" w:cs="Arial" w:eastAsia="Arial" w:hAnsi="Arial"/>
          <w:sz w:val="18"/>
          <w:szCs w:val="18"/>
          <w:color w:val="auto"/>
        </w:rPr>
      </w:pPr>
      <w:r>
        <w:rPr>
          <w:rFonts w:ascii="Arial" w:cs="Arial" w:eastAsia="Arial" w:hAnsi="Arial"/>
          <w:sz w:val="18"/>
          <w:szCs w:val="18"/>
          <w:color w:val="auto"/>
        </w:rPr>
        <w:t>Interviewing the general manager and the procurement director of the Issuer to understand the procurement of the Company;</w:t>
      </w:r>
    </w:p>
    <w:p>
      <w:pPr>
        <w:spacing w:after="0" w:line="252" w:lineRule="exact"/>
        <w:rPr>
          <w:rFonts w:ascii="Arial" w:cs="Arial" w:eastAsia="Arial" w:hAnsi="Arial"/>
          <w:sz w:val="18"/>
          <w:szCs w:val="18"/>
          <w:color w:val="auto"/>
        </w:rPr>
      </w:pPr>
    </w:p>
    <w:p>
      <w:pPr>
        <w:ind w:firstLine="332"/>
        <w:spacing w:after="0" w:line="277" w:lineRule="auto"/>
        <w:tabs>
          <w:tab w:leader="none" w:pos="528" w:val="left"/>
        </w:tabs>
        <w:numPr>
          <w:ilvl w:val="0"/>
          <w:numId w:val="121"/>
        </w:numPr>
        <w:rPr>
          <w:rFonts w:ascii="Arial" w:cs="Arial" w:eastAsia="Arial" w:hAnsi="Arial"/>
          <w:sz w:val="18"/>
          <w:szCs w:val="18"/>
          <w:color w:val="auto"/>
        </w:rPr>
      </w:pPr>
      <w:r>
        <w:rPr>
          <w:rFonts w:ascii="Arial" w:cs="Arial" w:eastAsia="Arial" w:hAnsi="Arial"/>
          <w:sz w:val="18"/>
          <w:szCs w:val="18"/>
          <w:color w:val="auto"/>
        </w:rPr>
        <w:t>Interviewing the key suppliers of the Issuer to understand the cooperation background, business dealings and whether there is any relationship between the Company and the suppliers; and</w:t>
      </w:r>
    </w:p>
    <w:p>
      <w:pPr>
        <w:spacing w:after="0" w:line="197" w:lineRule="exact"/>
        <w:rPr>
          <w:rFonts w:ascii="Arial" w:cs="Arial" w:eastAsia="Arial" w:hAnsi="Arial"/>
          <w:sz w:val="18"/>
          <w:szCs w:val="18"/>
          <w:color w:val="auto"/>
        </w:rPr>
      </w:pPr>
    </w:p>
    <w:p>
      <w:pPr>
        <w:ind w:left="520" w:hanging="188"/>
        <w:spacing w:after="0"/>
        <w:tabs>
          <w:tab w:leader="none" w:pos="520" w:val="left"/>
        </w:tabs>
        <w:numPr>
          <w:ilvl w:val="0"/>
          <w:numId w:val="121"/>
        </w:numPr>
        <w:rPr>
          <w:rFonts w:ascii="Arial" w:cs="Arial" w:eastAsia="Arial" w:hAnsi="Arial"/>
          <w:sz w:val="18"/>
          <w:szCs w:val="18"/>
          <w:color w:val="auto"/>
        </w:rPr>
      </w:pPr>
      <w:r>
        <w:rPr>
          <w:rFonts w:ascii="Arial" w:cs="Arial" w:eastAsia="Arial" w:hAnsi="Arial"/>
          <w:sz w:val="18"/>
          <w:szCs w:val="18"/>
          <w:color w:val="auto"/>
        </w:rPr>
        <w:t>Having access to the purchase orders or contracts with the suppliers to check the authenticity of the purchases.</w:t>
      </w:r>
    </w:p>
    <w:p>
      <w:pPr>
        <w:spacing w:after="0" w:line="252" w:lineRule="exact"/>
        <w:rPr>
          <w:sz w:val="20"/>
          <w:szCs w:val="20"/>
          <w:color w:val="auto"/>
        </w:rPr>
      </w:pPr>
    </w:p>
    <w:p>
      <w:pPr>
        <w:ind w:left="340"/>
        <w:spacing w:after="0"/>
        <w:rPr>
          <w:sz w:val="20"/>
          <w:szCs w:val="20"/>
          <w:color w:val="auto"/>
        </w:rPr>
      </w:pPr>
      <w:r>
        <w:rPr>
          <w:rFonts w:ascii="Arial" w:cs="Arial" w:eastAsia="Arial" w:hAnsi="Arial"/>
          <w:sz w:val="17"/>
          <w:szCs w:val="17"/>
          <w:color w:val="auto"/>
        </w:rPr>
        <w:t>After the release of the Short-sell Report, the Sponsor has further performed the following procedures with respect to the Company’s suppliers:</w:t>
      </w:r>
    </w:p>
    <w:p>
      <w:pPr>
        <w:spacing w:after="0" w:line="264" w:lineRule="exact"/>
        <w:rPr>
          <w:sz w:val="20"/>
          <w:szCs w:val="20"/>
          <w:color w:val="auto"/>
        </w:rPr>
      </w:pPr>
    </w:p>
    <w:p>
      <w:pPr>
        <w:ind w:left="520" w:hanging="188"/>
        <w:spacing w:after="0"/>
        <w:tabs>
          <w:tab w:leader="none" w:pos="520" w:val="left"/>
        </w:tabs>
        <w:numPr>
          <w:ilvl w:val="0"/>
          <w:numId w:val="122"/>
        </w:numPr>
        <w:rPr>
          <w:rFonts w:ascii="Arial" w:cs="Arial" w:eastAsia="Arial" w:hAnsi="Arial"/>
          <w:sz w:val="18"/>
          <w:szCs w:val="18"/>
          <w:color w:val="auto"/>
        </w:rPr>
      </w:pPr>
      <w:r>
        <w:rPr>
          <w:rFonts w:ascii="Arial" w:cs="Arial" w:eastAsia="Arial" w:hAnsi="Arial"/>
          <w:sz w:val="18"/>
          <w:szCs w:val="18"/>
          <w:color w:val="auto"/>
        </w:rPr>
        <w:t>Further checking the business between the Company and its suppliers from the procurement director of the Issuer; and</w:t>
      </w:r>
    </w:p>
    <w:p>
      <w:pPr>
        <w:spacing w:after="0" w:line="252" w:lineRule="exact"/>
        <w:rPr>
          <w:rFonts w:ascii="Arial" w:cs="Arial" w:eastAsia="Arial" w:hAnsi="Arial"/>
          <w:sz w:val="18"/>
          <w:szCs w:val="18"/>
          <w:color w:val="auto"/>
        </w:rPr>
      </w:pPr>
    </w:p>
    <w:p>
      <w:pPr>
        <w:ind w:firstLine="332"/>
        <w:spacing w:after="0" w:line="277" w:lineRule="auto"/>
        <w:tabs>
          <w:tab w:leader="none" w:pos="527" w:val="left"/>
        </w:tabs>
        <w:numPr>
          <w:ilvl w:val="0"/>
          <w:numId w:val="122"/>
        </w:numPr>
        <w:rPr>
          <w:rFonts w:ascii="Arial" w:cs="Arial" w:eastAsia="Arial" w:hAnsi="Arial"/>
          <w:sz w:val="18"/>
          <w:szCs w:val="18"/>
          <w:color w:val="auto"/>
        </w:rPr>
      </w:pPr>
      <w:r>
        <w:rPr>
          <w:rFonts w:ascii="Arial" w:cs="Arial" w:eastAsia="Arial" w:hAnsi="Arial"/>
          <w:sz w:val="18"/>
          <w:szCs w:val="18"/>
          <w:color w:val="auto"/>
        </w:rPr>
        <w:t>Having access to the interviews with suppliers and the purchase orders, and conducting comparative analysis with the information of suppliers provided by the Issuer.</w:t>
      </w:r>
    </w:p>
    <w:p>
      <w:pPr>
        <w:spacing w:after="0" w:line="193"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(ii) Verification Opinions</w:t>
      </w:r>
    </w:p>
    <w:p>
      <w:pPr>
        <w:spacing w:after="0" w:line="256" w:lineRule="exact"/>
        <w:rPr>
          <w:sz w:val="20"/>
          <w:szCs w:val="20"/>
          <w:color w:val="auto"/>
        </w:rPr>
      </w:pPr>
    </w:p>
    <w:p>
      <w:pPr>
        <w:ind w:left="340"/>
        <w:spacing w:after="0"/>
        <w:rPr>
          <w:sz w:val="20"/>
          <w:szCs w:val="20"/>
          <w:color w:val="auto"/>
        </w:rPr>
      </w:pPr>
      <w:r>
        <w:rPr>
          <w:rFonts w:ascii="Arial" w:cs="Arial" w:eastAsia="Arial" w:hAnsi="Arial"/>
          <w:sz w:val="18"/>
          <w:szCs w:val="18"/>
          <w:color w:val="auto"/>
        </w:rPr>
        <w:t>Upon verification, the Sponsor opines that:</w:t>
      </w:r>
    </w:p>
    <w:p>
      <w:pPr>
        <w:spacing w:after="0" w:line="252"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Issuer has accurately disclosed the specific information on the aforesaid suppliers.</w:t>
      </w: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8-4-1-94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0" w:right="339" w:bottom="1440" w:gutter="0" w:footer="0" w:header="0"/>
        </w:sectPr>
      </w:pPr>
    </w:p>
    <w:bookmarkStart w:id="98" w:name="page99"/>
    <w:bookmarkEnd w:id="98"/>
    <w:p>
      <w:pPr>
        <w:ind w:firstLine="332"/>
        <w:spacing w:after="0" w:line="282" w:lineRule="auto"/>
        <w:tabs>
          <w:tab w:leader="none" w:pos="603" w:val="left"/>
        </w:tabs>
        <w:numPr>
          <w:ilvl w:val="0"/>
          <w:numId w:val="123"/>
        </w:numPr>
        <w:rPr>
          <w:rFonts w:ascii="Arial" w:cs="Arial" w:eastAsia="Arial" w:hAnsi="Arial"/>
          <w:sz w:val="18"/>
          <w:szCs w:val="18"/>
          <w:b w:val="1"/>
          <w:bCs w:val="1"/>
          <w:color w:val="auto"/>
        </w:rPr>
      </w:pPr>
      <w:r>
        <w:rPr>
          <w:rFonts w:ascii="Arial" w:cs="Arial" w:eastAsia="Arial" w:hAnsi="Arial"/>
          <w:sz w:val="18"/>
          <w:szCs w:val="18"/>
          <w:b w:val="1"/>
          <w:bCs w:val="1"/>
          <w:color w:val="auto"/>
        </w:rPr>
        <w:t>Other Challenge 14: About Machines Bearing the Ultra Trademark on Premises at NINEBELL (Index of Verification in Response to the Short-sell Report, NO.19)</w:t>
      </w:r>
    </w:p>
    <w:p>
      <w:pPr>
        <w:spacing w:after="0" w:line="179" w:lineRule="exact"/>
        <w:rPr>
          <w:sz w:val="20"/>
          <w:szCs w:val="20"/>
          <w:color w:val="auto"/>
        </w:rPr>
      </w:pPr>
    </w:p>
    <w:p>
      <w:pPr>
        <w:ind w:left="340"/>
        <w:spacing w:after="0"/>
        <w:rPr>
          <w:sz w:val="20"/>
          <w:szCs w:val="20"/>
          <w:color w:val="auto"/>
        </w:rPr>
      </w:pPr>
      <w:r>
        <w:rPr>
          <w:rFonts w:ascii="Arial" w:cs="Arial" w:eastAsia="Arial" w:hAnsi="Arial"/>
          <w:sz w:val="22"/>
          <w:szCs w:val="22"/>
          <w:b w:val="1"/>
          <w:bCs w:val="1"/>
          <w:color w:val="auto"/>
        </w:rPr>
        <w:t>Challenge in the Short-sell Report (Short-sell Report, p.23):</w:t>
      </w:r>
    </w:p>
    <w:p>
      <w:pPr>
        <w:spacing w:after="0" w:line="239" w:lineRule="exact"/>
        <w:rPr>
          <w:sz w:val="20"/>
          <w:szCs w:val="20"/>
          <w:color w:val="auto"/>
        </w:rPr>
      </w:pPr>
    </w:p>
    <w:p>
      <w:pPr>
        <w:jc w:val="both"/>
        <w:ind w:firstLine="324"/>
        <w:spacing w:after="0" w:line="297" w:lineRule="auto"/>
        <w:rPr>
          <w:sz w:val="20"/>
          <w:szCs w:val="20"/>
          <w:color w:val="auto"/>
        </w:rPr>
      </w:pPr>
      <w:r>
        <w:rPr>
          <w:rFonts w:ascii="Arial" w:cs="Arial" w:eastAsia="Arial" w:hAnsi="Arial"/>
          <w:sz w:val="19"/>
          <w:szCs w:val="19"/>
          <w:color w:val="auto"/>
        </w:rPr>
        <w:t>“ACMR’s key supplier in Korea, NINEBELL Co. Ltd. stores finished inventory for ACMR. When our investigator visited NINEBELL, on premises were ACMR machines bearing the Ultra trademark. NINEBELL is disclosed as a supplier to ACMR, not a sales agent; the fact that machines are on premises at NINEBELL indicates that they are being sold by a third party.”</w:t>
      </w:r>
    </w:p>
    <w:p>
      <w:pPr>
        <w:spacing w:after="0" w:line="155" w:lineRule="exact"/>
        <w:rPr>
          <w:sz w:val="20"/>
          <w:szCs w:val="20"/>
          <w:color w:val="auto"/>
        </w:rPr>
      </w:pPr>
    </w:p>
    <w:p>
      <w:pPr>
        <w:ind w:left="340"/>
        <w:spacing w:after="0"/>
        <w:rPr>
          <w:sz w:val="20"/>
          <w:szCs w:val="20"/>
          <w:color w:val="auto"/>
        </w:rPr>
      </w:pPr>
      <w:r>
        <w:rPr>
          <w:rFonts w:ascii="Arial" w:cs="Arial" w:eastAsia="Arial" w:hAnsi="Arial"/>
          <w:sz w:val="22"/>
          <w:szCs w:val="22"/>
          <w:b w:val="1"/>
          <w:bCs w:val="1"/>
          <w:color w:val="auto"/>
        </w:rPr>
        <w:t>Response:</w:t>
      </w:r>
    </w:p>
    <w:p>
      <w:pPr>
        <w:spacing w:after="0" w:line="233" w:lineRule="exact"/>
        <w:rPr>
          <w:sz w:val="20"/>
          <w:szCs w:val="20"/>
          <w:color w:val="auto"/>
        </w:rPr>
      </w:pPr>
    </w:p>
    <w:p>
      <w:pPr>
        <w:ind w:left="340"/>
        <w:spacing w:after="0"/>
        <w:rPr>
          <w:sz w:val="20"/>
          <w:szCs w:val="20"/>
          <w:color w:val="auto"/>
        </w:rPr>
      </w:pPr>
      <w:r>
        <w:rPr>
          <w:rFonts w:ascii="Arial" w:cs="Arial" w:eastAsia="Arial" w:hAnsi="Arial"/>
          <w:sz w:val="22"/>
          <w:szCs w:val="22"/>
          <w:b w:val="1"/>
          <w:bCs w:val="1"/>
          <w:color w:val="auto"/>
        </w:rPr>
        <w:t>I. Clarification by the Issuer</w:t>
      </w:r>
    </w:p>
    <w:p>
      <w:pPr>
        <w:spacing w:after="0" w:line="239" w:lineRule="exact"/>
        <w:rPr>
          <w:sz w:val="20"/>
          <w:szCs w:val="20"/>
          <w:color w:val="auto"/>
        </w:rPr>
      </w:pPr>
    </w:p>
    <w:p>
      <w:pPr>
        <w:jc w:val="both"/>
        <w:ind w:right="20" w:firstLine="324"/>
        <w:spacing w:after="0" w:line="274" w:lineRule="auto"/>
        <w:rPr>
          <w:sz w:val="20"/>
          <w:szCs w:val="20"/>
          <w:color w:val="auto"/>
        </w:rPr>
      </w:pPr>
      <w:r>
        <w:rPr>
          <w:rFonts w:ascii="Arial" w:cs="Arial" w:eastAsia="Arial" w:hAnsi="Arial"/>
          <w:sz w:val="21"/>
          <w:szCs w:val="21"/>
          <w:color w:val="auto"/>
        </w:rPr>
        <w:t>The Company has accurately recognized its revenue, whose details of equipment sales during the Reporting Period have been disclosed in “Q14.3” and “Q15.1” of the Reply to the Letter of First Round Review-related Inquiries.</w:t>
      </w:r>
    </w:p>
    <w:p>
      <w:pPr>
        <w:spacing w:after="0" w:line="172" w:lineRule="exact"/>
        <w:rPr>
          <w:sz w:val="20"/>
          <w:szCs w:val="20"/>
          <w:color w:val="auto"/>
        </w:rPr>
      </w:pPr>
    </w:p>
    <w:p>
      <w:pPr>
        <w:ind w:left="340"/>
        <w:spacing w:after="0"/>
        <w:rPr>
          <w:sz w:val="20"/>
          <w:szCs w:val="20"/>
          <w:color w:val="auto"/>
        </w:rPr>
      </w:pPr>
      <w:r>
        <w:rPr>
          <w:rFonts w:ascii="Arial" w:cs="Arial" w:eastAsia="Arial" w:hAnsi="Arial"/>
          <w:sz w:val="22"/>
          <w:szCs w:val="22"/>
          <w:b w:val="1"/>
          <w:bCs w:val="1"/>
          <w:color w:val="auto"/>
        </w:rPr>
        <w:t>(i) Reasons why the machines on premises at NINEBELL bear company trademark</w:t>
      </w:r>
    </w:p>
    <w:p>
      <w:pPr>
        <w:spacing w:after="0" w:line="246"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During the Reporting Period, NINEBELL was the key supplier of robotic arms, a key part of the Company’s equipment. The robotic arms purchased by the Company from NINEBELL are complete sets of system products, composed of robotic arms, wafer handling platforms, robot control modules and equipment racks. With respect to the equipment rack, the appearance, shape and size are provided by the Company according to the different requirements of customers and then designed and purchased by NINEBELL itself. NINEBELL will assemble the robotic arm, wafer handling platform, robot control module and other supporting components in the equipment rack, and deliver the products to the Company after debugging and testing. The Company, for ease of subsequent assembly, testing and sales of other parts, requested NINEBELL to print the trademarks of relevant products and equipment of the Company on the equipment rack.</w:t>
      </w:r>
    </w:p>
    <w:p>
      <w:pPr>
        <w:spacing w:after="0" w:line="222"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In sum, the machines with company trademark on premises of NINEBELL are the equipment racks for assembling robotic arms and their supporting components. It is reasonable that such machines bear the trademark.</w:t>
      </w:r>
    </w:p>
    <w:p>
      <w:pPr>
        <w:spacing w:after="0" w:line="193"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(ii) The Company’s revenue is true and accurate</w:t>
      </w:r>
    </w:p>
    <w:p>
      <w:pPr>
        <w:spacing w:after="0" w:line="256"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color w:val="auto"/>
        </w:rPr>
        <w:t>The Company has recognized its revenue, which is reported accurately, according to its revenue recognition policy. Details of the equipment sales during the Reporting Period have been accurately disclosed by the Company, without undercount of revenue.</w:t>
      </w:r>
    </w:p>
    <w:p>
      <w:pPr>
        <w:spacing w:after="0" w:line="193" w:lineRule="exact"/>
        <w:rPr>
          <w:sz w:val="20"/>
          <w:szCs w:val="20"/>
          <w:color w:val="auto"/>
        </w:rPr>
      </w:pPr>
    </w:p>
    <w:p>
      <w:pPr>
        <w:ind w:left="560" w:hanging="228"/>
        <w:spacing w:after="0"/>
        <w:tabs>
          <w:tab w:leader="none" w:pos="560" w:val="left"/>
        </w:tabs>
        <w:numPr>
          <w:ilvl w:val="0"/>
          <w:numId w:val="124"/>
        </w:numPr>
        <w:rPr>
          <w:rFonts w:ascii="Arial" w:cs="Arial" w:eastAsia="Arial" w:hAnsi="Arial"/>
          <w:sz w:val="18"/>
          <w:szCs w:val="18"/>
          <w:b w:val="1"/>
          <w:bCs w:val="1"/>
          <w:color w:val="auto"/>
        </w:rPr>
      </w:pPr>
      <w:r>
        <w:rPr>
          <w:rFonts w:ascii="Arial" w:cs="Arial" w:eastAsia="Arial" w:hAnsi="Arial"/>
          <w:sz w:val="18"/>
          <w:szCs w:val="18"/>
          <w:b w:val="1"/>
          <w:bCs w:val="1"/>
          <w:color w:val="auto"/>
        </w:rPr>
        <w:t>Verification Procedures and Opinions</w:t>
      </w:r>
    </w:p>
    <w:p>
      <w:pPr>
        <w:spacing w:after="0" w:line="252" w:lineRule="exact"/>
        <w:rPr>
          <w:rFonts w:ascii="Arial" w:cs="Arial" w:eastAsia="Arial" w:hAnsi="Arial"/>
          <w:sz w:val="18"/>
          <w:szCs w:val="18"/>
          <w:b w:val="1"/>
          <w:bCs w:val="1"/>
          <w:color w:val="auto"/>
        </w:rPr>
      </w:pPr>
    </w:p>
    <w:p>
      <w:pPr>
        <w:ind w:left="340"/>
        <w:spacing w:after="0"/>
        <w:rPr>
          <w:rFonts w:ascii="Arial" w:cs="Arial" w:eastAsia="Arial" w:hAnsi="Arial"/>
          <w:sz w:val="18"/>
          <w:szCs w:val="18"/>
          <w:b w:val="1"/>
          <w:bCs w:val="1"/>
          <w:color w:val="auto"/>
        </w:rPr>
      </w:pPr>
      <w:r>
        <w:rPr>
          <w:rFonts w:ascii="Arial" w:cs="Arial" w:eastAsia="Arial" w:hAnsi="Arial"/>
          <w:sz w:val="18"/>
          <w:szCs w:val="18"/>
          <w:b w:val="1"/>
          <w:bCs w:val="1"/>
          <w:color w:val="auto"/>
        </w:rPr>
        <w:t>(i) Verification Procedures</w:t>
      </w:r>
    </w:p>
    <w:p>
      <w:pPr>
        <w:spacing w:after="0" w:line="256" w:lineRule="exact"/>
        <w:rPr>
          <w:sz w:val="20"/>
          <w:szCs w:val="20"/>
          <w:color w:val="auto"/>
        </w:rPr>
      </w:pPr>
    </w:p>
    <w:p>
      <w:pPr>
        <w:ind w:left="340"/>
        <w:spacing w:after="0"/>
        <w:rPr>
          <w:sz w:val="20"/>
          <w:szCs w:val="20"/>
          <w:color w:val="auto"/>
        </w:rPr>
      </w:pPr>
      <w:r>
        <w:rPr>
          <w:rFonts w:ascii="Arial" w:cs="Arial" w:eastAsia="Arial" w:hAnsi="Arial"/>
          <w:sz w:val="18"/>
          <w:szCs w:val="18"/>
          <w:color w:val="auto"/>
        </w:rPr>
        <w:t>Before the release of the Short-sell Report, the Sponsor performed the following verification procedures:</w:t>
      </w:r>
    </w:p>
    <w:p>
      <w:pPr>
        <w:spacing w:after="0" w:line="245" w:lineRule="exact"/>
        <w:rPr>
          <w:sz w:val="20"/>
          <w:szCs w:val="20"/>
          <w:color w:val="auto"/>
        </w:rPr>
      </w:pPr>
    </w:p>
    <w:p>
      <w:pPr>
        <w:ind w:firstLine="332"/>
        <w:spacing w:after="0" w:line="250" w:lineRule="auto"/>
        <w:tabs>
          <w:tab w:leader="none" w:pos="582" w:val="left"/>
        </w:tabs>
        <w:numPr>
          <w:ilvl w:val="0"/>
          <w:numId w:val="125"/>
        </w:numPr>
        <w:rPr>
          <w:rFonts w:ascii="Arial" w:cs="Arial" w:eastAsia="Arial" w:hAnsi="Arial"/>
          <w:sz w:val="22"/>
          <w:szCs w:val="22"/>
          <w:color w:val="auto"/>
        </w:rPr>
      </w:pPr>
      <w:r>
        <w:rPr>
          <w:rFonts w:ascii="Arial" w:cs="Arial" w:eastAsia="Arial" w:hAnsi="Arial"/>
          <w:sz w:val="22"/>
          <w:szCs w:val="22"/>
          <w:color w:val="auto"/>
        </w:rPr>
        <w:t>Interviewing the procurement director of the Issuer to check the specific situation of robotic arms purchased by the Company from NINEBELL;</w:t>
      </w:r>
    </w:p>
    <w:p>
      <w:pPr>
        <w:spacing w:after="0" w:line="201" w:lineRule="exact"/>
        <w:rPr>
          <w:rFonts w:ascii="Arial" w:cs="Arial" w:eastAsia="Arial" w:hAnsi="Arial"/>
          <w:sz w:val="22"/>
          <w:szCs w:val="22"/>
          <w:color w:val="auto"/>
        </w:rPr>
      </w:pPr>
    </w:p>
    <w:p>
      <w:pPr>
        <w:ind w:firstLine="332"/>
        <w:spacing w:after="0" w:line="250" w:lineRule="auto"/>
        <w:tabs>
          <w:tab w:leader="none" w:pos="547" w:val="left"/>
        </w:tabs>
        <w:numPr>
          <w:ilvl w:val="0"/>
          <w:numId w:val="125"/>
        </w:numPr>
        <w:rPr>
          <w:rFonts w:ascii="Arial" w:cs="Arial" w:eastAsia="Arial" w:hAnsi="Arial"/>
          <w:sz w:val="22"/>
          <w:szCs w:val="22"/>
          <w:color w:val="auto"/>
        </w:rPr>
      </w:pPr>
      <w:r>
        <w:rPr>
          <w:rFonts w:ascii="Arial" w:cs="Arial" w:eastAsia="Arial" w:hAnsi="Arial"/>
          <w:sz w:val="22"/>
          <w:szCs w:val="22"/>
          <w:color w:val="auto"/>
        </w:rPr>
        <w:t>Interviewing the CEO of NINEBELL to check the cooperation background and procurement content between NINEBELL and the Company;</w:t>
      </w:r>
    </w:p>
    <w:p>
      <w:pPr>
        <w:spacing w:after="0" w:line="38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8-4-1-95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9" w:name="page100"/>
    <w:bookmarkEnd w:id="99"/>
    <w:p>
      <w:pPr>
        <w:ind w:firstLine="332"/>
        <w:spacing w:after="0" w:line="328" w:lineRule="auto"/>
        <w:tabs>
          <w:tab w:leader="none" w:pos="552" w:val="left"/>
        </w:tabs>
        <w:numPr>
          <w:ilvl w:val="0"/>
          <w:numId w:val="126"/>
        </w:numPr>
        <w:rPr>
          <w:rFonts w:ascii="Arial" w:cs="Arial" w:eastAsia="Arial" w:hAnsi="Arial"/>
          <w:sz w:val="19"/>
          <w:szCs w:val="19"/>
          <w:color w:val="auto"/>
        </w:rPr>
      </w:pPr>
      <w:r>
        <w:rPr>
          <w:rFonts w:ascii="Arial" w:cs="Arial" w:eastAsia="Arial" w:hAnsi="Arial"/>
          <w:sz w:val="19"/>
          <w:szCs w:val="19"/>
          <w:color w:val="auto"/>
        </w:rPr>
        <w:t>Having access to sales details and relevant sales contracts, checking the EX-warehouse records, customer receipt records, acceptance forms and relevant sales collection records of relevant sales products to verify the authenticity of sales revenue;</w:t>
      </w:r>
    </w:p>
    <w:p>
      <w:pPr>
        <w:spacing w:after="0" w:line="132" w:lineRule="exact"/>
        <w:rPr>
          <w:rFonts w:ascii="Arial" w:cs="Arial" w:eastAsia="Arial" w:hAnsi="Arial"/>
          <w:sz w:val="19"/>
          <w:szCs w:val="19"/>
          <w:color w:val="auto"/>
        </w:rPr>
      </w:pPr>
    </w:p>
    <w:p>
      <w:pPr>
        <w:ind w:left="540" w:hanging="208"/>
        <w:spacing w:after="0"/>
        <w:tabs>
          <w:tab w:leader="none" w:pos="540" w:val="left"/>
        </w:tabs>
        <w:numPr>
          <w:ilvl w:val="0"/>
          <w:numId w:val="126"/>
        </w:numPr>
        <w:rPr>
          <w:rFonts w:ascii="Arial" w:cs="Arial" w:eastAsia="Arial" w:hAnsi="Arial"/>
          <w:sz w:val="22"/>
          <w:szCs w:val="22"/>
          <w:color w:val="auto"/>
        </w:rPr>
      </w:pPr>
      <w:r>
        <w:rPr>
          <w:rFonts w:ascii="Arial" w:cs="Arial" w:eastAsia="Arial" w:hAnsi="Arial"/>
          <w:sz w:val="22"/>
          <w:szCs w:val="22"/>
          <w:color w:val="auto"/>
        </w:rPr>
        <w:t>Checking the sales mode of the Issuer during the Reporting Period through interviews;</w:t>
      </w:r>
    </w:p>
    <w:p>
      <w:pPr>
        <w:spacing w:after="0" w:line="240" w:lineRule="exact"/>
        <w:rPr>
          <w:rFonts w:ascii="Arial" w:cs="Arial" w:eastAsia="Arial" w:hAnsi="Arial"/>
          <w:sz w:val="22"/>
          <w:szCs w:val="22"/>
          <w:color w:val="auto"/>
        </w:rPr>
      </w:pPr>
    </w:p>
    <w:p>
      <w:pPr>
        <w:ind w:left="520" w:hanging="188"/>
        <w:spacing w:after="0"/>
        <w:tabs>
          <w:tab w:leader="none" w:pos="520" w:val="left"/>
        </w:tabs>
        <w:numPr>
          <w:ilvl w:val="0"/>
          <w:numId w:val="126"/>
        </w:numPr>
        <w:rPr>
          <w:rFonts w:ascii="Arial" w:cs="Arial" w:eastAsia="Arial" w:hAnsi="Arial"/>
          <w:sz w:val="18"/>
          <w:szCs w:val="18"/>
          <w:color w:val="auto"/>
        </w:rPr>
      </w:pPr>
      <w:r>
        <w:rPr>
          <w:rFonts w:ascii="Arial" w:cs="Arial" w:eastAsia="Arial" w:hAnsi="Arial"/>
          <w:sz w:val="18"/>
          <w:szCs w:val="18"/>
          <w:color w:val="auto"/>
        </w:rPr>
        <w:t>Seeking confirmation on the income and accounts receivable from key customers by sending letters; and</w:t>
      </w:r>
    </w:p>
    <w:p>
      <w:pPr>
        <w:spacing w:after="0" w:line="252" w:lineRule="exact"/>
        <w:rPr>
          <w:rFonts w:ascii="Arial" w:cs="Arial" w:eastAsia="Arial" w:hAnsi="Arial"/>
          <w:sz w:val="18"/>
          <w:szCs w:val="18"/>
          <w:color w:val="auto"/>
        </w:rPr>
      </w:pPr>
    </w:p>
    <w:p>
      <w:pPr>
        <w:ind w:left="520" w:hanging="188"/>
        <w:spacing w:after="0"/>
        <w:tabs>
          <w:tab w:leader="none" w:pos="520" w:val="left"/>
        </w:tabs>
        <w:numPr>
          <w:ilvl w:val="0"/>
          <w:numId w:val="126"/>
        </w:numPr>
        <w:rPr>
          <w:rFonts w:ascii="Arial" w:cs="Arial" w:eastAsia="Arial" w:hAnsi="Arial"/>
          <w:sz w:val="18"/>
          <w:szCs w:val="18"/>
          <w:color w:val="auto"/>
        </w:rPr>
      </w:pPr>
      <w:r>
        <w:rPr>
          <w:rFonts w:ascii="Arial" w:cs="Arial" w:eastAsia="Arial" w:hAnsi="Arial"/>
          <w:sz w:val="18"/>
          <w:szCs w:val="18"/>
          <w:color w:val="auto"/>
        </w:rPr>
        <w:t>Interviewing customers to understand their business relationship with the Issuer.</w:t>
      </w:r>
    </w:p>
    <w:p>
      <w:pPr>
        <w:spacing w:after="0" w:line="252"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After the release of the Short-sell Report, the Sponsor performed the following further procedures with respect to NINEBELL:</w:t>
      </w:r>
    </w:p>
    <w:p>
      <w:pPr>
        <w:spacing w:after="0" w:line="252" w:lineRule="exact"/>
        <w:rPr>
          <w:sz w:val="20"/>
          <w:szCs w:val="20"/>
          <w:color w:val="auto"/>
        </w:rPr>
      </w:pPr>
    </w:p>
    <w:p>
      <w:pPr>
        <w:ind w:firstLine="332"/>
        <w:spacing w:after="0" w:line="277" w:lineRule="auto"/>
        <w:tabs>
          <w:tab w:leader="none" w:pos="526" w:val="left"/>
        </w:tabs>
        <w:numPr>
          <w:ilvl w:val="0"/>
          <w:numId w:val="127"/>
        </w:numPr>
        <w:rPr>
          <w:rFonts w:ascii="Arial" w:cs="Arial" w:eastAsia="Arial" w:hAnsi="Arial"/>
          <w:sz w:val="18"/>
          <w:szCs w:val="18"/>
          <w:color w:val="auto"/>
        </w:rPr>
      </w:pPr>
      <w:r>
        <w:rPr>
          <w:rFonts w:ascii="Arial" w:cs="Arial" w:eastAsia="Arial" w:hAnsi="Arial"/>
          <w:sz w:val="18"/>
          <w:szCs w:val="18"/>
          <w:color w:val="auto"/>
        </w:rPr>
        <w:t>Further checking from the Issuer’s procurement director about the process of purchasing robotic arms by the Company and the reasons for the equipment with company trademark on premises of NINEBELL;</w:t>
      </w:r>
    </w:p>
    <w:p>
      <w:pPr>
        <w:spacing w:after="0" w:line="197" w:lineRule="exact"/>
        <w:rPr>
          <w:rFonts w:ascii="Arial" w:cs="Arial" w:eastAsia="Arial" w:hAnsi="Arial"/>
          <w:sz w:val="18"/>
          <w:szCs w:val="18"/>
          <w:color w:val="auto"/>
        </w:rPr>
      </w:pPr>
    </w:p>
    <w:p>
      <w:pPr>
        <w:ind w:right="20" w:firstLine="332"/>
        <w:spacing w:after="0" w:line="277" w:lineRule="auto"/>
        <w:tabs>
          <w:tab w:leader="none" w:pos="526" w:val="left"/>
        </w:tabs>
        <w:numPr>
          <w:ilvl w:val="0"/>
          <w:numId w:val="127"/>
        </w:numPr>
        <w:rPr>
          <w:rFonts w:ascii="Arial" w:cs="Arial" w:eastAsia="Arial" w:hAnsi="Arial"/>
          <w:sz w:val="18"/>
          <w:szCs w:val="18"/>
          <w:color w:val="auto"/>
        </w:rPr>
      </w:pPr>
      <w:r>
        <w:rPr>
          <w:rFonts w:ascii="Arial" w:cs="Arial" w:eastAsia="Arial" w:hAnsi="Arial"/>
          <w:sz w:val="18"/>
          <w:szCs w:val="18"/>
          <w:color w:val="auto"/>
        </w:rPr>
        <w:t>Further checking from NINEBELL about the reasons for the equipment with the company trademark on its premises and whether it purchased equipment for the Issuer; and</w:t>
      </w:r>
    </w:p>
    <w:p>
      <w:pPr>
        <w:spacing w:after="0" w:line="197" w:lineRule="exact"/>
        <w:rPr>
          <w:rFonts w:ascii="Arial" w:cs="Arial" w:eastAsia="Arial" w:hAnsi="Arial"/>
          <w:sz w:val="18"/>
          <w:szCs w:val="18"/>
          <w:color w:val="auto"/>
        </w:rPr>
      </w:pPr>
    </w:p>
    <w:p>
      <w:pPr>
        <w:ind w:firstLine="332"/>
        <w:spacing w:after="0" w:line="277" w:lineRule="auto"/>
        <w:tabs>
          <w:tab w:leader="none" w:pos="517" w:val="left"/>
        </w:tabs>
        <w:numPr>
          <w:ilvl w:val="0"/>
          <w:numId w:val="127"/>
        </w:numPr>
        <w:rPr>
          <w:rFonts w:ascii="Arial" w:cs="Arial" w:eastAsia="Arial" w:hAnsi="Arial"/>
          <w:sz w:val="18"/>
          <w:szCs w:val="18"/>
          <w:color w:val="auto"/>
        </w:rPr>
      </w:pPr>
      <w:r>
        <w:rPr>
          <w:rFonts w:ascii="Arial" w:cs="Arial" w:eastAsia="Arial" w:hAnsi="Arial"/>
          <w:sz w:val="18"/>
          <w:szCs w:val="18"/>
          <w:color w:val="auto"/>
        </w:rPr>
        <w:t>Reexamining and checking the sales details, contracts, EX-warehouse records, acceptance forms and payment receipts concerning the Company’s products.</w:t>
      </w:r>
    </w:p>
    <w:p>
      <w:pPr>
        <w:spacing w:after="0" w:line="193"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(ii) Verification Opinions</w:t>
      </w:r>
    </w:p>
    <w:p>
      <w:pPr>
        <w:spacing w:after="0" w:line="256" w:lineRule="exact"/>
        <w:rPr>
          <w:sz w:val="20"/>
          <w:szCs w:val="20"/>
          <w:color w:val="auto"/>
        </w:rPr>
      </w:pPr>
    </w:p>
    <w:p>
      <w:pPr>
        <w:ind w:left="340"/>
        <w:spacing w:after="0"/>
        <w:rPr>
          <w:sz w:val="20"/>
          <w:szCs w:val="20"/>
          <w:color w:val="auto"/>
        </w:rPr>
      </w:pPr>
      <w:r>
        <w:rPr>
          <w:rFonts w:ascii="Arial" w:cs="Arial" w:eastAsia="Arial" w:hAnsi="Arial"/>
          <w:sz w:val="18"/>
          <w:szCs w:val="18"/>
          <w:color w:val="auto"/>
        </w:rPr>
        <w:t>Upon verification, the Sponsor opines that:</w:t>
      </w:r>
    </w:p>
    <w:p>
      <w:pPr>
        <w:spacing w:after="0" w:line="252"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It is reasonable that the machines on premises at NINEBELL, which are the equipment racks for assembling robotic arm and their supporting components, bear company trademark; the Company’s revenue is accurately reported.</w:t>
      </w:r>
    </w:p>
    <w:p>
      <w:pPr>
        <w:spacing w:after="0" w:line="184" w:lineRule="exact"/>
        <w:rPr>
          <w:sz w:val="20"/>
          <w:szCs w:val="20"/>
          <w:color w:val="auto"/>
        </w:rPr>
      </w:pPr>
    </w:p>
    <w:p>
      <w:pPr>
        <w:ind w:left="340" w:right="740" w:hanging="8"/>
        <w:spacing w:after="0" w:line="463" w:lineRule="auto"/>
        <w:tabs>
          <w:tab w:leader="none" w:pos="664" w:val="left"/>
        </w:tabs>
        <w:numPr>
          <w:ilvl w:val="0"/>
          <w:numId w:val="128"/>
        </w:numPr>
        <w:rPr>
          <w:rFonts w:ascii="Arial" w:cs="Arial" w:eastAsia="Arial" w:hAnsi="Arial"/>
          <w:sz w:val="22"/>
          <w:szCs w:val="22"/>
          <w:b w:val="1"/>
          <w:bCs w:val="1"/>
          <w:color w:val="auto"/>
        </w:rPr>
      </w:pPr>
      <w:r>
        <w:rPr>
          <w:rFonts w:ascii="Arial" w:cs="Arial" w:eastAsia="Arial" w:hAnsi="Arial"/>
          <w:sz w:val="22"/>
          <w:szCs w:val="22"/>
          <w:b w:val="1"/>
          <w:bCs w:val="1"/>
          <w:color w:val="auto"/>
        </w:rPr>
        <w:t>Other Challenge 15: About Warranty Fee (Index of Verification in Response to the Short-sell Report, No.9) Challenge in the Short-sell Report (Short-sell Report, p.13):</w:t>
      </w:r>
    </w:p>
    <w:p>
      <w:pPr>
        <w:spacing w:after="0" w:line="2" w:lineRule="exact"/>
        <w:rPr>
          <w:sz w:val="20"/>
          <w:szCs w:val="20"/>
          <w:color w:val="auto"/>
        </w:rPr>
      </w:pPr>
    </w:p>
    <w:p>
      <w:pPr>
        <w:ind w:firstLine="324"/>
        <w:spacing w:after="0" w:line="250" w:lineRule="auto"/>
        <w:rPr>
          <w:sz w:val="20"/>
          <w:szCs w:val="20"/>
          <w:color w:val="auto"/>
        </w:rPr>
      </w:pPr>
      <w:r>
        <w:rPr>
          <w:rFonts w:ascii="Arial" w:cs="Arial" w:eastAsia="Arial" w:hAnsi="Arial"/>
          <w:sz w:val="22"/>
          <w:szCs w:val="22"/>
          <w:color w:val="auto"/>
        </w:rPr>
        <w:t>“Warranty. We estimate the gap between cash outflow for parts and inflow under “other” income at roughly $11 mln. This may be under-reported warranty or out-of-warranty service repair expense.”</w:t>
      </w:r>
    </w:p>
    <w:p>
      <w:pPr>
        <w:spacing w:after="0" w:line="196" w:lineRule="exact"/>
        <w:rPr>
          <w:sz w:val="20"/>
          <w:szCs w:val="20"/>
          <w:color w:val="auto"/>
        </w:rPr>
      </w:pPr>
    </w:p>
    <w:p>
      <w:pPr>
        <w:ind w:left="340"/>
        <w:spacing w:after="0"/>
        <w:rPr>
          <w:sz w:val="20"/>
          <w:szCs w:val="20"/>
          <w:color w:val="auto"/>
        </w:rPr>
      </w:pPr>
      <w:r>
        <w:rPr>
          <w:rFonts w:ascii="Arial" w:cs="Arial" w:eastAsia="Arial" w:hAnsi="Arial"/>
          <w:sz w:val="22"/>
          <w:szCs w:val="22"/>
          <w:b w:val="1"/>
          <w:bCs w:val="1"/>
          <w:color w:val="auto"/>
        </w:rPr>
        <w:t>Response:</w:t>
      </w:r>
    </w:p>
    <w:p>
      <w:pPr>
        <w:spacing w:after="0" w:line="233" w:lineRule="exact"/>
        <w:rPr>
          <w:sz w:val="20"/>
          <w:szCs w:val="20"/>
          <w:color w:val="auto"/>
        </w:rPr>
      </w:pPr>
    </w:p>
    <w:p>
      <w:pPr>
        <w:ind w:left="340"/>
        <w:spacing w:after="0"/>
        <w:rPr>
          <w:sz w:val="20"/>
          <w:szCs w:val="20"/>
          <w:color w:val="auto"/>
        </w:rPr>
      </w:pPr>
      <w:r>
        <w:rPr>
          <w:rFonts w:ascii="Arial" w:cs="Arial" w:eastAsia="Arial" w:hAnsi="Arial"/>
          <w:sz w:val="22"/>
          <w:szCs w:val="22"/>
          <w:b w:val="1"/>
          <w:bCs w:val="1"/>
          <w:color w:val="auto"/>
        </w:rPr>
        <w:t>I. Clarification by the Issuer</w:t>
      </w:r>
    </w:p>
    <w:p>
      <w:pPr>
        <w:spacing w:after="0" w:line="239" w:lineRule="exact"/>
        <w:rPr>
          <w:sz w:val="20"/>
          <w:szCs w:val="20"/>
          <w:color w:val="auto"/>
        </w:rPr>
      </w:pPr>
    </w:p>
    <w:p>
      <w:pPr>
        <w:ind w:firstLine="324"/>
        <w:spacing w:after="0" w:line="328" w:lineRule="auto"/>
        <w:rPr>
          <w:sz w:val="20"/>
          <w:szCs w:val="20"/>
          <w:color w:val="auto"/>
        </w:rPr>
      </w:pPr>
      <w:r>
        <w:rPr>
          <w:rFonts w:ascii="Arial" w:cs="Arial" w:eastAsia="Arial" w:hAnsi="Arial"/>
          <w:sz w:val="19"/>
          <w:szCs w:val="19"/>
          <w:color w:val="auto"/>
        </w:rPr>
        <w:t>During the Reporting Period, adequate provisions have been made for the after-sales service fees of the Issuer. The Issuer has disclosed the after-sales service fees in “Q26.1” of the Reply to the Letter of First Round Review-related Inquiries.</w:t>
      </w:r>
    </w:p>
    <w:p>
      <w:pPr>
        <w:spacing w:after="0" w:line="31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8-4-1-96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00" w:name="page101"/>
    <w:bookmarkEnd w:id="100"/>
    <w:p>
      <w:pPr>
        <w:jc w:val="both"/>
        <w:ind w:firstLine="324"/>
        <w:spacing w:after="0" w:line="271" w:lineRule="auto"/>
        <w:rPr>
          <w:sz w:val="20"/>
          <w:szCs w:val="20"/>
          <w:color w:val="auto"/>
        </w:rPr>
      </w:pPr>
      <w:r>
        <w:rPr>
          <w:rFonts w:ascii="Arial" w:cs="Arial" w:eastAsia="Arial" w:hAnsi="Arial"/>
          <w:sz w:val="17"/>
          <w:szCs w:val="17"/>
          <w:color w:val="auto"/>
        </w:rPr>
        <w:t>It is unreasonable for the Short-sell Report to compare the “other cash received relating to operating activities” and “other cash paid relating to operating activities” in the cash flow statement with the cash inflow for parts. Pursuant to the Chinese accounting standards for business enterprises, “other cash received relating to operating activities” refers to the cash received from operating activities, such as government subsidies received and penalty incomes, other than “cash received from sales of goods and rendering of services” and “tax refunds received,” etc. “Other cash paid relating to operating activities” refers to the cash paid for operating activities, such as period expenses and penalty expenses, other than “cash paid for goods and services,” “cash paid to and for employees” and “various taxes and fees paid,” etc. JCAP was unclear about the Chinese accounting standards for business enterprises, mistakenly identifying the “other cash received relating to operating activities” and “other cash paid relating to operating activities” in the cash flow statement as the cash flow for “other business” in the operating income of the Issuer.</w:t>
      </w:r>
    </w:p>
    <w:p>
      <w:pPr>
        <w:spacing w:after="0" w:line="198" w:lineRule="exact"/>
        <w:rPr>
          <w:sz w:val="20"/>
          <w:szCs w:val="20"/>
          <w:color w:val="auto"/>
        </w:rPr>
      </w:pPr>
    </w:p>
    <w:p>
      <w:pPr>
        <w:jc w:val="both"/>
        <w:ind w:firstLine="324"/>
        <w:spacing w:after="0" w:line="250" w:lineRule="auto"/>
        <w:rPr>
          <w:sz w:val="20"/>
          <w:szCs w:val="20"/>
          <w:color w:val="auto"/>
        </w:rPr>
      </w:pPr>
      <w:r>
        <w:rPr>
          <w:rFonts w:ascii="Arial" w:cs="Arial" w:eastAsia="Arial" w:hAnsi="Arial"/>
          <w:sz w:val="22"/>
          <w:szCs w:val="22"/>
          <w:color w:val="auto"/>
        </w:rPr>
        <w:t>During the Reporting Period, the Company’s actual after-sales service fees in comparison of the provisions made for after-sales service fees are as follows:</w:t>
      </w:r>
    </w:p>
    <w:p>
      <w:pPr>
        <w:spacing w:after="0" w:line="202" w:lineRule="exact"/>
        <w:rPr>
          <w:sz w:val="20"/>
          <w:szCs w:val="20"/>
          <w:color w:val="auto"/>
        </w:rPr>
      </w:pPr>
    </w:p>
    <w:tbl>
      <w:tblPr>
        <w:tblLayout w:type="fixed"/>
        <w:tblInd w:w="10" w:type="dxa"/>
        <w:tblCellMar>
          <w:top w:w="0" w:type="dxa"/>
          <w:left w:w="0" w:type="dxa"/>
          <w:bottom w:w="0" w:type="dxa"/>
          <w:right w:w="0" w:type="dxa"/>
        </w:tblCellMar>
      </w:tblPr>
      <w:tr>
        <w:trPr>
          <w:trHeight w:val="274"/>
        </w:trPr>
        <w:tc>
          <w:tcPr>
            <w:tcW w:w="4740" w:type="dxa"/>
            <w:vAlign w:val="bottom"/>
          </w:tcPr>
          <w:p>
            <w:pPr>
              <w:spacing w:after="0"/>
              <w:rPr>
                <w:sz w:val="23"/>
                <w:szCs w:val="23"/>
                <w:color w:val="auto"/>
              </w:rPr>
            </w:pPr>
          </w:p>
        </w:tc>
        <w:tc>
          <w:tcPr>
            <w:tcW w:w="1620" w:type="dxa"/>
            <w:vAlign w:val="bottom"/>
          </w:tcPr>
          <w:p>
            <w:pPr>
              <w:spacing w:after="0"/>
              <w:rPr>
                <w:sz w:val="23"/>
                <w:szCs w:val="23"/>
                <w:color w:val="auto"/>
              </w:rPr>
            </w:pPr>
          </w:p>
        </w:tc>
        <w:tc>
          <w:tcPr>
            <w:tcW w:w="1580" w:type="dxa"/>
            <w:vAlign w:val="bottom"/>
          </w:tcPr>
          <w:p>
            <w:pPr>
              <w:spacing w:after="0"/>
              <w:rPr>
                <w:sz w:val="23"/>
                <w:szCs w:val="23"/>
                <w:color w:val="auto"/>
              </w:rPr>
            </w:pPr>
          </w:p>
        </w:tc>
        <w:tc>
          <w:tcPr>
            <w:tcW w:w="1560" w:type="dxa"/>
            <w:vAlign w:val="bottom"/>
          </w:tcPr>
          <w:p>
            <w:pPr>
              <w:spacing w:after="0"/>
              <w:rPr>
                <w:sz w:val="23"/>
                <w:szCs w:val="23"/>
                <w:color w:val="auto"/>
              </w:rPr>
            </w:pPr>
          </w:p>
        </w:tc>
        <w:tc>
          <w:tcPr>
            <w:tcW w:w="1740" w:type="dxa"/>
            <w:vAlign w:val="bottom"/>
          </w:tcPr>
          <w:p>
            <w:pPr>
              <w:jc w:val="right"/>
              <w:spacing w:after="0"/>
              <w:rPr>
                <w:sz w:val="20"/>
                <w:szCs w:val="20"/>
                <w:color w:val="auto"/>
              </w:rPr>
            </w:pPr>
            <w:r>
              <w:rPr>
                <w:rFonts w:ascii="Arial" w:cs="Arial" w:eastAsia="Arial" w:hAnsi="Arial"/>
                <w:sz w:val="22"/>
                <w:szCs w:val="22"/>
                <w:color w:val="auto"/>
              </w:rPr>
              <w:t>Unit: RMB10,000</w:t>
            </w:r>
          </w:p>
        </w:tc>
        <w:tc>
          <w:tcPr>
            <w:tcW w:w="0" w:type="dxa"/>
            <w:vAlign w:val="bottom"/>
          </w:tcPr>
          <w:p>
            <w:pPr>
              <w:spacing w:after="0"/>
              <w:rPr>
                <w:sz w:val="1"/>
                <w:szCs w:val="1"/>
                <w:color w:val="auto"/>
              </w:rPr>
            </w:pPr>
          </w:p>
        </w:tc>
      </w:tr>
      <w:tr>
        <w:trPr>
          <w:trHeight w:val="240"/>
        </w:trPr>
        <w:tc>
          <w:tcPr>
            <w:tcW w:w="4740" w:type="dxa"/>
            <w:vAlign w:val="bottom"/>
            <w:tcBorders>
              <w:bottom w:val="single" w:sz="8" w:color="auto"/>
            </w:tcBorders>
          </w:tcPr>
          <w:p>
            <w:pPr>
              <w:spacing w:after="0"/>
              <w:rPr>
                <w:sz w:val="20"/>
                <w:szCs w:val="20"/>
                <w:color w:val="auto"/>
              </w:rPr>
            </w:pPr>
          </w:p>
        </w:tc>
        <w:tc>
          <w:tcPr>
            <w:tcW w:w="1620" w:type="dxa"/>
            <w:vAlign w:val="bottom"/>
            <w:tcBorders>
              <w:bottom w:val="single" w:sz="8" w:color="auto"/>
            </w:tcBorders>
          </w:tcPr>
          <w:p>
            <w:pPr>
              <w:spacing w:after="0"/>
              <w:rPr>
                <w:sz w:val="20"/>
                <w:szCs w:val="20"/>
                <w:color w:val="auto"/>
              </w:rPr>
            </w:pPr>
          </w:p>
        </w:tc>
        <w:tc>
          <w:tcPr>
            <w:tcW w:w="1580" w:type="dxa"/>
            <w:vAlign w:val="bottom"/>
            <w:tcBorders>
              <w:bottom w:val="single" w:sz="8" w:color="auto"/>
            </w:tcBorders>
          </w:tcPr>
          <w:p>
            <w:pPr>
              <w:spacing w:after="0"/>
              <w:rPr>
                <w:sz w:val="20"/>
                <w:szCs w:val="20"/>
                <w:color w:val="auto"/>
              </w:rPr>
            </w:pPr>
          </w:p>
        </w:tc>
        <w:tc>
          <w:tcPr>
            <w:tcW w:w="1560" w:type="dxa"/>
            <w:vAlign w:val="bottom"/>
            <w:tcBorders>
              <w:bottom w:val="single" w:sz="8" w:color="auto"/>
            </w:tcBorders>
          </w:tcPr>
          <w:p>
            <w:pPr>
              <w:spacing w:after="0"/>
              <w:rPr>
                <w:sz w:val="20"/>
                <w:szCs w:val="20"/>
                <w:color w:val="auto"/>
              </w:rPr>
            </w:pPr>
          </w:p>
        </w:tc>
        <w:tc>
          <w:tcPr>
            <w:tcW w:w="174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4740" w:type="dxa"/>
            <w:vAlign w:val="bottom"/>
            <w:tcBorders>
              <w:left w:val="single" w:sz="8" w:color="auto"/>
              <w:right w:val="single" w:sz="8" w:color="auto"/>
            </w:tcBorders>
            <w:vMerge w:val="restart"/>
          </w:tcPr>
          <w:p>
            <w:pPr>
              <w:ind w:left="2200"/>
              <w:spacing w:after="0"/>
              <w:rPr>
                <w:sz w:val="20"/>
                <w:szCs w:val="20"/>
                <w:color w:val="auto"/>
              </w:rPr>
            </w:pPr>
            <w:r>
              <w:rPr>
                <w:rFonts w:ascii="Arial" w:cs="Arial" w:eastAsia="Arial" w:hAnsi="Arial"/>
                <w:sz w:val="18"/>
                <w:szCs w:val="18"/>
                <w:b w:val="1"/>
                <w:bCs w:val="1"/>
                <w:color w:val="auto"/>
              </w:rPr>
              <w:t>Item</w:t>
            </w:r>
          </w:p>
        </w:tc>
        <w:tc>
          <w:tcPr>
            <w:tcW w:w="1620" w:type="dxa"/>
            <w:vAlign w:val="bottom"/>
            <w:tcBorders>
              <w:right w:val="single" w:sz="8" w:color="auto"/>
            </w:tcBorders>
          </w:tcPr>
          <w:p>
            <w:pPr>
              <w:jc w:val="right"/>
              <w:ind w:right="370"/>
              <w:spacing w:after="0" w:line="198" w:lineRule="exact"/>
              <w:rPr>
                <w:sz w:val="20"/>
                <w:szCs w:val="20"/>
                <w:color w:val="auto"/>
              </w:rPr>
            </w:pPr>
            <w:r>
              <w:rPr>
                <w:rFonts w:ascii="Arial" w:cs="Arial" w:eastAsia="Arial" w:hAnsi="Arial"/>
                <w:sz w:val="18"/>
                <w:szCs w:val="18"/>
                <w:b w:val="1"/>
                <w:bCs w:val="1"/>
                <w:color w:val="auto"/>
              </w:rPr>
              <w:t>Jan.-Jun.</w:t>
            </w:r>
          </w:p>
        </w:tc>
        <w:tc>
          <w:tcPr>
            <w:tcW w:w="1580" w:type="dxa"/>
            <w:vAlign w:val="bottom"/>
            <w:tcBorders>
              <w:right w:val="single" w:sz="8" w:color="auto"/>
            </w:tcBorders>
            <w:vMerge w:val="restart"/>
          </w:tcPr>
          <w:p>
            <w:pPr>
              <w:jc w:val="right"/>
              <w:ind w:right="530"/>
              <w:spacing w:after="0"/>
              <w:rPr>
                <w:sz w:val="20"/>
                <w:szCs w:val="20"/>
                <w:color w:val="auto"/>
              </w:rPr>
            </w:pPr>
            <w:r>
              <w:rPr>
                <w:rFonts w:ascii="Arial" w:cs="Arial" w:eastAsia="Arial" w:hAnsi="Arial"/>
                <w:sz w:val="18"/>
                <w:szCs w:val="18"/>
                <w:b w:val="1"/>
                <w:bCs w:val="1"/>
                <w:color w:val="auto"/>
              </w:rPr>
              <w:t>2019</w:t>
            </w:r>
          </w:p>
        </w:tc>
        <w:tc>
          <w:tcPr>
            <w:tcW w:w="1560" w:type="dxa"/>
            <w:vAlign w:val="bottom"/>
            <w:tcBorders>
              <w:right w:val="single" w:sz="8" w:color="auto"/>
            </w:tcBorders>
            <w:vMerge w:val="restart"/>
          </w:tcPr>
          <w:p>
            <w:pPr>
              <w:jc w:val="right"/>
              <w:ind w:right="530"/>
              <w:spacing w:after="0"/>
              <w:rPr>
                <w:sz w:val="20"/>
                <w:szCs w:val="20"/>
                <w:color w:val="auto"/>
              </w:rPr>
            </w:pPr>
            <w:r>
              <w:rPr>
                <w:rFonts w:ascii="Arial" w:cs="Arial" w:eastAsia="Arial" w:hAnsi="Arial"/>
                <w:sz w:val="18"/>
                <w:szCs w:val="18"/>
                <w:b w:val="1"/>
                <w:bCs w:val="1"/>
                <w:color w:val="auto"/>
              </w:rPr>
              <w:t>2018</w:t>
            </w:r>
          </w:p>
        </w:tc>
        <w:tc>
          <w:tcPr>
            <w:tcW w:w="1740" w:type="dxa"/>
            <w:vAlign w:val="bottom"/>
            <w:tcBorders>
              <w:right w:val="single" w:sz="8" w:color="auto"/>
            </w:tcBorders>
            <w:vMerge w:val="restart"/>
          </w:tcPr>
          <w:p>
            <w:pPr>
              <w:jc w:val="right"/>
              <w:ind w:right="606"/>
              <w:spacing w:after="0"/>
              <w:rPr>
                <w:sz w:val="20"/>
                <w:szCs w:val="20"/>
                <w:color w:val="auto"/>
              </w:rPr>
            </w:pPr>
            <w:r>
              <w:rPr>
                <w:rFonts w:ascii="Arial" w:cs="Arial" w:eastAsia="Arial" w:hAnsi="Arial"/>
                <w:sz w:val="18"/>
                <w:szCs w:val="18"/>
                <w:b w:val="1"/>
                <w:bCs w:val="1"/>
                <w:color w:val="auto"/>
              </w:rPr>
              <w:t>2017</w:t>
            </w:r>
          </w:p>
        </w:tc>
        <w:tc>
          <w:tcPr>
            <w:tcW w:w="0" w:type="dxa"/>
            <w:vAlign w:val="bottom"/>
          </w:tcPr>
          <w:p>
            <w:pPr>
              <w:spacing w:after="0"/>
              <w:rPr>
                <w:sz w:val="1"/>
                <w:szCs w:val="1"/>
                <w:color w:val="auto"/>
              </w:rPr>
            </w:pPr>
          </w:p>
        </w:tc>
      </w:tr>
      <w:tr>
        <w:trPr>
          <w:trHeight w:val="126"/>
        </w:trPr>
        <w:tc>
          <w:tcPr>
            <w:tcW w:w="4740" w:type="dxa"/>
            <w:vAlign w:val="bottom"/>
            <w:tcBorders>
              <w:left w:val="single" w:sz="8" w:color="auto"/>
              <w:right w:val="single" w:sz="8" w:color="auto"/>
            </w:tcBorders>
            <w:vMerge w:val="continue"/>
          </w:tcPr>
          <w:p>
            <w:pPr>
              <w:spacing w:after="0"/>
              <w:rPr>
                <w:sz w:val="10"/>
                <w:szCs w:val="10"/>
                <w:color w:val="auto"/>
              </w:rPr>
            </w:pPr>
          </w:p>
        </w:tc>
        <w:tc>
          <w:tcPr>
            <w:tcW w:w="1620" w:type="dxa"/>
            <w:vAlign w:val="bottom"/>
            <w:tcBorders>
              <w:right w:val="single" w:sz="8" w:color="auto"/>
            </w:tcBorders>
            <w:vMerge w:val="restart"/>
          </w:tcPr>
          <w:p>
            <w:pPr>
              <w:jc w:val="right"/>
              <w:ind w:right="550"/>
              <w:spacing w:after="0"/>
              <w:rPr>
                <w:sz w:val="20"/>
                <w:szCs w:val="20"/>
                <w:color w:val="auto"/>
              </w:rPr>
            </w:pPr>
            <w:r>
              <w:rPr>
                <w:rFonts w:ascii="Arial" w:cs="Arial" w:eastAsia="Arial" w:hAnsi="Arial"/>
                <w:sz w:val="18"/>
                <w:szCs w:val="18"/>
                <w:b w:val="1"/>
                <w:bCs w:val="1"/>
                <w:color w:val="auto"/>
              </w:rPr>
              <w:t>2020</w:t>
            </w:r>
          </w:p>
        </w:tc>
        <w:tc>
          <w:tcPr>
            <w:tcW w:w="1580" w:type="dxa"/>
            <w:vAlign w:val="bottom"/>
            <w:tcBorders>
              <w:right w:val="single" w:sz="8" w:color="auto"/>
            </w:tcBorders>
            <w:vMerge w:val="continue"/>
          </w:tcPr>
          <w:p>
            <w:pPr>
              <w:spacing w:after="0"/>
              <w:rPr>
                <w:sz w:val="10"/>
                <w:szCs w:val="10"/>
                <w:color w:val="auto"/>
              </w:rPr>
            </w:pPr>
          </w:p>
        </w:tc>
        <w:tc>
          <w:tcPr>
            <w:tcW w:w="1560" w:type="dxa"/>
            <w:vAlign w:val="bottom"/>
            <w:tcBorders>
              <w:right w:val="single" w:sz="8" w:color="auto"/>
            </w:tcBorders>
            <w:vMerge w:val="continue"/>
          </w:tcPr>
          <w:p>
            <w:pPr>
              <w:spacing w:after="0"/>
              <w:rPr>
                <w:sz w:val="10"/>
                <w:szCs w:val="10"/>
                <w:color w:val="auto"/>
              </w:rPr>
            </w:pPr>
          </w:p>
        </w:tc>
        <w:tc>
          <w:tcPr>
            <w:tcW w:w="1740" w:type="dxa"/>
            <w:vAlign w:val="bottom"/>
            <w:tcBorders>
              <w:right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15"/>
        </w:trPr>
        <w:tc>
          <w:tcPr>
            <w:tcW w:w="4740" w:type="dxa"/>
            <w:vAlign w:val="bottom"/>
            <w:tcBorders>
              <w:left w:val="single" w:sz="8" w:color="auto"/>
              <w:bottom w:val="single" w:sz="8" w:color="auto"/>
              <w:right w:val="single" w:sz="8" w:color="auto"/>
            </w:tcBorders>
          </w:tcPr>
          <w:p>
            <w:pPr>
              <w:spacing w:after="0"/>
              <w:rPr>
                <w:sz w:val="10"/>
                <w:szCs w:val="10"/>
                <w:color w:val="auto"/>
              </w:rPr>
            </w:pPr>
          </w:p>
        </w:tc>
        <w:tc>
          <w:tcPr>
            <w:tcW w:w="1620" w:type="dxa"/>
            <w:vAlign w:val="bottom"/>
            <w:tcBorders>
              <w:bottom w:val="single" w:sz="8" w:color="auto"/>
              <w:right w:val="single" w:sz="8" w:color="auto"/>
            </w:tcBorders>
            <w:vMerge w:val="continue"/>
          </w:tcPr>
          <w:p>
            <w:pPr>
              <w:spacing w:after="0"/>
              <w:rPr>
                <w:sz w:val="10"/>
                <w:szCs w:val="10"/>
                <w:color w:val="auto"/>
              </w:rPr>
            </w:pPr>
          </w:p>
        </w:tc>
        <w:tc>
          <w:tcPr>
            <w:tcW w:w="1580" w:type="dxa"/>
            <w:vAlign w:val="bottom"/>
            <w:tcBorders>
              <w:bottom w:val="single" w:sz="8" w:color="auto"/>
              <w:right w:val="single" w:sz="8" w:color="auto"/>
            </w:tcBorders>
          </w:tcPr>
          <w:p>
            <w:pPr>
              <w:spacing w:after="0"/>
              <w:rPr>
                <w:sz w:val="10"/>
                <w:szCs w:val="10"/>
                <w:color w:val="auto"/>
              </w:rPr>
            </w:pPr>
          </w:p>
        </w:tc>
        <w:tc>
          <w:tcPr>
            <w:tcW w:w="1560" w:type="dxa"/>
            <w:vAlign w:val="bottom"/>
            <w:tcBorders>
              <w:bottom w:val="single" w:sz="8" w:color="auto"/>
              <w:right w:val="single" w:sz="8" w:color="auto"/>
            </w:tcBorders>
          </w:tcPr>
          <w:p>
            <w:pPr>
              <w:spacing w:after="0"/>
              <w:rPr>
                <w:sz w:val="10"/>
                <w:szCs w:val="10"/>
                <w:color w:val="auto"/>
              </w:rPr>
            </w:pPr>
          </w:p>
        </w:tc>
        <w:tc>
          <w:tcPr>
            <w:tcW w:w="1740" w:type="dxa"/>
            <w:vAlign w:val="bottom"/>
            <w:tcBorders>
              <w:bottom w:val="single" w:sz="8" w:color="auto"/>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223"/>
        </w:trPr>
        <w:tc>
          <w:tcPr>
            <w:tcW w:w="474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Actual after-sales service fees</w:t>
            </w:r>
          </w:p>
        </w:tc>
        <w:tc>
          <w:tcPr>
            <w:tcW w:w="162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140.75</w:t>
            </w:r>
          </w:p>
        </w:tc>
        <w:tc>
          <w:tcPr>
            <w:tcW w:w="158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471.14</w:t>
            </w:r>
          </w:p>
        </w:tc>
        <w:tc>
          <w:tcPr>
            <w:tcW w:w="156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244.10</w:t>
            </w:r>
          </w:p>
        </w:tc>
        <w:tc>
          <w:tcPr>
            <w:tcW w:w="174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1,046.02</w:t>
            </w:r>
          </w:p>
        </w:tc>
        <w:tc>
          <w:tcPr>
            <w:tcW w:w="0" w:type="dxa"/>
            <w:vAlign w:val="bottom"/>
          </w:tcPr>
          <w:p>
            <w:pPr>
              <w:spacing w:after="0"/>
              <w:rPr>
                <w:sz w:val="1"/>
                <w:szCs w:val="1"/>
                <w:color w:val="auto"/>
              </w:rPr>
            </w:pPr>
          </w:p>
        </w:tc>
      </w:tr>
      <w:tr>
        <w:trPr>
          <w:trHeight w:val="223"/>
        </w:trPr>
        <w:tc>
          <w:tcPr>
            <w:tcW w:w="474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Provisions for after-sales service fees</w:t>
            </w:r>
          </w:p>
        </w:tc>
        <w:tc>
          <w:tcPr>
            <w:tcW w:w="162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569.48</w:t>
            </w:r>
          </w:p>
        </w:tc>
        <w:tc>
          <w:tcPr>
            <w:tcW w:w="158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1,360.12</w:t>
            </w:r>
          </w:p>
        </w:tc>
        <w:tc>
          <w:tcPr>
            <w:tcW w:w="156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1,174.57</w:t>
            </w:r>
          </w:p>
        </w:tc>
        <w:tc>
          <w:tcPr>
            <w:tcW w:w="174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1,337.49</w:t>
            </w:r>
          </w:p>
        </w:tc>
        <w:tc>
          <w:tcPr>
            <w:tcW w:w="0" w:type="dxa"/>
            <w:vAlign w:val="bottom"/>
          </w:tcPr>
          <w:p>
            <w:pPr>
              <w:spacing w:after="0"/>
              <w:rPr>
                <w:sz w:val="1"/>
                <w:szCs w:val="1"/>
                <w:color w:val="auto"/>
              </w:rPr>
            </w:pPr>
          </w:p>
        </w:tc>
      </w:tr>
    </w:tbl>
    <w:p>
      <w:pPr>
        <w:spacing w:after="0" w:line="229" w:lineRule="exact"/>
        <w:rPr>
          <w:sz w:val="20"/>
          <w:szCs w:val="20"/>
          <w:color w:val="auto"/>
        </w:rPr>
      </w:pPr>
    </w:p>
    <w:p>
      <w:pPr>
        <w:jc w:val="both"/>
        <w:ind w:firstLine="324"/>
        <w:spacing w:after="0" w:line="296" w:lineRule="auto"/>
        <w:rPr>
          <w:sz w:val="20"/>
          <w:szCs w:val="20"/>
          <w:color w:val="auto"/>
        </w:rPr>
      </w:pPr>
      <w:r>
        <w:rPr>
          <w:rFonts w:ascii="Arial" w:cs="Arial" w:eastAsia="Arial" w:hAnsi="Arial"/>
          <w:sz w:val="16"/>
          <w:szCs w:val="16"/>
          <w:color w:val="auto"/>
        </w:rPr>
        <w:t>During the Reporting Period, the actual after-sales service fees of the Company were RMB10.4602 million, RMB2.441 million, RMB4.7114 million and RMB1.4075 million respectively. In 2016 and 2017, the Company sold more products with new technology, and customers put forward more rectification requirements during use, as a result of which, the Company used more materials for after-sales services to meet the customer requirements. Therefore, the actual after-sales service fees of the Company in 2017 were comparatively high. In 2018, 2019 and January to June 2020, with the improvement of process maturity and stability of the Company’s equipment, the actual after-sales service fees have decreased compared with those in 2017.</w:t>
      </w:r>
    </w:p>
    <w:p>
      <w:pPr>
        <w:spacing w:after="0" w:line="181" w:lineRule="exact"/>
        <w:rPr>
          <w:sz w:val="20"/>
          <w:szCs w:val="20"/>
          <w:color w:val="auto"/>
        </w:rPr>
      </w:pPr>
    </w:p>
    <w:p>
      <w:pPr>
        <w:jc w:val="both"/>
        <w:ind w:firstLine="324"/>
        <w:spacing w:after="0" w:line="297" w:lineRule="auto"/>
        <w:rPr>
          <w:sz w:val="20"/>
          <w:szCs w:val="20"/>
          <w:color w:val="auto"/>
        </w:rPr>
      </w:pPr>
      <w:r>
        <w:rPr>
          <w:rFonts w:ascii="Arial" w:cs="Arial" w:eastAsia="Arial" w:hAnsi="Arial"/>
          <w:sz w:val="19"/>
          <w:szCs w:val="19"/>
          <w:color w:val="auto"/>
        </w:rPr>
        <w:t>During the Reporting Period, the Company’s provisions for after-sales service fees were greater than the actual after-sales service fees, representing the adequate provisions made by the Company for the after-sales service fees. The above information has been disclosed and clarified in “Q26.1” of the Reply to the Letter of First Round Review-related Inquiries.</w:t>
      </w:r>
    </w:p>
    <w:p>
      <w:pPr>
        <w:spacing w:after="0" w:line="155" w:lineRule="exact"/>
        <w:rPr>
          <w:sz w:val="20"/>
          <w:szCs w:val="20"/>
          <w:color w:val="auto"/>
        </w:rPr>
      </w:pPr>
    </w:p>
    <w:p>
      <w:pPr>
        <w:ind w:left="600" w:hanging="268"/>
        <w:spacing w:after="0"/>
        <w:tabs>
          <w:tab w:leader="none" w:pos="600" w:val="left"/>
        </w:tabs>
        <w:numPr>
          <w:ilvl w:val="0"/>
          <w:numId w:val="129"/>
        </w:numPr>
        <w:rPr>
          <w:rFonts w:ascii="Arial" w:cs="Arial" w:eastAsia="Arial" w:hAnsi="Arial"/>
          <w:sz w:val="22"/>
          <w:szCs w:val="22"/>
          <w:b w:val="1"/>
          <w:bCs w:val="1"/>
          <w:color w:val="auto"/>
        </w:rPr>
      </w:pPr>
      <w:r>
        <w:rPr>
          <w:rFonts w:ascii="Arial" w:cs="Arial" w:eastAsia="Arial" w:hAnsi="Arial"/>
          <w:sz w:val="22"/>
          <w:szCs w:val="22"/>
          <w:b w:val="1"/>
          <w:bCs w:val="1"/>
          <w:color w:val="auto"/>
        </w:rPr>
        <w:t>Verification Procedures and Opinions</w:t>
      </w:r>
    </w:p>
    <w:p>
      <w:pPr>
        <w:spacing w:after="0" w:line="233" w:lineRule="exact"/>
        <w:rPr>
          <w:rFonts w:ascii="Arial" w:cs="Arial" w:eastAsia="Arial" w:hAnsi="Arial"/>
          <w:sz w:val="22"/>
          <w:szCs w:val="22"/>
          <w:b w:val="1"/>
          <w:bCs w:val="1"/>
          <w:color w:val="auto"/>
        </w:rPr>
      </w:pPr>
    </w:p>
    <w:p>
      <w:pPr>
        <w:ind w:left="340"/>
        <w:spacing w:after="0"/>
        <w:rPr>
          <w:rFonts w:ascii="Arial" w:cs="Arial" w:eastAsia="Arial" w:hAnsi="Arial"/>
          <w:sz w:val="22"/>
          <w:szCs w:val="22"/>
          <w:b w:val="1"/>
          <w:bCs w:val="1"/>
          <w:color w:val="auto"/>
        </w:rPr>
      </w:pPr>
      <w:r>
        <w:rPr>
          <w:rFonts w:ascii="Arial" w:cs="Arial" w:eastAsia="Arial" w:hAnsi="Arial"/>
          <w:sz w:val="22"/>
          <w:szCs w:val="22"/>
          <w:b w:val="1"/>
          <w:bCs w:val="1"/>
          <w:color w:val="auto"/>
        </w:rPr>
        <w:t>(i) Verification Procedures</w:t>
      </w:r>
    </w:p>
    <w:p>
      <w:pPr>
        <w:spacing w:after="0" w:line="246" w:lineRule="exact"/>
        <w:rPr>
          <w:sz w:val="20"/>
          <w:szCs w:val="20"/>
          <w:color w:val="auto"/>
        </w:rPr>
      </w:pPr>
    </w:p>
    <w:p>
      <w:pPr>
        <w:ind w:left="340"/>
        <w:spacing w:after="0"/>
        <w:rPr>
          <w:sz w:val="20"/>
          <w:szCs w:val="20"/>
          <w:color w:val="auto"/>
        </w:rPr>
      </w:pPr>
      <w:r>
        <w:rPr>
          <w:rFonts w:ascii="Arial" w:cs="Arial" w:eastAsia="Arial" w:hAnsi="Arial"/>
          <w:sz w:val="18"/>
          <w:szCs w:val="18"/>
          <w:color w:val="auto"/>
        </w:rPr>
        <w:t>Before the release of the Short-sell Report, the Sponsor performed the following verification procedures:</w:t>
      </w:r>
    </w:p>
    <w:p>
      <w:pPr>
        <w:spacing w:after="0" w:line="252" w:lineRule="exact"/>
        <w:rPr>
          <w:sz w:val="20"/>
          <w:szCs w:val="20"/>
          <w:color w:val="auto"/>
        </w:rPr>
      </w:pPr>
    </w:p>
    <w:p>
      <w:pPr>
        <w:ind w:firstLine="332"/>
        <w:spacing w:after="0" w:line="277" w:lineRule="auto"/>
        <w:tabs>
          <w:tab w:leader="none" w:pos="526" w:val="left"/>
        </w:tabs>
        <w:numPr>
          <w:ilvl w:val="0"/>
          <w:numId w:val="130"/>
        </w:numPr>
        <w:rPr>
          <w:rFonts w:ascii="Arial" w:cs="Arial" w:eastAsia="Arial" w:hAnsi="Arial"/>
          <w:sz w:val="18"/>
          <w:szCs w:val="18"/>
          <w:color w:val="auto"/>
        </w:rPr>
      </w:pPr>
      <w:r>
        <w:rPr>
          <w:rFonts w:ascii="Arial" w:cs="Arial" w:eastAsia="Arial" w:hAnsi="Arial"/>
          <w:sz w:val="18"/>
          <w:szCs w:val="18"/>
          <w:color w:val="auto"/>
        </w:rPr>
        <w:t>Checking and evaluating whether the management’s accounting estimate of the accrued liabilities recognition is rational by reviewing the sales policies and sales contracts, communication with the management and analysis of relevant documents;</w:t>
      </w:r>
    </w:p>
    <w:p>
      <w:pPr>
        <w:spacing w:after="0" w:line="197" w:lineRule="exact"/>
        <w:rPr>
          <w:rFonts w:ascii="Arial" w:cs="Arial" w:eastAsia="Arial" w:hAnsi="Arial"/>
          <w:sz w:val="18"/>
          <w:szCs w:val="18"/>
          <w:color w:val="auto"/>
        </w:rPr>
      </w:pPr>
    </w:p>
    <w:p>
      <w:pPr>
        <w:ind w:left="520" w:hanging="188"/>
        <w:spacing w:after="0"/>
        <w:tabs>
          <w:tab w:leader="none" w:pos="520" w:val="left"/>
        </w:tabs>
        <w:numPr>
          <w:ilvl w:val="0"/>
          <w:numId w:val="130"/>
        </w:numPr>
        <w:rPr>
          <w:rFonts w:ascii="Arial" w:cs="Arial" w:eastAsia="Arial" w:hAnsi="Arial"/>
          <w:sz w:val="18"/>
          <w:szCs w:val="18"/>
          <w:color w:val="auto"/>
        </w:rPr>
      </w:pPr>
      <w:r>
        <w:rPr>
          <w:rFonts w:ascii="Arial" w:cs="Arial" w:eastAsia="Arial" w:hAnsi="Arial"/>
          <w:sz w:val="18"/>
          <w:szCs w:val="18"/>
          <w:color w:val="auto"/>
        </w:rPr>
        <w:t>Reexamining the process of making provisions for accrued liabilities, including the base and fee rate for provision, etc.; and</w:t>
      </w: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8-4-1-97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01" w:name="page102"/>
    <w:bookmarkEnd w:id="101"/>
    <w:p>
      <w:pPr>
        <w:ind w:right="20" w:firstLine="332"/>
        <w:spacing w:after="0" w:line="251" w:lineRule="auto"/>
        <w:tabs>
          <w:tab w:leader="none" w:pos="559" w:val="left"/>
        </w:tabs>
        <w:numPr>
          <w:ilvl w:val="0"/>
          <w:numId w:val="131"/>
        </w:numPr>
        <w:rPr>
          <w:rFonts w:ascii="Arial" w:cs="Arial" w:eastAsia="Arial" w:hAnsi="Arial"/>
          <w:sz w:val="22"/>
          <w:szCs w:val="22"/>
          <w:color w:val="auto"/>
        </w:rPr>
      </w:pPr>
      <w:r>
        <w:rPr>
          <w:rFonts w:ascii="Arial" w:cs="Arial" w:eastAsia="Arial" w:hAnsi="Arial"/>
          <w:sz w:val="22"/>
          <w:szCs w:val="22"/>
          <w:color w:val="auto"/>
        </w:rPr>
        <w:t>Comparing the provisions of the previous period and the actual amount to evaluate whether the provisions made for the accrued liabilities in the current period is rational.</w:t>
      </w:r>
    </w:p>
    <w:p>
      <w:pPr>
        <w:spacing w:after="0" w:line="208" w:lineRule="exact"/>
        <w:rPr>
          <w:sz w:val="20"/>
          <w:szCs w:val="20"/>
          <w:color w:val="auto"/>
        </w:rPr>
      </w:pPr>
    </w:p>
    <w:p>
      <w:pPr>
        <w:ind w:left="340"/>
        <w:spacing w:after="0"/>
        <w:rPr>
          <w:sz w:val="20"/>
          <w:szCs w:val="20"/>
          <w:color w:val="auto"/>
        </w:rPr>
      </w:pPr>
      <w:r>
        <w:rPr>
          <w:rFonts w:ascii="Arial" w:cs="Arial" w:eastAsia="Arial" w:hAnsi="Arial"/>
          <w:sz w:val="17"/>
          <w:szCs w:val="17"/>
          <w:color w:val="auto"/>
        </w:rPr>
        <w:t>After the release of the Short-sell Report, the Sponsor performed the following further procedures with respect to the after-sales service fees:</w:t>
      </w:r>
    </w:p>
    <w:p>
      <w:pPr>
        <w:spacing w:after="0" w:line="264" w:lineRule="exact"/>
        <w:rPr>
          <w:sz w:val="20"/>
          <w:szCs w:val="20"/>
          <w:color w:val="auto"/>
        </w:rPr>
      </w:pPr>
    </w:p>
    <w:p>
      <w:pPr>
        <w:ind w:left="340"/>
        <w:spacing w:after="0"/>
        <w:rPr>
          <w:sz w:val="20"/>
          <w:szCs w:val="20"/>
          <w:color w:val="auto"/>
        </w:rPr>
      </w:pPr>
      <w:r>
        <w:rPr>
          <w:rFonts w:ascii="Arial" w:cs="Arial" w:eastAsia="Arial" w:hAnsi="Arial"/>
          <w:sz w:val="18"/>
          <w:szCs w:val="18"/>
          <w:color w:val="auto"/>
        </w:rPr>
        <w:t>Further reexamining the process of making provision for accrued liabilities, including the base and fee rate for provision, etc.</w:t>
      </w:r>
    </w:p>
    <w:p>
      <w:pPr>
        <w:spacing w:after="0" w:line="239" w:lineRule="exact"/>
        <w:rPr>
          <w:sz w:val="20"/>
          <w:szCs w:val="20"/>
          <w:color w:val="auto"/>
        </w:rPr>
      </w:pPr>
    </w:p>
    <w:p>
      <w:pPr>
        <w:ind w:left="340"/>
        <w:spacing w:after="0"/>
        <w:rPr>
          <w:sz w:val="20"/>
          <w:szCs w:val="20"/>
          <w:color w:val="auto"/>
        </w:rPr>
      </w:pPr>
      <w:r>
        <w:rPr>
          <w:rFonts w:ascii="Arial" w:cs="Arial" w:eastAsia="Arial" w:hAnsi="Arial"/>
          <w:sz w:val="22"/>
          <w:szCs w:val="22"/>
          <w:b w:val="1"/>
          <w:bCs w:val="1"/>
          <w:color w:val="auto"/>
        </w:rPr>
        <w:t>(ii) Verification Opinions</w:t>
      </w:r>
    </w:p>
    <w:p>
      <w:pPr>
        <w:spacing w:after="0" w:line="239" w:lineRule="exact"/>
        <w:rPr>
          <w:sz w:val="20"/>
          <w:szCs w:val="20"/>
          <w:color w:val="auto"/>
        </w:rPr>
      </w:pPr>
    </w:p>
    <w:p>
      <w:pPr>
        <w:ind w:left="340"/>
        <w:spacing w:after="0"/>
        <w:rPr>
          <w:sz w:val="20"/>
          <w:szCs w:val="20"/>
          <w:color w:val="auto"/>
        </w:rPr>
      </w:pPr>
      <w:r>
        <w:rPr>
          <w:rFonts w:ascii="Arial" w:cs="Arial" w:eastAsia="Arial" w:hAnsi="Arial"/>
          <w:sz w:val="22"/>
          <w:szCs w:val="22"/>
          <w:color w:val="auto"/>
        </w:rPr>
        <w:t>Upon verification, the Sponsor opines that:</w:t>
      </w:r>
    </w:p>
    <w:p>
      <w:pPr>
        <w:spacing w:after="0" w:line="233" w:lineRule="exact"/>
        <w:rPr>
          <w:sz w:val="20"/>
          <w:szCs w:val="20"/>
          <w:color w:val="auto"/>
        </w:rPr>
      </w:pPr>
    </w:p>
    <w:p>
      <w:pPr>
        <w:jc w:val="both"/>
        <w:ind w:firstLine="324"/>
        <w:spacing w:after="0"/>
        <w:rPr>
          <w:sz w:val="20"/>
          <w:szCs w:val="20"/>
          <w:color w:val="auto"/>
        </w:rPr>
      </w:pPr>
      <w:r>
        <w:rPr>
          <w:rFonts w:ascii="Arial" w:cs="Arial" w:eastAsia="Arial" w:hAnsi="Arial"/>
          <w:sz w:val="22"/>
          <w:szCs w:val="22"/>
          <w:color w:val="auto"/>
        </w:rPr>
        <w:t>It is unreasonable and incorrect for the Short-sell Report to identify the “other cash received relating to operating activities” and “other cash paid relating to operating activities” in the cash flow statement as the cash flow for sales of parts among “other business” in the operating income of the Issuer.</w:t>
      </w:r>
    </w:p>
    <w:p>
      <w:pPr>
        <w:spacing w:after="0" w:line="207" w:lineRule="exact"/>
        <w:rPr>
          <w:sz w:val="20"/>
          <w:szCs w:val="20"/>
          <w:color w:val="auto"/>
        </w:rPr>
      </w:pPr>
    </w:p>
    <w:p>
      <w:pPr>
        <w:ind w:firstLine="332"/>
        <w:spacing w:after="0" w:line="256" w:lineRule="auto"/>
        <w:tabs>
          <w:tab w:leader="none" w:pos="671" w:val="left"/>
        </w:tabs>
        <w:numPr>
          <w:ilvl w:val="0"/>
          <w:numId w:val="132"/>
        </w:numPr>
        <w:rPr>
          <w:rFonts w:ascii="Arial" w:cs="Arial" w:eastAsia="Arial" w:hAnsi="Arial"/>
          <w:sz w:val="22"/>
          <w:szCs w:val="22"/>
          <w:b w:val="1"/>
          <w:bCs w:val="1"/>
          <w:color w:val="auto"/>
        </w:rPr>
      </w:pPr>
      <w:r>
        <w:rPr>
          <w:rFonts w:ascii="Arial" w:cs="Arial" w:eastAsia="Arial" w:hAnsi="Arial"/>
          <w:sz w:val="22"/>
          <w:szCs w:val="22"/>
          <w:b w:val="1"/>
          <w:bCs w:val="1"/>
          <w:color w:val="auto"/>
        </w:rPr>
        <w:t>Other Challenge 16: About ACMR’s Information Disclosure on Agent (Index of Verification in Response to the Short-sell Report, No.13)</w:t>
      </w:r>
    </w:p>
    <w:p>
      <w:pPr>
        <w:spacing w:after="0" w:line="189" w:lineRule="exact"/>
        <w:rPr>
          <w:sz w:val="20"/>
          <w:szCs w:val="20"/>
          <w:color w:val="auto"/>
        </w:rPr>
      </w:pPr>
    </w:p>
    <w:p>
      <w:pPr>
        <w:ind w:left="340"/>
        <w:spacing w:after="0"/>
        <w:rPr>
          <w:sz w:val="20"/>
          <w:szCs w:val="20"/>
          <w:color w:val="auto"/>
        </w:rPr>
      </w:pPr>
      <w:r>
        <w:rPr>
          <w:rFonts w:ascii="Arial" w:cs="Arial" w:eastAsia="Arial" w:hAnsi="Arial"/>
          <w:sz w:val="22"/>
          <w:szCs w:val="22"/>
          <w:b w:val="1"/>
          <w:bCs w:val="1"/>
          <w:color w:val="auto"/>
        </w:rPr>
        <w:t>Challenge in the Short-sell Report (Short-sell Report, p.18):</w:t>
      </w:r>
    </w:p>
    <w:p>
      <w:pPr>
        <w:spacing w:after="0" w:line="239" w:lineRule="exact"/>
        <w:rPr>
          <w:sz w:val="20"/>
          <w:szCs w:val="20"/>
          <w:color w:val="auto"/>
        </w:rPr>
      </w:pPr>
    </w:p>
    <w:p>
      <w:pPr>
        <w:ind w:left="340"/>
        <w:spacing w:after="0"/>
        <w:rPr>
          <w:sz w:val="20"/>
          <w:szCs w:val="20"/>
          <w:color w:val="auto"/>
        </w:rPr>
      </w:pPr>
      <w:r>
        <w:rPr>
          <w:rFonts w:ascii="Arial" w:cs="Arial" w:eastAsia="Arial" w:hAnsi="Arial"/>
          <w:sz w:val="22"/>
          <w:szCs w:val="22"/>
          <w:color w:val="auto"/>
        </w:rPr>
        <w:t>1.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1599565</wp:posOffset>
            </wp:positionH>
            <wp:positionV relativeFrom="paragraph">
              <wp:posOffset>6985</wp:posOffset>
            </wp:positionV>
            <wp:extent cx="3977640" cy="254571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3977640" cy="25457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ind w:left="340"/>
        <w:spacing w:after="0"/>
        <w:rPr>
          <w:sz w:val="20"/>
          <w:szCs w:val="20"/>
          <w:color w:val="auto"/>
        </w:rPr>
      </w:pPr>
      <w:r>
        <w:rPr>
          <w:rFonts w:ascii="Arial" w:cs="Arial" w:eastAsia="Arial" w:hAnsi="Arial"/>
          <w:sz w:val="22"/>
          <w:szCs w:val="22"/>
          <w:color w:val="auto"/>
        </w:rPr>
        <w:t>At least three of these agents are related parties whose relationship has not been disclosed to U.S. investors.”</w:t>
      </w:r>
    </w:p>
    <w:p>
      <w:pPr>
        <w:spacing w:after="0" w:line="233" w:lineRule="exact"/>
        <w:rPr>
          <w:sz w:val="20"/>
          <w:szCs w:val="20"/>
          <w:color w:val="auto"/>
        </w:rPr>
      </w:pPr>
    </w:p>
    <w:p>
      <w:pPr>
        <w:jc w:val="both"/>
        <w:ind w:firstLine="332"/>
        <w:spacing w:after="0" w:line="238" w:lineRule="auto"/>
        <w:tabs>
          <w:tab w:leader="none" w:pos="586" w:val="left"/>
        </w:tabs>
        <w:numPr>
          <w:ilvl w:val="0"/>
          <w:numId w:val="133"/>
        </w:numPr>
        <w:rPr>
          <w:rFonts w:ascii="Arial" w:cs="Arial" w:eastAsia="Arial" w:hAnsi="Arial"/>
          <w:sz w:val="22"/>
          <w:szCs w:val="22"/>
          <w:color w:val="auto"/>
        </w:rPr>
      </w:pPr>
      <w:r>
        <w:rPr>
          <w:rFonts w:ascii="Arial" w:cs="Arial" w:eastAsia="Arial" w:hAnsi="Arial"/>
          <w:sz w:val="22"/>
          <w:szCs w:val="22"/>
          <w:color w:val="auto"/>
        </w:rPr>
        <w:t>“Lida is responsible for 41% of ACMR 2019 sales and is owned by an undisclosed related party. The ¥15.26 mln commission that ACMR reported paying to Lida in 2019 represented 45% of Lida’s income. These facts are disclosed to the Chinese regulator in response to questions about the draft registration document. But the English-language 8-K fails to mention these things.”</w:t>
      </w:r>
    </w:p>
    <w:p>
      <w:pPr>
        <w:spacing w:after="0" w:line="390"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8-4-1-98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02" w:name="page103"/>
    <w:bookmarkEnd w:id="102"/>
    <w:p>
      <w:pPr>
        <w:ind w:left="340"/>
        <w:spacing w:after="0"/>
        <w:rPr>
          <w:sz w:val="20"/>
          <w:szCs w:val="20"/>
          <w:color w:val="auto"/>
        </w:rPr>
      </w:pPr>
      <w:r>
        <w:rPr>
          <w:rFonts w:ascii="Arial" w:cs="Arial" w:eastAsia="Arial" w:hAnsi="Arial"/>
          <w:sz w:val="22"/>
          <w:szCs w:val="22"/>
          <w:b w:val="1"/>
          <w:bCs w:val="1"/>
          <w:color w:val="auto"/>
        </w:rPr>
        <w:t>Response:</w:t>
      </w:r>
    </w:p>
    <w:p>
      <w:pPr>
        <w:spacing w:after="0" w:line="234" w:lineRule="exact"/>
        <w:rPr>
          <w:sz w:val="20"/>
          <w:szCs w:val="20"/>
          <w:color w:val="auto"/>
        </w:rPr>
      </w:pPr>
    </w:p>
    <w:p>
      <w:pPr>
        <w:ind w:left="340"/>
        <w:spacing w:after="0"/>
        <w:rPr>
          <w:sz w:val="20"/>
          <w:szCs w:val="20"/>
          <w:color w:val="auto"/>
        </w:rPr>
      </w:pPr>
      <w:r>
        <w:rPr>
          <w:rFonts w:ascii="Arial" w:cs="Arial" w:eastAsia="Arial" w:hAnsi="Arial"/>
          <w:sz w:val="22"/>
          <w:szCs w:val="22"/>
          <w:b w:val="1"/>
          <w:bCs w:val="1"/>
          <w:color w:val="auto"/>
        </w:rPr>
        <w:t>I. Clarification by the Issuer</w:t>
      </w:r>
    </w:p>
    <w:p>
      <w:pPr>
        <w:spacing w:after="0" w:line="233" w:lineRule="exact"/>
        <w:rPr>
          <w:sz w:val="20"/>
          <w:szCs w:val="20"/>
          <w:color w:val="auto"/>
        </w:rPr>
      </w:pPr>
    </w:p>
    <w:p>
      <w:pPr>
        <w:ind w:left="340"/>
        <w:spacing w:after="0"/>
        <w:rPr>
          <w:sz w:val="20"/>
          <w:szCs w:val="20"/>
          <w:color w:val="auto"/>
        </w:rPr>
      </w:pPr>
      <w:r>
        <w:rPr>
          <w:rFonts w:ascii="Arial" w:cs="Arial" w:eastAsia="Arial" w:hAnsi="Arial"/>
          <w:sz w:val="22"/>
          <w:szCs w:val="22"/>
          <w:b w:val="1"/>
          <w:bCs w:val="1"/>
          <w:color w:val="auto"/>
        </w:rPr>
        <w:t>(i) Information Disclosure by ACMR on the Issuer’s IPO</w:t>
      </w:r>
    </w:p>
    <w:p>
      <w:pPr>
        <w:spacing w:after="0" w:line="246" w:lineRule="exact"/>
        <w:rPr>
          <w:sz w:val="20"/>
          <w:szCs w:val="20"/>
          <w:color w:val="auto"/>
        </w:rPr>
      </w:pPr>
    </w:p>
    <w:p>
      <w:pPr>
        <w:ind w:left="340"/>
        <w:spacing w:after="0"/>
        <w:rPr>
          <w:sz w:val="20"/>
          <w:szCs w:val="20"/>
          <w:color w:val="auto"/>
        </w:rPr>
      </w:pPr>
      <w:r>
        <w:rPr>
          <w:rFonts w:ascii="Arial" w:cs="Arial" w:eastAsia="Arial" w:hAnsi="Arial"/>
          <w:sz w:val="17"/>
          <w:szCs w:val="17"/>
          <w:color w:val="auto"/>
        </w:rPr>
        <w:t>According to the information disclosure documents of ACMR, ACMR has made the following written information disclosures on the IPO of the</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Issuer:</w:t>
      </w:r>
    </w:p>
    <w:p>
      <w:pPr>
        <w:spacing w:after="0" w:line="238" w:lineRule="exact"/>
        <w:rPr>
          <w:sz w:val="20"/>
          <w:szCs w:val="20"/>
          <w:color w:val="auto"/>
        </w:rPr>
      </w:pPr>
    </w:p>
    <w:p>
      <w:pPr>
        <w:jc w:val="both"/>
        <w:ind w:firstLine="332"/>
        <w:spacing w:after="0" w:line="286" w:lineRule="auto"/>
        <w:tabs>
          <w:tab w:leader="none" w:pos="511" w:val="left"/>
        </w:tabs>
        <w:numPr>
          <w:ilvl w:val="0"/>
          <w:numId w:val="134"/>
        </w:numPr>
        <w:rPr>
          <w:rFonts w:ascii="Arial" w:cs="Arial" w:eastAsia="Arial" w:hAnsi="Arial"/>
          <w:sz w:val="17"/>
          <w:szCs w:val="17"/>
          <w:color w:val="auto"/>
        </w:rPr>
      </w:pPr>
      <w:r>
        <w:rPr>
          <w:rFonts w:ascii="Arial" w:cs="Arial" w:eastAsia="Arial" w:hAnsi="Arial"/>
          <w:sz w:val="17"/>
          <w:szCs w:val="17"/>
          <w:color w:val="auto"/>
        </w:rPr>
        <w:t>ACMR has disclosed the information relating to the IPO, such as the listing plan of ACMSH, the introduction of investors, the investment projects with raised funds, the English translation of ACMSH’s Prospectus as well as the commitments executed by ACMSH’s controlling shareholder and de facto controller, etc., in the regular reports or interim reports among its filings with the U.S. Securities and Exchange Commission (“SEC”).</w:t>
      </w:r>
    </w:p>
    <w:p>
      <w:pPr>
        <w:spacing w:after="0" w:line="192" w:lineRule="exact"/>
        <w:rPr>
          <w:rFonts w:ascii="Arial" w:cs="Arial" w:eastAsia="Arial" w:hAnsi="Arial"/>
          <w:sz w:val="17"/>
          <w:szCs w:val="17"/>
          <w:color w:val="auto"/>
        </w:rPr>
      </w:pPr>
    </w:p>
    <w:p>
      <w:pPr>
        <w:ind w:firstLine="332"/>
        <w:spacing w:after="0" w:line="277" w:lineRule="auto"/>
        <w:tabs>
          <w:tab w:leader="none" w:pos="513" w:val="left"/>
        </w:tabs>
        <w:numPr>
          <w:ilvl w:val="0"/>
          <w:numId w:val="134"/>
        </w:numPr>
        <w:rPr>
          <w:rFonts w:ascii="Arial" w:cs="Arial" w:eastAsia="Arial" w:hAnsi="Arial"/>
          <w:sz w:val="18"/>
          <w:szCs w:val="18"/>
          <w:color w:val="auto"/>
        </w:rPr>
      </w:pPr>
      <w:r>
        <w:rPr>
          <w:rFonts w:ascii="Arial" w:cs="Arial" w:eastAsia="Arial" w:hAnsi="Arial"/>
          <w:sz w:val="18"/>
          <w:szCs w:val="18"/>
          <w:color w:val="auto"/>
        </w:rPr>
        <w:t>ACMR has issued relevant press releases on its official website (at https://www.acmrcsh.com/, the same below) discussing or mentioning the IPO, including the plan and schedule of the IPO of the issuer, as well as the two rounds of pre-IPO equity financing.</w:t>
      </w:r>
    </w:p>
    <w:p>
      <w:pPr>
        <w:spacing w:after="0" w:line="197" w:lineRule="exact"/>
        <w:rPr>
          <w:rFonts w:ascii="Arial" w:cs="Arial" w:eastAsia="Arial" w:hAnsi="Arial"/>
          <w:sz w:val="18"/>
          <w:szCs w:val="18"/>
          <w:color w:val="auto"/>
        </w:rPr>
      </w:pPr>
    </w:p>
    <w:p>
      <w:pPr>
        <w:ind w:left="520" w:hanging="188"/>
        <w:spacing w:after="0"/>
        <w:tabs>
          <w:tab w:leader="none" w:pos="520" w:val="left"/>
        </w:tabs>
        <w:numPr>
          <w:ilvl w:val="0"/>
          <w:numId w:val="134"/>
        </w:numPr>
        <w:rPr>
          <w:rFonts w:ascii="Arial" w:cs="Arial" w:eastAsia="Arial" w:hAnsi="Arial"/>
          <w:sz w:val="18"/>
          <w:szCs w:val="18"/>
          <w:color w:val="auto"/>
        </w:rPr>
      </w:pPr>
      <w:r>
        <w:rPr>
          <w:rFonts w:ascii="Arial" w:cs="Arial" w:eastAsia="Arial" w:hAnsi="Arial"/>
          <w:sz w:val="18"/>
          <w:szCs w:val="18"/>
          <w:color w:val="auto"/>
        </w:rPr>
        <w:t>ACMR has made references to the IPO in certain Investor Presentations that have been posted on its website.</w:t>
      </w:r>
    </w:p>
    <w:p>
      <w:pPr>
        <w:spacing w:after="0" w:line="252"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In sum, ACMR has made disclosures with respect to the IPO in its filings with the SEC, which it believes, after consultation with its U.S. lawyers as to SEC disclosure requirements, are appropriate and compliant.</w:t>
      </w:r>
    </w:p>
    <w:p>
      <w:pPr>
        <w:spacing w:after="0" w:line="193"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(ii) The SEC Does Not Require Disclosure of Detailed Information on Agent</w:t>
      </w:r>
    </w:p>
    <w:p>
      <w:pPr>
        <w:spacing w:after="0" w:line="256" w:lineRule="exact"/>
        <w:rPr>
          <w:sz w:val="20"/>
          <w:szCs w:val="20"/>
          <w:color w:val="auto"/>
        </w:rPr>
      </w:pPr>
    </w:p>
    <w:p>
      <w:pPr>
        <w:jc w:val="both"/>
        <w:ind w:firstLine="332"/>
        <w:spacing w:after="0" w:line="293" w:lineRule="auto"/>
        <w:tabs>
          <w:tab w:leader="none" w:pos="530" w:val="left"/>
        </w:tabs>
        <w:numPr>
          <w:ilvl w:val="0"/>
          <w:numId w:val="135"/>
        </w:numPr>
        <w:rPr>
          <w:rFonts w:ascii="Arial" w:cs="Arial" w:eastAsia="Arial" w:hAnsi="Arial"/>
          <w:sz w:val="16"/>
          <w:szCs w:val="16"/>
          <w:color w:val="auto"/>
        </w:rPr>
      </w:pPr>
      <w:r>
        <w:rPr>
          <w:rFonts w:ascii="Arial" w:cs="Arial" w:eastAsia="Arial" w:hAnsi="Arial"/>
          <w:sz w:val="16"/>
          <w:szCs w:val="16"/>
          <w:color w:val="auto"/>
        </w:rPr>
        <w:t>ACMR has disclosed the practice of paying commissions to its third-party agents in the “Management’s Discussion and Analysis of Financial Condition and Results of Operations” section of its annual report. After consultation with its U.S. lawyers, ACMR understands that SEC disclosure requirements generally do not require that a reporting company specifically identify its third-party agents, absent the status of those agents as “related parties.” In accordance with the relevant SEC disclosure requirements (Regulation S-K Item 101, Description of Business), ACMR is required to disclose a customer’s name and its relationship with the company if sales to that customer are 10% or more of the company’s consolidated revenues and the information is material to an understanding of the company’s business, but no similar disclosure is required with respect to third-party agents.</w:t>
      </w:r>
    </w:p>
    <w:p>
      <w:pPr>
        <w:spacing w:after="0" w:line="191" w:lineRule="exact"/>
        <w:rPr>
          <w:rFonts w:ascii="Arial" w:cs="Arial" w:eastAsia="Arial" w:hAnsi="Arial"/>
          <w:sz w:val="16"/>
          <w:szCs w:val="16"/>
          <w:color w:val="auto"/>
        </w:rPr>
      </w:pPr>
    </w:p>
    <w:p>
      <w:pPr>
        <w:ind w:firstLine="332"/>
        <w:spacing w:after="0" w:line="277" w:lineRule="auto"/>
        <w:tabs>
          <w:tab w:leader="none" w:pos="532" w:val="left"/>
        </w:tabs>
        <w:numPr>
          <w:ilvl w:val="0"/>
          <w:numId w:val="135"/>
        </w:numPr>
        <w:rPr>
          <w:rFonts w:ascii="Arial" w:cs="Arial" w:eastAsia="Arial" w:hAnsi="Arial"/>
          <w:sz w:val="18"/>
          <w:szCs w:val="18"/>
          <w:color w:val="auto"/>
        </w:rPr>
      </w:pPr>
      <w:r>
        <w:rPr>
          <w:rFonts w:ascii="Arial" w:cs="Arial" w:eastAsia="Arial" w:hAnsi="Arial"/>
          <w:sz w:val="18"/>
          <w:szCs w:val="18"/>
          <w:color w:val="auto"/>
        </w:rPr>
        <w:t>After consultation with its U.S. lawyers with respect to the scope of applicable SEC disclosure requirements, ACMR understand that a listed company might be required to identify its agents as “related persons” in the following circumstances:</w:t>
      </w:r>
    </w:p>
    <w:p>
      <w:pPr>
        <w:spacing w:after="0" w:line="197"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The SEC disclosure requirements (Regulation S-K Item 404, Transactions with related persons, promoters and certain control persons) require that ACMR describe any transaction in which ACMR was or is to be a participant if (a) the amount involved exceeds $120,000 and (b) any related person had or will have a direct or indirect material interest. A “related person” of a company is defined to be: (1) an executive officer or director (or director nominee) of the company, (ii) a shareholder owning more than 5% of any class of the company’s voting securities, or (iii) an immediate family member of any of the above.</w:t>
      </w: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8-4-1-99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1" w:right="339" w:bottom="1440" w:gutter="0" w:footer="0" w:header="0"/>
        </w:sectPr>
      </w:pPr>
    </w:p>
    <w:bookmarkStart w:id="103" w:name="page104"/>
    <w:bookmarkEnd w:id="103"/>
    <w:p>
      <w:pPr>
        <w:ind w:right="20" w:firstLine="324"/>
        <w:spacing w:after="0" w:line="277" w:lineRule="auto"/>
        <w:rPr>
          <w:sz w:val="20"/>
          <w:szCs w:val="20"/>
          <w:color w:val="auto"/>
        </w:rPr>
      </w:pPr>
      <w:r>
        <w:rPr>
          <w:rFonts w:ascii="Arial" w:cs="Arial" w:eastAsia="Arial" w:hAnsi="Arial"/>
          <w:sz w:val="18"/>
          <w:szCs w:val="18"/>
          <w:color w:val="auto"/>
        </w:rPr>
        <w:t>As no agent of the Issuer is a related person as defined by SEC disclosure requirements, ACMR believes it is not required to disclose the information of agents in related-party transactions.</w:t>
      </w:r>
    </w:p>
    <w:p>
      <w:pPr>
        <w:spacing w:after="0" w:line="197" w:lineRule="exact"/>
        <w:rPr>
          <w:sz w:val="20"/>
          <w:szCs w:val="20"/>
          <w:color w:val="auto"/>
        </w:rPr>
      </w:pPr>
    </w:p>
    <w:p>
      <w:pPr>
        <w:jc w:val="both"/>
        <w:ind w:firstLine="332"/>
        <w:spacing w:after="0" w:line="257" w:lineRule="auto"/>
        <w:tabs>
          <w:tab w:leader="none" w:pos="526" w:val="left"/>
        </w:tabs>
        <w:numPr>
          <w:ilvl w:val="0"/>
          <w:numId w:val="136"/>
        </w:numPr>
        <w:rPr>
          <w:rFonts w:ascii="Arial" w:cs="Arial" w:eastAsia="Arial" w:hAnsi="Arial"/>
          <w:sz w:val="18"/>
          <w:szCs w:val="18"/>
          <w:color w:val="auto"/>
        </w:rPr>
      </w:pPr>
      <w:r>
        <w:rPr>
          <w:rFonts w:ascii="Arial" w:cs="Arial" w:eastAsia="Arial" w:hAnsi="Arial"/>
          <w:sz w:val="18"/>
          <w:szCs w:val="18"/>
          <w:color w:val="auto"/>
        </w:rPr>
        <w:t>In conclusion, based upon an analysis of the facts in accordance with the disclosure obligations identified by the U.S. lawyers, the information disclosure filings by ACMR with the SEC comply with the relevant SEC disclosure requirements and there are no relevant NASDAQ listing rules, Delaware laws or other applicable laws or regulations of the SEC governing information disclosure that require ACMR to disclose specific detailed information on agents that are not within the definition of related parties. Therefore there is no legal basis for the Short-sell Report to challenge that ACMR failed to disclose the relevant information on agents.</w:t>
      </w:r>
    </w:p>
    <w:p>
      <w:pPr>
        <w:spacing w:after="0" w:line="211" w:lineRule="exact"/>
        <w:rPr>
          <w:sz w:val="20"/>
          <w:szCs w:val="20"/>
          <w:color w:val="auto"/>
        </w:rPr>
      </w:pPr>
    </w:p>
    <w:p>
      <w:pPr>
        <w:ind w:left="560" w:hanging="228"/>
        <w:spacing w:after="0"/>
        <w:tabs>
          <w:tab w:leader="none" w:pos="560" w:val="left"/>
        </w:tabs>
        <w:numPr>
          <w:ilvl w:val="0"/>
          <w:numId w:val="137"/>
        </w:numPr>
        <w:rPr>
          <w:rFonts w:ascii="Arial" w:cs="Arial" w:eastAsia="Arial" w:hAnsi="Arial"/>
          <w:sz w:val="18"/>
          <w:szCs w:val="18"/>
          <w:b w:val="1"/>
          <w:bCs w:val="1"/>
          <w:color w:val="auto"/>
        </w:rPr>
      </w:pPr>
      <w:r>
        <w:rPr>
          <w:rFonts w:ascii="Arial" w:cs="Arial" w:eastAsia="Arial" w:hAnsi="Arial"/>
          <w:sz w:val="18"/>
          <w:szCs w:val="18"/>
          <w:b w:val="1"/>
          <w:bCs w:val="1"/>
          <w:color w:val="auto"/>
        </w:rPr>
        <w:t>Verification Procedures and Opinions</w:t>
      </w:r>
    </w:p>
    <w:p>
      <w:pPr>
        <w:spacing w:after="0" w:line="252" w:lineRule="exact"/>
        <w:rPr>
          <w:rFonts w:ascii="Arial" w:cs="Arial" w:eastAsia="Arial" w:hAnsi="Arial"/>
          <w:sz w:val="18"/>
          <w:szCs w:val="18"/>
          <w:b w:val="1"/>
          <w:bCs w:val="1"/>
          <w:color w:val="auto"/>
        </w:rPr>
      </w:pPr>
    </w:p>
    <w:p>
      <w:pPr>
        <w:ind w:left="340"/>
        <w:spacing w:after="0"/>
        <w:rPr>
          <w:rFonts w:ascii="Arial" w:cs="Arial" w:eastAsia="Arial" w:hAnsi="Arial"/>
          <w:sz w:val="18"/>
          <w:szCs w:val="18"/>
          <w:b w:val="1"/>
          <w:bCs w:val="1"/>
          <w:color w:val="auto"/>
        </w:rPr>
      </w:pPr>
      <w:r>
        <w:rPr>
          <w:rFonts w:ascii="Arial" w:cs="Arial" w:eastAsia="Arial" w:hAnsi="Arial"/>
          <w:sz w:val="18"/>
          <w:szCs w:val="18"/>
          <w:b w:val="1"/>
          <w:bCs w:val="1"/>
          <w:color w:val="auto"/>
        </w:rPr>
        <w:t>(i) Verification Procedures</w:t>
      </w:r>
    </w:p>
    <w:p>
      <w:pPr>
        <w:spacing w:after="0" w:line="256" w:lineRule="exact"/>
        <w:rPr>
          <w:sz w:val="20"/>
          <w:szCs w:val="20"/>
          <w:color w:val="auto"/>
        </w:rPr>
      </w:pPr>
    </w:p>
    <w:p>
      <w:pPr>
        <w:ind w:left="340"/>
        <w:spacing w:after="0"/>
        <w:rPr>
          <w:sz w:val="20"/>
          <w:szCs w:val="20"/>
          <w:color w:val="auto"/>
        </w:rPr>
      </w:pPr>
      <w:r>
        <w:rPr>
          <w:rFonts w:ascii="Arial" w:cs="Arial" w:eastAsia="Arial" w:hAnsi="Arial"/>
          <w:sz w:val="18"/>
          <w:szCs w:val="18"/>
          <w:color w:val="auto"/>
        </w:rPr>
        <w:t>Before the release of the Short-sell Report, the Sponsor performed the following verification procedures:</w:t>
      </w:r>
    </w:p>
    <w:p>
      <w:pPr>
        <w:spacing w:after="0" w:line="252" w:lineRule="exact"/>
        <w:rPr>
          <w:sz w:val="20"/>
          <w:szCs w:val="20"/>
          <w:color w:val="auto"/>
        </w:rPr>
      </w:pPr>
    </w:p>
    <w:p>
      <w:pPr>
        <w:jc w:val="both"/>
        <w:ind w:firstLine="332"/>
        <w:spacing w:after="0" w:line="259" w:lineRule="auto"/>
        <w:tabs>
          <w:tab w:leader="none" w:pos="516" w:val="left"/>
        </w:tabs>
        <w:numPr>
          <w:ilvl w:val="0"/>
          <w:numId w:val="138"/>
        </w:numPr>
        <w:rPr>
          <w:rFonts w:ascii="Arial" w:cs="Arial" w:eastAsia="Arial" w:hAnsi="Arial"/>
          <w:sz w:val="18"/>
          <w:szCs w:val="18"/>
          <w:color w:val="auto"/>
        </w:rPr>
      </w:pPr>
      <w:r>
        <w:rPr>
          <w:rFonts w:ascii="Arial" w:cs="Arial" w:eastAsia="Arial" w:hAnsi="Arial"/>
          <w:sz w:val="18"/>
          <w:szCs w:val="18"/>
          <w:color w:val="auto"/>
        </w:rPr>
        <w:t>Reviewing legal guidance provided to ACMR by overseas lawyers, reviewing Regulation Fair Disclosure of the SEC on Selective Disclosure and Insider Trading and the NASDAQ listing rules, having access to the websites of the SEC and ACMR to check the information disclosure documents of ACMR such as announcements, press releases and investor presentations related to the IPO issued by ACMR, and checking the relevant information disclosure by ACMR on the carve-out concerning the listing of the Issuer on the STAR MARKET;</w:t>
      </w:r>
    </w:p>
    <w:p>
      <w:pPr>
        <w:spacing w:after="0" w:line="213" w:lineRule="exact"/>
        <w:rPr>
          <w:rFonts w:ascii="Arial" w:cs="Arial" w:eastAsia="Arial" w:hAnsi="Arial"/>
          <w:sz w:val="18"/>
          <w:szCs w:val="18"/>
          <w:color w:val="auto"/>
        </w:rPr>
      </w:pPr>
    </w:p>
    <w:p>
      <w:pPr>
        <w:jc w:val="both"/>
        <w:ind w:firstLine="332"/>
        <w:spacing w:after="0" w:line="263" w:lineRule="auto"/>
        <w:tabs>
          <w:tab w:leader="none" w:pos="539" w:val="left"/>
        </w:tabs>
        <w:numPr>
          <w:ilvl w:val="0"/>
          <w:numId w:val="138"/>
        </w:numPr>
        <w:rPr>
          <w:rFonts w:ascii="Arial" w:cs="Arial" w:eastAsia="Arial" w:hAnsi="Arial"/>
          <w:sz w:val="18"/>
          <w:szCs w:val="18"/>
          <w:color w:val="auto"/>
        </w:rPr>
      </w:pPr>
      <w:r>
        <w:rPr>
          <w:rFonts w:ascii="Arial" w:cs="Arial" w:eastAsia="Arial" w:hAnsi="Arial"/>
          <w:sz w:val="18"/>
          <w:szCs w:val="18"/>
          <w:color w:val="auto"/>
        </w:rPr>
        <w:t>Reviewing legal guidance provided to ACMR by overseas lawyers and the information disclosure documents of ACMR to confirm that the information disclosures of ACMR after its listing on NASDAQ have not been subject to any government investigation, lawsuit, arbitration or administrative punishment, or any NASDAQ inquiry for non-compliance with relevant laws and regulations; and</w:t>
      </w:r>
    </w:p>
    <w:p>
      <w:pPr>
        <w:spacing w:after="0" w:line="210" w:lineRule="exact"/>
        <w:rPr>
          <w:rFonts w:ascii="Arial" w:cs="Arial" w:eastAsia="Arial" w:hAnsi="Arial"/>
          <w:sz w:val="18"/>
          <w:szCs w:val="18"/>
          <w:color w:val="auto"/>
        </w:rPr>
      </w:pPr>
    </w:p>
    <w:p>
      <w:pPr>
        <w:ind w:left="520" w:hanging="188"/>
        <w:spacing w:after="0"/>
        <w:tabs>
          <w:tab w:leader="none" w:pos="520" w:val="left"/>
        </w:tabs>
        <w:numPr>
          <w:ilvl w:val="0"/>
          <w:numId w:val="138"/>
        </w:numPr>
        <w:rPr>
          <w:rFonts w:ascii="Arial" w:cs="Arial" w:eastAsia="Arial" w:hAnsi="Arial"/>
          <w:sz w:val="18"/>
          <w:szCs w:val="18"/>
          <w:color w:val="auto"/>
        </w:rPr>
      </w:pPr>
      <w:r>
        <w:rPr>
          <w:rFonts w:ascii="Arial" w:cs="Arial" w:eastAsia="Arial" w:hAnsi="Arial"/>
          <w:sz w:val="18"/>
          <w:szCs w:val="18"/>
          <w:color w:val="auto"/>
        </w:rPr>
        <w:t>Reviewing the annual reports and quarterly reports of ACMR to understand its disclosures relating to agents.</w:t>
      </w:r>
    </w:p>
    <w:p>
      <w:pPr>
        <w:spacing w:after="0" w:line="252"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After the release of the Short-sell Report, the Sponsor performed the following further procedures with respect to the foregoing:</w:t>
      </w:r>
    </w:p>
    <w:p>
      <w:pPr>
        <w:spacing w:after="0" w:line="252" w:lineRule="exact"/>
        <w:rPr>
          <w:sz w:val="20"/>
          <w:szCs w:val="20"/>
          <w:color w:val="auto"/>
        </w:rPr>
      </w:pPr>
    </w:p>
    <w:p>
      <w:pPr>
        <w:ind w:right="20" w:firstLine="332"/>
        <w:spacing w:after="0" w:line="277" w:lineRule="auto"/>
        <w:tabs>
          <w:tab w:leader="none" w:pos="514" w:val="left"/>
        </w:tabs>
        <w:numPr>
          <w:ilvl w:val="0"/>
          <w:numId w:val="139"/>
        </w:numPr>
        <w:rPr>
          <w:rFonts w:ascii="Arial" w:cs="Arial" w:eastAsia="Arial" w:hAnsi="Arial"/>
          <w:sz w:val="18"/>
          <w:szCs w:val="18"/>
          <w:color w:val="auto"/>
        </w:rPr>
      </w:pPr>
      <w:r>
        <w:rPr>
          <w:rFonts w:ascii="Arial" w:cs="Arial" w:eastAsia="Arial" w:hAnsi="Arial"/>
          <w:sz w:val="18"/>
          <w:szCs w:val="18"/>
          <w:color w:val="auto"/>
        </w:rPr>
        <w:t>Seeking the legal guidance of overseas lawyers through e-mail to assist in determining whether ACMR’s disclosure of information with respect to the agents complies with laws and regulations; and</w:t>
      </w:r>
    </w:p>
    <w:p>
      <w:pPr>
        <w:spacing w:after="0" w:line="197" w:lineRule="exact"/>
        <w:rPr>
          <w:rFonts w:ascii="Arial" w:cs="Arial" w:eastAsia="Arial" w:hAnsi="Arial"/>
          <w:sz w:val="18"/>
          <w:szCs w:val="18"/>
          <w:color w:val="auto"/>
        </w:rPr>
      </w:pPr>
    </w:p>
    <w:p>
      <w:pPr>
        <w:ind w:left="520" w:hanging="188"/>
        <w:spacing w:after="0"/>
        <w:tabs>
          <w:tab w:leader="none" w:pos="520" w:val="left"/>
        </w:tabs>
        <w:numPr>
          <w:ilvl w:val="0"/>
          <w:numId w:val="139"/>
        </w:numPr>
        <w:rPr>
          <w:rFonts w:ascii="Arial" w:cs="Arial" w:eastAsia="Arial" w:hAnsi="Arial"/>
          <w:sz w:val="16"/>
          <w:szCs w:val="16"/>
          <w:color w:val="auto"/>
        </w:rPr>
      </w:pPr>
      <w:r>
        <w:rPr>
          <w:rFonts w:ascii="Arial" w:cs="Arial" w:eastAsia="Arial" w:hAnsi="Arial"/>
          <w:sz w:val="16"/>
          <w:szCs w:val="16"/>
          <w:color w:val="auto"/>
        </w:rPr>
        <w:t>Reviewing relevant provisions of the SEC Disclosure Requirements (Regulation S-K Item 101, Description of Business and Regulation S-K Item</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404).</w:t>
      </w: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8-4-1-100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04" w:name="page105"/>
    <w:bookmarkEnd w:id="104"/>
    <w:p>
      <w:pPr>
        <w:ind w:left="340"/>
        <w:spacing w:after="0"/>
        <w:rPr>
          <w:sz w:val="20"/>
          <w:szCs w:val="20"/>
          <w:color w:val="auto"/>
        </w:rPr>
      </w:pPr>
      <w:r>
        <w:rPr>
          <w:rFonts w:ascii="Arial" w:cs="Arial" w:eastAsia="Arial" w:hAnsi="Arial"/>
          <w:sz w:val="22"/>
          <w:szCs w:val="22"/>
          <w:b w:val="1"/>
          <w:bCs w:val="1"/>
          <w:color w:val="auto"/>
        </w:rPr>
        <w:t>(ii) Verification Opinions</w:t>
      </w:r>
    </w:p>
    <w:p>
      <w:pPr>
        <w:spacing w:after="0" w:line="240" w:lineRule="exact"/>
        <w:rPr>
          <w:sz w:val="20"/>
          <w:szCs w:val="20"/>
          <w:color w:val="auto"/>
        </w:rPr>
      </w:pPr>
    </w:p>
    <w:p>
      <w:pPr>
        <w:ind w:left="340"/>
        <w:spacing w:after="0"/>
        <w:rPr>
          <w:sz w:val="20"/>
          <w:szCs w:val="20"/>
          <w:color w:val="auto"/>
        </w:rPr>
      </w:pPr>
      <w:r>
        <w:rPr>
          <w:rFonts w:ascii="Arial" w:cs="Arial" w:eastAsia="Arial" w:hAnsi="Arial"/>
          <w:sz w:val="22"/>
          <w:szCs w:val="22"/>
          <w:color w:val="auto"/>
        </w:rPr>
        <w:t>Upon verification, the Sponsor opines that:</w:t>
      </w:r>
    </w:p>
    <w:p>
      <w:pPr>
        <w:spacing w:after="0" w:line="233" w:lineRule="exact"/>
        <w:rPr>
          <w:sz w:val="20"/>
          <w:szCs w:val="20"/>
          <w:color w:val="auto"/>
        </w:rPr>
      </w:pPr>
    </w:p>
    <w:p>
      <w:pPr>
        <w:jc w:val="both"/>
        <w:ind w:right="20" w:firstLine="332"/>
        <w:spacing w:after="0" w:line="257" w:lineRule="auto"/>
        <w:tabs>
          <w:tab w:leader="none" w:pos="547" w:val="left"/>
        </w:tabs>
        <w:numPr>
          <w:ilvl w:val="0"/>
          <w:numId w:val="140"/>
        </w:numPr>
        <w:rPr>
          <w:rFonts w:ascii="Arial" w:cs="Arial" w:eastAsia="Arial" w:hAnsi="Arial"/>
          <w:sz w:val="21"/>
          <w:szCs w:val="21"/>
          <w:color w:val="auto"/>
        </w:rPr>
      </w:pPr>
      <w:r>
        <w:rPr>
          <w:rFonts w:ascii="Arial" w:cs="Arial" w:eastAsia="Arial" w:hAnsi="Arial"/>
          <w:sz w:val="21"/>
          <w:szCs w:val="21"/>
          <w:color w:val="auto"/>
        </w:rPr>
        <w:t>ACMR has made information disclosures concerning the IPO, and the disclosure of information by ACMR after its listing on NASDAQ complies with relevant laws and regulations, does not involve any government investigation, lawsuit, arbitration or administrative punishment, and has not received any SEC or NASDAQ inquiry with respect to the IPO;</w:t>
      </w:r>
    </w:p>
    <w:p>
      <w:pPr>
        <w:spacing w:after="0" w:line="196" w:lineRule="exact"/>
        <w:rPr>
          <w:rFonts w:ascii="Arial" w:cs="Arial" w:eastAsia="Arial" w:hAnsi="Arial"/>
          <w:sz w:val="21"/>
          <w:szCs w:val="21"/>
          <w:color w:val="auto"/>
        </w:rPr>
      </w:pPr>
    </w:p>
    <w:p>
      <w:pPr>
        <w:jc w:val="both"/>
        <w:ind w:firstLine="332"/>
        <w:spacing w:after="0" w:line="252" w:lineRule="auto"/>
        <w:tabs>
          <w:tab w:leader="none" w:pos="544" w:val="left"/>
        </w:tabs>
        <w:numPr>
          <w:ilvl w:val="0"/>
          <w:numId w:val="140"/>
        </w:numPr>
        <w:rPr>
          <w:rFonts w:ascii="Arial" w:cs="Arial" w:eastAsia="Arial" w:hAnsi="Arial"/>
          <w:sz w:val="21"/>
          <w:szCs w:val="21"/>
          <w:color w:val="auto"/>
        </w:rPr>
      </w:pPr>
      <w:r>
        <w:rPr>
          <w:rFonts w:ascii="Arial" w:cs="Arial" w:eastAsia="Arial" w:hAnsi="Arial"/>
          <w:sz w:val="21"/>
          <w:szCs w:val="21"/>
          <w:color w:val="auto"/>
        </w:rPr>
        <w:t>The information disclosure filings by ACMR with the SEC comply with the relevant SEC Disclosure Requirements. There are no relevant NASDAQ listing rules, Delaware laws and applicable laws and regulations of the SEC governing information disclosure that require ACMR to make information disclosure on agents. There is no legal basis at all for the Short-sell Report to challenge that ACMR failed to disclose the relevant information on agents.</w:t>
      </w:r>
    </w:p>
    <w:p>
      <w:pPr>
        <w:spacing w:after="0" w:line="195" w:lineRule="exact"/>
        <w:rPr>
          <w:sz w:val="20"/>
          <w:szCs w:val="20"/>
          <w:color w:val="auto"/>
        </w:rPr>
      </w:pPr>
    </w:p>
    <w:p>
      <w:pPr>
        <w:ind w:left="660" w:hanging="328"/>
        <w:spacing w:after="0"/>
        <w:tabs>
          <w:tab w:leader="none" w:pos="660" w:val="left"/>
        </w:tabs>
        <w:numPr>
          <w:ilvl w:val="0"/>
          <w:numId w:val="141"/>
        </w:numPr>
        <w:rPr>
          <w:rFonts w:ascii="Arial" w:cs="Arial" w:eastAsia="Arial" w:hAnsi="Arial"/>
          <w:sz w:val="19"/>
          <w:szCs w:val="19"/>
          <w:b w:val="1"/>
          <w:bCs w:val="1"/>
          <w:color w:val="auto"/>
        </w:rPr>
      </w:pPr>
      <w:r>
        <w:rPr>
          <w:rFonts w:ascii="Arial" w:cs="Arial" w:eastAsia="Arial" w:hAnsi="Arial"/>
          <w:sz w:val="19"/>
          <w:szCs w:val="19"/>
          <w:b w:val="1"/>
          <w:bCs w:val="1"/>
          <w:color w:val="auto"/>
        </w:rPr>
        <w:t>Other Challenge 17: About Other Challenges (Index of Verification in Response to the Short-sell Report, No.1, 2,</w:t>
      </w:r>
    </w:p>
    <w:p>
      <w:pPr>
        <w:spacing w:after="0" w:line="48" w:lineRule="exact"/>
        <w:rPr>
          <w:rFonts w:ascii="Arial" w:cs="Arial" w:eastAsia="Arial" w:hAnsi="Arial"/>
          <w:sz w:val="19"/>
          <w:szCs w:val="19"/>
          <w:b w:val="1"/>
          <w:bCs w:val="1"/>
          <w:color w:val="auto"/>
        </w:rPr>
      </w:pPr>
    </w:p>
    <w:p>
      <w:pPr>
        <w:spacing w:after="0"/>
        <w:rPr>
          <w:rFonts w:ascii="Arial" w:cs="Arial" w:eastAsia="Arial" w:hAnsi="Arial"/>
          <w:sz w:val="19"/>
          <w:szCs w:val="19"/>
          <w:b w:val="1"/>
          <w:bCs w:val="1"/>
          <w:color w:val="auto"/>
        </w:rPr>
      </w:pPr>
      <w:r>
        <w:rPr>
          <w:rFonts w:ascii="Arial" w:cs="Arial" w:eastAsia="Arial" w:hAnsi="Arial"/>
          <w:sz w:val="22"/>
          <w:szCs w:val="22"/>
          <w:b w:val="1"/>
          <w:bCs w:val="1"/>
          <w:color w:val="auto"/>
        </w:rPr>
        <w:t>31, 35)</w:t>
      </w:r>
    </w:p>
    <w:p>
      <w:pPr>
        <w:spacing w:after="0" w:line="209" w:lineRule="exact"/>
        <w:rPr>
          <w:sz w:val="20"/>
          <w:szCs w:val="20"/>
          <w:color w:val="auto"/>
        </w:rPr>
      </w:pPr>
    </w:p>
    <w:p>
      <w:pPr>
        <w:ind w:left="340"/>
        <w:spacing w:after="0"/>
        <w:rPr>
          <w:sz w:val="20"/>
          <w:szCs w:val="20"/>
          <w:color w:val="auto"/>
        </w:rPr>
      </w:pPr>
      <w:r>
        <w:rPr>
          <w:rFonts w:ascii="Arial" w:cs="Arial" w:eastAsia="Arial" w:hAnsi="Arial"/>
          <w:sz w:val="22"/>
          <w:szCs w:val="22"/>
          <w:b w:val="1"/>
          <w:bCs w:val="1"/>
          <w:color w:val="auto"/>
        </w:rPr>
        <w:t>Challenge in the Short-sell Report (Short-sell Report, pp.2, 3, 4, 33, 34, 41):</w:t>
      </w:r>
    </w:p>
    <w:p>
      <w:pPr>
        <w:spacing w:after="0" w:line="239" w:lineRule="exact"/>
        <w:rPr>
          <w:sz w:val="20"/>
          <w:szCs w:val="20"/>
          <w:color w:val="auto"/>
        </w:rPr>
      </w:pPr>
    </w:p>
    <w:p>
      <w:pPr>
        <w:jc w:val="both"/>
        <w:ind w:firstLine="332"/>
        <w:spacing w:after="0" w:line="287" w:lineRule="auto"/>
        <w:tabs>
          <w:tab w:leader="none" w:pos="556" w:val="left"/>
        </w:tabs>
        <w:numPr>
          <w:ilvl w:val="0"/>
          <w:numId w:val="142"/>
        </w:numPr>
        <w:rPr>
          <w:rFonts w:ascii="Arial" w:cs="Arial" w:eastAsia="Arial" w:hAnsi="Arial"/>
          <w:sz w:val="19"/>
          <w:szCs w:val="19"/>
          <w:color w:val="auto"/>
        </w:rPr>
      </w:pPr>
      <w:r>
        <w:rPr>
          <w:rFonts w:ascii="Arial" w:cs="Arial" w:eastAsia="Arial" w:hAnsi="Arial"/>
          <w:sz w:val="19"/>
          <w:szCs w:val="19"/>
          <w:color w:val="auto"/>
        </w:rPr>
        <w:t>“The team around ACMR is better known for stock promotion than for management. The former ACMR CFO, Xu Min, who left soon after the IPO to join China Online Education Group, was previously CFO of well-known fraud UTStarcom. Before that, Xu was a research analyst at Roth covering cleantech. Lisa Yilu Feng, CFO of the China subsidiary, formerly worked at Lumenis, an Israeli company at which two top executives were charged with revenue accounting fraud to inflate sales.</w:t>
      </w:r>
    </w:p>
    <w:p>
      <w:pPr>
        <w:spacing w:after="0" w:line="170" w:lineRule="exact"/>
        <w:rPr>
          <w:sz w:val="20"/>
          <w:szCs w:val="20"/>
          <w:color w:val="auto"/>
        </w:rPr>
      </w:pPr>
    </w:p>
    <w:p>
      <w:pPr>
        <w:ind w:right="20" w:firstLine="324"/>
        <w:spacing w:after="0" w:line="250" w:lineRule="auto"/>
        <w:rPr>
          <w:sz w:val="20"/>
          <w:szCs w:val="20"/>
          <w:color w:val="auto"/>
        </w:rPr>
      </w:pPr>
      <w:r>
        <w:rPr>
          <w:rFonts w:ascii="Arial" w:cs="Arial" w:eastAsia="Arial" w:hAnsi="Arial"/>
          <w:sz w:val="22"/>
          <w:szCs w:val="22"/>
          <w:color w:val="auto"/>
        </w:rPr>
        <w:t>The company’s auditor is Daniel Ho of BDO Shu Lun Pan. He has audited other companies widely regarded as frauds such as Orient Paper, now a penny stock trading as IT Tech, and Origin Agritech (SEED).”</w:t>
      </w:r>
    </w:p>
    <w:p>
      <w:pPr>
        <w:spacing w:after="0" w:line="202" w:lineRule="exact"/>
        <w:rPr>
          <w:sz w:val="20"/>
          <w:szCs w:val="20"/>
          <w:color w:val="auto"/>
        </w:rPr>
      </w:pPr>
    </w:p>
    <w:p>
      <w:pPr>
        <w:jc w:val="both"/>
        <w:ind w:firstLine="332"/>
        <w:spacing w:after="0" w:line="252" w:lineRule="auto"/>
        <w:tabs>
          <w:tab w:leader="none" w:pos="554" w:val="left"/>
        </w:tabs>
        <w:numPr>
          <w:ilvl w:val="0"/>
          <w:numId w:val="143"/>
        </w:numPr>
        <w:rPr>
          <w:rFonts w:ascii="Arial" w:cs="Arial" w:eastAsia="Arial" w:hAnsi="Arial"/>
          <w:sz w:val="21"/>
          <w:szCs w:val="21"/>
          <w:color w:val="auto"/>
        </w:rPr>
      </w:pPr>
      <w:r>
        <w:rPr>
          <w:rFonts w:ascii="Arial" w:cs="Arial" w:eastAsia="Arial" w:hAnsi="Arial"/>
          <w:sz w:val="21"/>
          <w:szCs w:val="21"/>
          <w:color w:val="auto"/>
        </w:rPr>
        <w:t>“We visited the ACMR office in California. The company reports five staff there. No one was on premises between 3:30 and 5 in the afternoon on a Wednesday. The company reports it pays $3,600 per month for the space; neighbors with similar spaces told us they paid from $1,400-$1,700. The amount, if overstated, is immaterial. But over months of looking at this company, we have come to feel that every number it publishes is inflated.”</w:t>
      </w:r>
    </w:p>
    <w:p>
      <w:pPr>
        <w:spacing w:after="0" w:line="200" w:lineRule="exact"/>
        <w:rPr>
          <w:rFonts w:ascii="Arial" w:cs="Arial" w:eastAsia="Arial" w:hAnsi="Arial"/>
          <w:sz w:val="21"/>
          <w:szCs w:val="21"/>
          <w:color w:val="auto"/>
        </w:rPr>
      </w:pPr>
    </w:p>
    <w:p>
      <w:pPr>
        <w:ind w:right="20" w:firstLine="332"/>
        <w:spacing w:after="0" w:line="250" w:lineRule="auto"/>
        <w:tabs>
          <w:tab w:leader="none" w:pos="585" w:val="left"/>
        </w:tabs>
        <w:numPr>
          <w:ilvl w:val="0"/>
          <w:numId w:val="143"/>
        </w:numPr>
        <w:rPr>
          <w:rFonts w:ascii="Arial" w:cs="Arial" w:eastAsia="Arial" w:hAnsi="Arial"/>
          <w:sz w:val="22"/>
          <w:szCs w:val="22"/>
          <w:color w:val="auto"/>
        </w:rPr>
      </w:pPr>
      <w:r>
        <w:rPr>
          <w:rFonts w:ascii="Arial" w:cs="Arial" w:eastAsia="Arial" w:hAnsi="Arial"/>
          <w:sz w:val="22"/>
          <w:szCs w:val="22"/>
          <w:color w:val="auto"/>
        </w:rPr>
        <w:t>“The company is pushing to IPO substantially all the company assets in Shanghai in order to raise cash. This will significantly dilute U.S. investors.”</w:t>
      </w:r>
    </w:p>
    <w:p>
      <w:pPr>
        <w:spacing w:after="0" w:line="196" w:lineRule="exact"/>
        <w:rPr>
          <w:sz w:val="20"/>
          <w:szCs w:val="20"/>
          <w:color w:val="auto"/>
        </w:rPr>
      </w:pPr>
    </w:p>
    <w:p>
      <w:pPr>
        <w:ind w:left="340"/>
        <w:spacing w:after="0"/>
        <w:rPr>
          <w:sz w:val="20"/>
          <w:szCs w:val="20"/>
          <w:color w:val="auto"/>
        </w:rPr>
      </w:pPr>
      <w:r>
        <w:rPr>
          <w:rFonts w:ascii="Arial" w:cs="Arial" w:eastAsia="Arial" w:hAnsi="Arial"/>
          <w:sz w:val="22"/>
          <w:szCs w:val="22"/>
          <w:b w:val="1"/>
          <w:bCs w:val="1"/>
          <w:color w:val="auto"/>
        </w:rPr>
        <w:t>Response:</w:t>
      </w:r>
    </w:p>
    <w:p>
      <w:pPr>
        <w:spacing w:after="0" w:line="233" w:lineRule="exact"/>
        <w:rPr>
          <w:sz w:val="20"/>
          <w:szCs w:val="20"/>
          <w:color w:val="auto"/>
        </w:rPr>
      </w:pPr>
    </w:p>
    <w:p>
      <w:pPr>
        <w:ind w:left="340"/>
        <w:spacing w:after="0"/>
        <w:rPr>
          <w:sz w:val="20"/>
          <w:szCs w:val="20"/>
          <w:color w:val="auto"/>
        </w:rPr>
      </w:pPr>
      <w:r>
        <w:rPr>
          <w:rFonts w:ascii="Arial" w:cs="Arial" w:eastAsia="Arial" w:hAnsi="Arial"/>
          <w:sz w:val="22"/>
          <w:szCs w:val="22"/>
          <w:b w:val="1"/>
          <w:bCs w:val="1"/>
          <w:color w:val="auto"/>
        </w:rPr>
        <w:t>I. Clarification by the Issuer</w:t>
      </w:r>
    </w:p>
    <w:p>
      <w:pPr>
        <w:spacing w:after="0" w:line="233" w:lineRule="exact"/>
        <w:rPr>
          <w:sz w:val="20"/>
          <w:szCs w:val="20"/>
          <w:color w:val="auto"/>
        </w:rPr>
      </w:pPr>
    </w:p>
    <w:p>
      <w:pPr>
        <w:ind w:left="340"/>
        <w:spacing w:after="0"/>
        <w:rPr>
          <w:sz w:val="20"/>
          <w:szCs w:val="20"/>
          <w:color w:val="auto"/>
        </w:rPr>
      </w:pPr>
      <w:r>
        <w:rPr>
          <w:rFonts w:ascii="Arial" w:cs="Arial" w:eastAsia="Arial" w:hAnsi="Arial"/>
          <w:sz w:val="22"/>
          <w:szCs w:val="22"/>
          <w:b w:val="1"/>
          <w:bCs w:val="1"/>
          <w:color w:val="auto"/>
        </w:rPr>
        <w:t>(i) Clarification on the Company’s CFO and ACMR’s Auditor</w:t>
      </w:r>
    </w:p>
    <w:p>
      <w:pPr>
        <w:spacing w:after="0" w:line="246" w:lineRule="exact"/>
        <w:rPr>
          <w:sz w:val="20"/>
          <w:szCs w:val="20"/>
          <w:color w:val="auto"/>
        </w:rPr>
      </w:pPr>
    </w:p>
    <w:p>
      <w:pPr>
        <w:jc w:val="both"/>
        <w:ind w:firstLine="324"/>
        <w:spacing w:after="0" w:line="311" w:lineRule="auto"/>
        <w:rPr>
          <w:sz w:val="20"/>
          <w:szCs w:val="20"/>
          <w:color w:val="auto"/>
        </w:rPr>
      </w:pPr>
      <w:r>
        <w:rPr>
          <w:rFonts w:ascii="Arial" w:cs="Arial" w:eastAsia="Arial" w:hAnsi="Arial"/>
          <w:sz w:val="16"/>
          <w:szCs w:val="16"/>
          <w:color w:val="auto"/>
        </w:rPr>
        <w:t>LISA YI LU FENG, the CFO of the Company, did not participate in the accounting fraud to inflate sales of Lumenis, Ltd. alleged in the Short-sell Report; Daniel Ho, an employee of the auditor of ACMR, did not fail to discover due to incompetency accounting frauds as referenced in the Short-sell Report; MIN XU, the former CFO of ACMR, based on his tenure, had nothing to do with the frauds of UTStarcom referenced in the Short-sell Report.</w:t>
      </w:r>
    </w:p>
    <w:p>
      <w:pPr>
        <w:spacing w:after="0" w:line="347"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8-4-1-101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1" w:right="339" w:bottom="1440" w:gutter="0" w:footer="0" w:header="0"/>
        </w:sectPr>
      </w:pPr>
    </w:p>
    <w:bookmarkStart w:id="105" w:name="page106"/>
    <w:bookmarkEnd w:id="105"/>
    <w:p>
      <w:pPr>
        <w:ind w:left="340"/>
        <w:spacing w:after="0"/>
        <w:rPr>
          <w:sz w:val="20"/>
          <w:szCs w:val="20"/>
          <w:color w:val="auto"/>
        </w:rPr>
      </w:pPr>
      <w:r>
        <w:rPr>
          <w:rFonts w:ascii="Arial" w:cs="Arial" w:eastAsia="Arial" w:hAnsi="Arial"/>
          <w:sz w:val="19"/>
          <w:szCs w:val="19"/>
          <w:color w:val="auto"/>
        </w:rPr>
        <w:t>The Short-sell Report mismatches events and people at different time points, thereby misleading investors, as detailed below:</w:t>
      </w:r>
    </w:p>
    <w:p>
      <w:pPr>
        <w:spacing w:after="0" w:line="275" w:lineRule="exact"/>
        <w:rPr>
          <w:sz w:val="20"/>
          <w:szCs w:val="20"/>
          <w:color w:val="auto"/>
        </w:rPr>
      </w:pPr>
    </w:p>
    <w:p>
      <w:pPr>
        <w:jc w:val="both"/>
        <w:ind w:firstLine="332"/>
        <w:spacing w:after="0" w:line="301" w:lineRule="auto"/>
        <w:tabs>
          <w:tab w:leader="none" w:pos="505" w:val="left"/>
        </w:tabs>
        <w:numPr>
          <w:ilvl w:val="0"/>
          <w:numId w:val="144"/>
        </w:numPr>
        <w:rPr>
          <w:rFonts w:ascii="Arial" w:cs="Arial" w:eastAsia="Arial" w:hAnsi="Arial"/>
          <w:sz w:val="16"/>
          <w:szCs w:val="16"/>
          <w:color w:val="auto"/>
        </w:rPr>
      </w:pPr>
      <w:r>
        <w:rPr>
          <w:rFonts w:ascii="Arial" w:cs="Arial" w:eastAsia="Arial" w:hAnsi="Arial"/>
          <w:sz w:val="16"/>
          <w:szCs w:val="16"/>
          <w:color w:val="auto"/>
        </w:rPr>
        <w:t>According to the relevant announcements of UTStarcom, on July 24, 2007, UTStarcom released a self-examination report, indicating that an amount of USD28 million as stock incentive expenses was overstated in its financial statements in the preceding five years due to the adoption of a wrong option award date, resulting in a decrease in the company’s net profit. The audit committee under UTStarcom’s board of directors, after consultation with the company’s management, determined that the company’s previously submitted financial statements from 2000 to 2006 would no longer be reliable.</w:t>
      </w:r>
    </w:p>
    <w:p>
      <w:pPr>
        <w:spacing w:after="0" w:line="184"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MIN XU served as CFO of UTStarcom from August 21, 2014 to November 11, 2016, and served as CFO of ACMR from November 14, 2016 to January 24, 2018.</w:t>
      </w:r>
    </w:p>
    <w:p>
      <w:pPr>
        <w:spacing w:after="0" w:line="19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In sum, MIN XU has not associated with the relevant matters mentioned in UT Starcom’s self-examination report.</w:t>
      </w:r>
    </w:p>
    <w:p>
      <w:pPr>
        <w:spacing w:after="0" w:line="252" w:lineRule="exact"/>
        <w:rPr>
          <w:sz w:val="20"/>
          <w:szCs w:val="20"/>
          <w:color w:val="auto"/>
        </w:rPr>
      </w:pPr>
    </w:p>
    <w:p>
      <w:pPr>
        <w:jc w:val="both"/>
        <w:ind w:firstLine="332"/>
        <w:spacing w:after="0" w:line="290" w:lineRule="auto"/>
        <w:tabs>
          <w:tab w:leader="none" w:pos="522" w:val="left"/>
        </w:tabs>
        <w:numPr>
          <w:ilvl w:val="0"/>
          <w:numId w:val="145"/>
        </w:numPr>
        <w:rPr>
          <w:rFonts w:ascii="Arial" w:cs="Arial" w:eastAsia="Arial" w:hAnsi="Arial"/>
          <w:sz w:val="16"/>
          <w:szCs w:val="16"/>
          <w:color w:val="auto"/>
        </w:rPr>
      </w:pPr>
      <w:r>
        <w:rPr>
          <w:rFonts w:ascii="Arial" w:cs="Arial" w:eastAsia="Arial" w:hAnsi="Arial"/>
          <w:sz w:val="16"/>
          <w:szCs w:val="16"/>
          <w:color w:val="auto"/>
        </w:rPr>
        <w:t>LISA YI LU FENG, the CFO of the Company, never participated in the accounting fraud to inflate sales of Lumenis in Israel mentioned in the Short-sell Report. The Short-sell Report suggests that LISA YI LU FENG may have been involved in the alleged misconduct. According to the statement made by LISA YI LU FENG, there are misleading statements in the Short-sell Report: (1) the Lumenis-related event as referred to in the Short-sell Report is based on a lawsuit filed by the U.S. Federal Communications Commission against the CEO and CFO of Lumenis with respect to their inflating revenue in 2002 to 2003; (2) during this period, LISA YI LU FENG served as accounting director and was responsible for the general payments and receipts of several specific balance sheet accounts of Lumenis’s US subsidiary (acquired by Lumenis from Coherent Inc.); (3) LISA YI LU FENG neither had knowledge of nor participated in the revenue recognition reporting process of the parent company Lumenis, Ltd, which was headquartered in Israel; and (4) due to the existence of a multi-level executive directors, LISA YI LUFENG did not report directly to the CFO in the organization.</w:t>
      </w:r>
    </w:p>
    <w:p>
      <w:pPr>
        <w:spacing w:after="0" w:line="192" w:lineRule="exact"/>
        <w:rPr>
          <w:sz w:val="20"/>
          <w:szCs w:val="20"/>
          <w:color w:val="auto"/>
        </w:rPr>
      </w:pPr>
    </w:p>
    <w:p>
      <w:pPr>
        <w:ind w:firstLine="324"/>
        <w:spacing w:after="0" w:line="308" w:lineRule="auto"/>
        <w:rPr>
          <w:sz w:val="20"/>
          <w:szCs w:val="20"/>
          <w:color w:val="auto"/>
        </w:rPr>
      </w:pPr>
      <w:r>
        <w:rPr>
          <w:rFonts w:ascii="Arial" w:cs="Arial" w:eastAsia="Arial" w:hAnsi="Arial"/>
          <w:sz w:val="17"/>
          <w:szCs w:val="17"/>
          <w:color w:val="auto"/>
        </w:rPr>
        <w:t>Margaret Lin, a manager of Lumenis and the direct supervisor of LISA YI LU FENG, made a statement on this regard, confirming that LISA YI LU FENG had no decision-making as to the recognition of revenue during the period from 2001 to June 2003, when she worked for Lumenis, Ltd.</w:t>
      </w:r>
    </w:p>
    <w:p>
      <w:pPr>
        <w:spacing w:after="0" w:line="173"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Based on the above, the Company believes that LISA YI LU FENG has never been involved in the accounting fraud to inflate sales of Lumenis, Ltd., as alleged in the Short-sell Report.</w:t>
      </w:r>
    </w:p>
    <w:p>
      <w:pPr>
        <w:spacing w:after="0" w:line="197" w:lineRule="exact"/>
        <w:rPr>
          <w:sz w:val="20"/>
          <w:szCs w:val="20"/>
          <w:color w:val="auto"/>
        </w:rPr>
      </w:pPr>
    </w:p>
    <w:p>
      <w:pPr>
        <w:ind w:firstLine="332"/>
        <w:spacing w:after="0" w:line="277" w:lineRule="auto"/>
        <w:tabs>
          <w:tab w:leader="none" w:pos="508" w:val="left"/>
        </w:tabs>
        <w:numPr>
          <w:ilvl w:val="0"/>
          <w:numId w:val="146"/>
        </w:numPr>
        <w:rPr>
          <w:rFonts w:ascii="Arial" w:cs="Arial" w:eastAsia="Arial" w:hAnsi="Arial"/>
          <w:sz w:val="18"/>
          <w:szCs w:val="18"/>
          <w:color w:val="auto"/>
        </w:rPr>
      </w:pPr>
      <w:r>
        <w:rPr>
          <w:rFonts w:ascii="Arial" w:cs="Arial" w:eastAsia="Arial" w:hAnsi="Arial"/>
          <w:sz w:val="18"/>
          <w:szCs w:val="18"/>
          <w:color w:val="auto"/>
        </w:rPr>
        <w:t>Daniel Ho is a certified public accountant. The Short-sell Report alleges that “Daniel Ho has audited other companies widely regarded as frauds” to imply Daniel Ho was incompetent and failed to detect accounting frauds, which is misleading.</w:t>
      </w:r>
    </w:p>
    <w:p>
      <w:pPr>
        <w:spacing w:after="0" w:line="19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(1) Orient Paper, Inc.</w:t>
      </w:r>
    </w:p>
    <w:p>
      <w:pPr>
        <w:spacing w:after="0" w:line="252" w:lineRule="exact"/>
        <w:rPr>
          <w:sz w:val="20"/>
          <w:szCs w:val="20"/>
          <w:color w:val="auto"/>
        </w:rPr>
      </w:pPr>
    </w:p>
    <w:p>
      <w:pPr>
        <w:ind w:firstLine="324"/>
        <w:spacing w:after="0" w:line="342" w:lineRule="auto"/>
        <w:rPr>
          <w:sz w:val="20"/>
          <w:szCs w:val="20"/>
          <w:color w:val="auto"/>
        </w:rPr>
      </w:pPr>
      <w:r>
        <w:rPr>
          <w:rFonts w:ascii="Arial" w:cs="Arial" w:eastAsia="Arial" w:hAnsi="Arial"/>
          <w:sz w:val="16"/>
          <w:szCs w:val="16"/>
          <w:color w:val="auto"/>
        </w:rPr>
        <w:t>Orient Paper, Inc, a US-listed company (“Orient Paper”) at the time, was sold short by short sellers in 2010. The short-sell report pointed out that the company overstated profits and that the production and operation of its plants were far lower than the “scale and degree” shown by its financial data.</w:t>
      </w:r>
    </w:p>
    <w:p>
      <w:pPr>
        <w:spacing w:after="0" w:line="151" w:lineRule="exact"/>
        <w:rPr>
          <w:sz w:val="20"/>
          <w:szCs w:val="20"/>
          <w:color w:val="auto"/>
        </w:rPr>
      </w:pPr>
    </w:p>
    <w:p>
      <w:pPr>
        <w:ind w:left="340"/>
        <w:spacing w:after="0"/>
        <w:rPr>
          <w:sz w:val="20"/>
          <w:szCs w:val="20"/>
          <w:color w:val="auto"/>
        </w:rPr>
      </w:pPr>
      <w:r>
        <w:rPr>
          <w:rFonts w:ascii="Arial" w:cs="Arial" w:eastAsia="Arial" w:hAnsi="Arial"/>
          <w:sz w:val="16"/>
          <w:szCs w:val="16"/>
          <w:color w:val="auto"/>
        </w:rPr>
        <w:t>Orient Paper engaged Loeb &amp; Loeb, Deloitte Financial Consulting Services Limited and TransAsia Layers to jointly investigate the relevant charges.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However, the 4-month investigation found nothing to support the short sellers’ assertions.</w:t>
      </w: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8-4-1-102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06" w:name="page107"/>
    <w:bookmarkEnd w:id="106"/>
    <w:p>
      <w:pPr>
        <w:jc w:val="both"/>
        <w:ind w:firstLine="324"/>
        <w:spacing w:after="0" w:line="277" w:lineRule="auto"/>
        <w:rPr>
          <w:sz w:val="20"/>
          <w:szCs w:val="20"/>
          <w:color w:val="auto"/>
        </w:rPr>
      </w:pPr>
      <w:r>
        <w:rPr>
          <w:rFonts w:ascii="Arial" w:cs="Arial" w:eastAsia="Arial" w:hAnsi="Arial"/>
          <w:sz w:val="18"/>
          <w:szCs w:val="18"/>
          <w:color w:val="auto"/>
        </w:rPr>
        <w:t>The SEC began an informal investigation into Orient Paper in December 2010. In July 2013, Orient Paper announced that it had received notice from the SEC that SEC had completed an investigation into the company without intention to take any enforcement action.</w:t>
      </w:r>
    </w:p>
    <w:p>
      <w:pPr>
        <w:spacing w:after="0" w:line="197" w:lineRule="exact"/>
        <w:rPr>
          <w:sz w:val="20"/>
          <w:szCs w:val="20"/>
          <w:color w:val="auto"/>
        </w:rPr>
      </w:pPr>
    </w:p>
    <w:p>
      <w:pPr>
        <w:ind w:left="340"/>
        <w:spacing w:after="0"/>
        <w:rPr>
          <w:sz w:val="20"/>
          <w:szCs w:val="20"/>
          <w:color w:val="auto"/>
        </w:rPr>
      </w:pPr>
      <w:r>
        <w:rPr>
          <w:rFonts w:ascii="Arial" w:cs="Arial" w:eastAsia="Arial" w:hAnsi="Arial"/>
          <w:sz w:val="17"/>
          <w:szCs w:val="17"/>
          <w:color w:val="auto"/>
        </w:rPr>
        <w:t>Daniel Ho was responsible for the audit of Orient Paper in the fiscal year 2016, prior to which, he had never been involved in the audit thereof.</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Moreover, Orient Paper has not been found by the SEC upon up to three years of investigation to be fraudulent.</w:t>
      </w:r>
    </w:p>
    <w:p>
      <w:pPr>
        <w:spacing w:after="0" w:line="238" w:lineRule="exact"/>
        <w:rPr>
          <w:sz w:val="20"/>
          <w:szCs w:val="20"/>
          <w:color w:val="auto"/>
        </w:rPr>
      </w:pPr>
    </w:p>
    <w:p>
      <w:pPr>
        <w:ind w:left="340"/>
        <w:spacing w:after="0"/>
        <w:rPr>
          <w:sz w:val="20"/>
          <w:szCs w:val="20"/>
          <w:color w:val="auto"/>
        </w:rPr>
      </w:pPr>
      <w:r>
        <w:rPr>
          <w:rFonts w:ascii="Arial" w:cs="Arial" w:eastAsia="Arial" w:hAnsi="Arial"/>
          <w:sz w:val="18"/>
          <w:szCs w:val="18"/>
          <w:color w:val="auto"/>
        </w:rPr>
        <w:t>(2) Origin Agritech Ltd. (SEED)</w:t>
      </w:r>
    </w:p>
    <w:p>
      <w:pPr>
        <w:spacing w:after="0" w:line="252"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BDO CHINA SHU LUN PAN CERTIFIED PUBLIC ACCOUNTANTS LLP (“BDO”) was the auditor of Origin Agritech Ltd. from the fiscal year ended September 30, 2011 until January 3, 2020, when the audit committee and the board of directors of Origin Agritech Ltd. decided to hire BF Borgers CPA PC to replace BDO with respect to audit services.</w:t>
      </w:r>
    </w:p>
    <w:p>
      <w:pPr>
        <w:spacing w:after="0" w:line="211"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Daniel Ho worked on BDO’s audit of Origin Agritech, Ltd. since the end of fiscal year 2018, before which he had never participated in the audit work for BDO.</w:t>
      </w:r>
    </w:p>
    <w:p>
      <w:pPr>
        <w:spacing w:after="0" w:line="197"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To the best of BDO’s knowledge, Origin Agritech, Ltd. has never been accused by short sellers or other as engaging in fraud, nor has any event been found to have an impact on the financial statements of Origin Agritech, Ltd. audited by BDO.</w:t>
      </w:r>
    </w:p>
    <w:p>
      <w:pPr>
        <w:spacing w:after="0" w:line="197"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Based on the above, the Company considers the assertion in the Short-sell Report that “Daniel Ho has audited other companies widely regarded as frauds such as Orient Paper, now a penny stock trading as IT Tech, and Origin Agritech (SEED)” as misleading.</w:t>
      </w:r>
    </w:p>
    <w:p>
      <w:pPr>
        <w:spacing w:after="0" w:line="193"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(ii) Clarification on the working hours and rent of ACMR</w:t>
      </w:r>
    </w:p>
    <w:p>
      <w:pPr>
        <w:spacing w:after="0" w:line="256"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Due to the COVID-19 outbreak in the United State, ACMR has encouraged employees to work from home as much as possible. Therefore, the point in the Short-sell Report that “no one was on premises between 3:30 and 5 in the afternoon on a Wednesday” does not suggest any wrong-doing on that specific day.</w:t>
      </w:r>
    </w:p>
    <w:p>
      <w:pPr>
        <w:spacing w:after="0" w:line="211" w:lineRule="exact"/>
        <w:rPr>
          <w:sz w:val="20"/>
          <w:szCs w:val="20"/>
          <w:color w:val="auto"/>
        </w:rPr>
      </w:pPr>
    </w:p>
    <w:p>
      <w:pPr>
        <w:ind w:left="340"/>
        <w:spacing w:after="0"/>
        <w:rPr>
          <w:sz w:val="20"/>
          <w:szCs w:val="20"/>
          <w:color w:val="auto"/>
        </w:rPr>
      </w:pPr>
      <w:r>
        <w:rPr>
          <w:rFonts w:ascii="Arial" w:cs="Arial" w:eastAsia="Arial" w:hAnsi="Arial"/>
          <w:sz w:val="16"/>
          <w:szCs w:val="16"/>
          <w:color w:val="auto"/>
        </w:rPr>
        <w:t>The Issuer has disclosed in “Section VII.X.(II) Non-recurrent Related-party Transactions” of the Prospectus about the Issuer subletting partial space of</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ACMR to ACM CA:</w:t>
      </w:r>
    </w:p>
    <w:p>
      <w:pPr>
        <w:spacing w:after="0" w:line="238" w:lineRule="exact"/>
        <w:rPr>
          <w:sz w:val="20"/>
          <w:szCs w:val="20"/>
          <w:color w:val="auto"/>
        </w:rPr>
      </w:pPr>
    </w:p>
    <w:p>
      <w:pPr>
        <w:jc w:val="both"/>
        <w:ind w:firstLine="376"/>
        <w:spacing w:after="0" w:line="259" w:lineRule="auto"/>
        <w:rPr>
          <w:sz w:val="20"/>
          <w:szCs w:val="20"/>
          <w:color w:val="auto"/>
        </w:rPr>
      </w:pPr>
      <w:r>
        <w:rPr>
          <w:rFonts w:ascii="Arial" w:cs="Arial" w:eastAsia="Arial" w:hAnsi="Arial"/>
          <w:sz w:val="18"/>
          <w:szCs w:val="18"/>
          <w:color w:val="auto"/>
        </w:rPr>
        <w:t>“On January 1, 2020, ACM CA, a subsidiary of the Company, signed a sublease agreement with ACMR, stipulating that ACMR shall sublet 50% of the office space at 42307 Osgood Road, Room B, Suite I, Fremont, CA94539 that it leases from D&amp;J Construction. Inc. to ACM CA for a period from January 1, 2020 to March 31, 2021, at a monthly rent of USD1,650.00 from January 1, 2020 to March 31, 2020, and USD1,695.00 from April 1, 2020 to March 31, 2021.”</w:t>
      </w:r>
    </w:p>
    <w:p>
      <w:pPr>
        <w:spacing w:after="0" w:line="214" w:lineRule="exact"/>
        <w:rPr>
          <w:sz w:val="20"/>
          <w:szCs w:val="20"/>
          <w:color w:val="auto"/>
        </w:rPr>
      </w:pPr>
    </w:p>
    <w:p>
      <w:pPr>
        <w:jc w:val="both"/>
        <w:ind w:right="20" w:firstLine="324"/>
        <w:spacing w:after="0" w:line="311" w:lineRule="auto"/>
        <w:rPr>
          <w:sz w:val="20"/>
          <w:szCs w:val="20"/>
          <w:color w:val="auto"/>
        </w:rPr>
      </w:pPr>
      <w:r>
        <w:rPr>
          <w:rFonts w:ascii="Arial" w:cs="Arial" w:eastAsia="Arial" w:hAnsi="Arial"/>
          <w:sz w:val="16"/>
          <w:szCs w:val="16"/>
          <w:color w:val="auto"/>
        </w:rPr>
        <w:t>In the Short-sell Report, it is asserted that ACMR reports it pays USD3,600 per month for the space. Such rent was the overall monthly rent (including the partial space sublet to ACM CA) from April 1, 2020 to March 31, 2021. The reason for the difference between 50% of the monthly rent of USD3,600 and the monthly rent disclosed by the Issuer is that the monthly rent disclosed by the Issuer does not include the maintenance cost of the leased public area.</w:t>
      </w:r>
    </w:p>
    <w:p>
      <w:pPr>
        <w:spacing w:after="0" w:line="34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8-4-1-103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07" w:name="page108"/>
    <w:bookmarkEnd w:id="107"/>
    <w:p>
      <w:pPr>
        <w:jc w:val="both"/>
        <w:ind w:firstLine="324"/>
        <w:spacing w:after="0" w:line="251" w:lineRule="auto"/>
        <w:rPr>
          <w:sz w:val="20"/>
          <w:szCs w:val="20"/>
          <w:color w:val="auto"/>
        </w:rPr>
      </w:pPr>
      <w:r>
        <w:rPr>
          <w:rFonts w:ascii="Arial" w:cs="Arial" w:eastAsia="Arial" w:hAnsi="Arial"/>
          <w:sz w:val="22"/>
          <w:szCs w:val="22"/>
          <w:color w:val="auto"/>
        </w:rPr>
        <w:t>The Issuer has compared the market price of the office space leased by ACMR with that of the nearby leased office space as follows:</w:t>
      </w:r>
    </w:p>
    <w:p>
      <w:pPr>
        <w:spacing w:after="0" w:line="202" w:lineRule="exact"/>
        <w:rPr>
          <w:sz w:val="20"/>
          <w:szCs w:val="20"/>
          <w:color w:val="auto"/>
        </w:rPr>
      </w:pPr>
    </w:p>
    <w:tbl>
      <w:tblPr>
        <w:tblLayout w:type="fixed"/>
        <w:tblInd w:w="10" w:type="dxa"/>
        <w:tblCellMar>
          <w:top w:w="0" w:type="dxa"/>
          <w:left w:w="0" w:type="dxa"/>
          <w:bottom w:w="0" w:type="dxa"/>
          <w:right w:w="0" w:type="dxa"/>
        </w:tblCellMar>
      </w:tblPr>
      <w:tr>
        <w:trPr>
          <w:trHeight w:val="250"/>
        </w:trPr>
        <w:tc>
          <w:tcPr>
            <w:tcW w:w="1020" w:type="dxa"/>
            <w:vAlign w:val="bottom"/>
            <w:tcBorders>
              <w:top w:val="single" w:sz="8" w:color="auto"/>
              <w:left w:val="single" w:sz="8" w:color="auto"/>
              <w:bottom w:val="single" w:sz="8" w:color="auto"/>
            </w:tcBorders>
          </w:tcPr>
          <w:p>
            <w:pPr>
              <w:spacing w:after="0"/>
              <w:rPr>
                <w:sz w:val="21"/>
                <w:szCs w:val="21"/>
                <w:color w:val="auto"/>
              </w:rPr>
            </w:pPr>
          </w:p>
        </w:tc>
        <w:tc>
          <w:tcPr>
            <w:tcW w:w="6860" w:type="dxa"/>
            <w:vAlign w:val="bottom"/>
            <w:tcBorders>
              <w:top w:val="single" w:sz="8" w:color="auto"/>
              <w:bottom w:val="single" w:sz="8" w:color="auto"/>
              <w:right w:val="single" w:sz="8" w:color="auto"/>
            </w:tcBorders>
          </w:tcPr>
          <w:p>
            <w:pPr>
              <w:ind w:left="2620"/>
              <w:spacing w:after="0"/>
              <w:rPr>
                <w:sz w:val="20"/>
                <w:szCs w:val="20"/>
                <w:color w:val="auto"/>
              </w:rPr>
            </w:pPr>
            <w:r>
              <w:rPr>
                <w:rFonts w:ascii="Arial" w:cs="Arial" w:eastAsia="Arial" w:hAnsi="Arial"/>
                <w:sz w:val="18"/>
                <w:szCs w:val="18"/>
                <w:b w:val="1"/>
                <w:bCs w:val="1"/>
                <w:color w:val="auto"/>
              </w:rPr>
              <w:t>Address</w:t>
            </w:r>
          </w:p>
        </w:tc>
        <w:tc>
          <w:tcPr>
            <w:tcW w:w="3360" w:type="dxa"/>
            <w:vAlign w:val="bottom"/>
            <w:tcBorders>
              <w:top w:val="single" w:sz="8" w:color="auto"/>
              <w:bottom w:val="single" w:sz="8" w:color="auto"/>
              <w:right w:val="single" w:sz="8" w:color="auto"/>
            </w:tcBorders>
          </w:tcPr>
          <w:p>
            <w:pPr>
              <w:ind w:left="1120"/>
              <w:spacing w:after="0"/>
              <w:rPr>
                <w:sz w:val="20"/>
                <w:szCs w:val="20"/>
                <w:color w:val="auto"/>
              </w:rPr>
            </w:pPr>
            <w:r>
              <w:rPr>
                <w:rFonts w:ascii="Arial" w:cs="Arial" w:eastAsia="Arial" w:hAnsi="Arial"/>
                <w:sz w:val="18"/>
                <w:szCs w:val="18"/>
                <w:b w:val="1"/>
                <w:bCs w:val="1"/>
                <w:color w:val="auto"/>
              </w:rPr>
              <w:t>Monthly Rent</w:t>
            </w:r>
          </w:p>
        </w:tc>
      </w:tr>
      <w:tr>
        <w:trPr>
          <w:trHeight w:val="223"/>
        </w:trPr>
        <w:tc>
          <w:tcPr>
            <w:tcW w:w="7880" w:type="dxa"/>
            <w:vAlign w:val="bottom"/>
            <w:tcBorders>
              <w:left w:val="single" w:sz="8" w:color="auto"/>
              <w:bottom w:val="single" w:sz="8" w:color="auto"/>
              <w:right w:val="single" w:sz="8" w:color="auto"/>
            </w:tcBorders>
            <w:gridSpan w:val="2"/>
          </w:tcPr>
          <w:p>
            <w:pPr>
              <w:ind w:left="40"/>
              <w:spacing w:after="0"/>
              <w:rPr>
                <w:sz w:val="20"/>
                <w:szCs w:val="20"/>
                <w:color w:val="auto"/>
              </w:rPr>
            </w:pPr>
            <w:r>
              <w:rPr>
                <w:rFonts w:ascii="Arial" w:cs="Arial" w:eastAsia="Arial" w:hAnsi="Arial"/>
                <w:sz w:val="18"/>
                <w:szCs w:val="18"/>
                <w:color w:val="auto"/>
              </w:rPr>
              <w:t>ACMR (42307 Osgood Road, room B, suite I, Fremont)</w:t>
            </w:r>
          </w:p>
        </w:tc>
        <w:tc>
          <w:tcPr>
            <w:tcW w:w="3360" w:type="dxa"/>
            <w:vAlign w:val="bottom"/>
            <w:tcBorders>
              <w:bottom w:val="single" w:sz="8" w:color="auto"/>
              <w:right w:val="single" w:sz="8" w:color="auto"/>
            </w:tcBorders>
          </w:tcPr>
          <w:p>
            <w:pPr>
              <w:ind w:left="2200"/>
              <w:spacing w:after="0"/>
              <w:rPr>
                <w:sz w:val="20"/>
                <w:szCs w:val="20"/>
                <w:color w:val="auto"/>
              </w:rPr>
            </w:pPr>
            <w:r>
              <w:rPr>
                <w:rFonts w:ascii="Arial" w:cs="Arial" w:eastAsia="Arial" w:hAnsi="Arial"/>
                <w:sz w:val="18"/>
                <w:szCs w:val="18"/>
                <w:color w:val="auto"/>
                <w:w w:val="91"/>
              </w:rPr>
              <w:t>USD1.13 / sq ft</w:t>
            </w:r>
          </w:p>
        </w:tc>
      </w:tr>
      <w:tr>
        <w:trPr>
          <w:trHeight w:val="223"/>
        </w:trPr>
        <w:tc>
          <w:tcPr>
            <w:tcW w:w="1020" w:type="dxa"/>
            <w:vAlign w:val="bottom"/>
            <w:tcBorders>
              <w:left w:val="single" w:sz="8" w:color="auto"/>
              <w:bottom w:val="single" w:sz="8" w:color="auto"/>
            </w:tcBorders>
          </w:tcPr>
          <w:p>
            <w:pPr>
              <w:ind w:left="40"/>
              <w:spacing w:after="0"/>
              <w:rPr>
                <w:sz w:val="20"/>
                <w:szCs w:val="20"/>
                <w:color w:val="auto"/>
              </w:rPr>
            </w:pPr>
            <w:r>
              <w:rPr>
                <w:rFonts w:ascii="Arial" w:cs="Arial" w:eastAsia="Arial" w:hAnsi="Arial"/>
                <w:sz w:val="18"/>
                <w:szCs w:val="18"/>
                <w:color w:val="auto"/>
                <w:w w:val="90"/>
              </w:rPr>
              <w:t>47800-47810</w:t>
            </w:r>
          </w:p>
        </w:tc>
        <w:tc>
          <w:tcPr>
            <w:tcW w:w="68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WestingHouse Dr, Fremont, CA</w:t>
            </w:r>
          </w:p>
        </w:tc>
        <w:tc>
          <w:tcPr>
            <w:tcW w:w="3360" w:type="dxa"/>
            <w:vAlign w:val="bottom"/>
            <w:tcBorders>
              <w:bottom w:val="single" w:sz="8" w:color="auto"/>
              <w:right w:val="single" w:sz="8" w:color="auto"/>
            </w:tcBorders>
          </w:tcPr>
          <w:p>
            <w:pPr>
              <w:ind w:left="2200"/>
              <w:spacing w:after="0"/>
              <w:rPr>
                <w:sz w:val="20"/>
                <w:szCs w:val="20"/>
                <w:color w:val="auto"/>
              </w:rPr>
            </w:pPr>
            <w:r>
              <w:rPr>
                <w:rFonts w:ascii="Arial" w:cs="Arial" w:eastAsia="Arial" w:hAnsi="Arial"/>
                <w:sz w:val="18"/>
                <w:szCs w:val="18"/>
                <w:color w:val="auto"/>
                <w:w w:val="91"/>
              </w:rPr>
              <w:t>USD1.40 / sq ft</w:t>
            </w:r>
          </w:p>
        </w:tc>
      </w:tr>
      <w:tr>
        <w:trPr>
          <w:trHeight w:val="223"/>
        </w:trPr>
        <w:tc>
          <w:tcPr>
            <w:tcW w:w="1020" w:type="dxa"/>
            <w:vAlign w:val="bottom"/>
            <w:tcBorders>
              <w:left w:val="single" w:sz="8" w:color="auto"/>
              <w:bottom w:val="single" w:sz="8" w:color="auto"/>
            </w:tcBorders>
          </w:tcPr>
          <w:p>
            <w:pPr>
              <w:ind w:left="40"/>
              <w:spacing w:after="0"/>
              <w:rPr>
                <w:sz w:val="20"/>
                <w:szCs w:val="20"/>
                <w:color w:val="auto"/>
              </w:rPr>
            </w:pPr>
            <w:r>
              <w:rPr>
                <w:rFonts w:ascii="Arial" w:cs="Arial" w:eastAsia="Arial" w:hAnsi="Arial"/>
                <w:sz w:val="18"/>
                <w:szCs w:val="18"/>
                <w:color w:val="auto"/>
                <w:w w:val="90"/>
              </w:rPr>
              <w:t>43297-43301</w:t>
            </w:r>
          </w:p>
        </w:tc>
        <w:tc>
          <w:tcPr>
            <w:tcW w:w="68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Osgood Rd, Fremont, CA</w:t>
            </w:r>
          </w:p>
        </w:tc>
        <w:tc>
          <w:tcPr>
            <w:tcW w:w="3360" w:type="dxa"/>
            <w:vAlign w:val="bottom"/>
            <w:tcBorders>
              <w:bottom w:val="single" w:sz="8" w:color="auto"/>
              <w:right w:val="single" w:sz="8" w:color="auto"/>
            </w:tcBorders>
          </w:tcPr>
          <w:p>
            <w:pPr>
              <w:ind w:left="2200"/>
              <w:spacing w:after="0"/>
              <w:rPr>
                <w:sz w:val="20"/>
                <w:szCs w:val="20"/>
                <w:color w:val="auto"/>
              </w:rPr>
            </w:pPr>
            <w:r>
              <w:rPr>
                <w:rFonts w:ascii="Arial" w:cs="Arial" w:eastAsia="Arial" w:hAnsi="Arial"/>
                <w:sz w:val="18"/>
                <w:szCs w:val="18"/>
                <w:color w:val="auto"/>
                <w:w w:val="91"/>
              </w:rPr>
              <w:t>USD1.50 / sq ft</w:t>
            </w:r>
          </w:p>
        </w:tc>
      </w:tr>
      <w:tr>
        <w:trPr>
          <w:trHeight w:val="223"/>
        </w:trPr>
        <w:tc>
          <w:tcPr>
            <w:tcW w:w="7880" w:type="dxa"/>
            <w:vAlign w:val="bottom"/>
            <w:tcBorders>
              <w:left w:val="single" w:sz="8" w:color="auto"/>
              <w:bottom w:val="single" w:sz="8" w:color="auto"/>
              <w:right w:val="single" w:sz="8" w:color="auto"/>
            </w:tcBorders>
            <w:gridSpan w:val="2"/>
          </w:tcPr>
          <w:p>
            <w:pPr>
              <w:ind w:left="40"/>
              <w:spacing w:after="0"/>
              <w:rPr>
                <w:sz w:val="20"/>
                <w:szCs w:val="20"/>
                <w:color w:val="auto"/>
              </w:rPr>
            </w:pPr>
            <w:r>
              <w:rPr>
                <w:rFonts w:ascii="Arial" w:cs="Arial" w:eastAsia="Arial" w:hAnsi="Arial"/>
                <w:sz w:val="18"/>
                <w:szCs w:val="18"/>
                <w:color w:val="auto"/>
              </w:rPr>
              <w:t>47811-47825 Warm Springs Blvd, Fremont, CA</w:t>
            </w:r>
          </w:p>
        </w:tc>
        <w:tc>
          <w:tcPr>
            <w:tcW w:w="3360" w:type="dxa"/>
            <w:vAlign w:val="bottom"/>
            <w:tcBorders>
              <w:bottom w:val="single" w:sz="8" w:color="auto"/>
              <w:right w:val="single" w:sz="8" w:color="auto"/>
            </w:tcBorders>
          </w:tcPr>
          <w:p>
            <w:pPr>
              <w:ind w:left="2200"/>
              <w:spacing w:after="0"/>
              <w:rPr>
                <w:sz w:val="20"/>
                <w:szCs w:val="20"/>
                <w:color w:val="auto"/>
              </w:rPr>
            </w:pPr>
            <w:r>
              <w:rPr>
                <w:rFonts w:ascii="Arial" w:cs="Arial" w:eastAsia="Arial" w:hAnsi="Arial"/>
                <w:sz w:val="18"/>
                <w:szCs w:val="18"/>
                <w:color w:val="auto"/>
                <w:w w:val="91"/>
              </w:rPr>
              <w:t>USD1.30 / sq ft</w:t>
            </w:r>
          </w:p>
        </w:tc>
      </w:tr>
      <w:tr>
        <w:trPr>
          <w:trHeight w:val="223"/>
        </w:trPr>
        <w:tc>
          <w:tcPr>
            <w:tcW w:w="7880" w:type="dxa"/>
            <w:vAlign w:val="bottom"/>
            <w:tcBorders>
              <w:left w:val="single" w:sz="8" w:color="auto"/>
              <w:bottom w:val="single" w:sz="8" w:color="auto"/>
              <w:right w:val="single" w:sz="8" w:color="auto"/>
            </w:tcBorders>
            <w:gridSpan w:val="2"/>
          </w:tcPr>
          <w:p>
            <w:pPr>
              <w:ind w:left="40"/>
              <w:spacing w:after="0"/>
              <w:rPr>
                <w:sz w:val="20"/>
                <w:szCs w:val="20"/>
                <w:color w:val="auto"/>
              </w:rPr>
            </w:pPr>
            <w:r>
              <w:rPr>
                <w:rFonts w:ascii="Arial" w:cs="Arial" w:eastAsia="Arial" w:hAnsi="Arial"/>
                <w:sz w:val="18"/>
                <w:szCs w:val="18"/>
                <w:color w:val="auto"/>
              </w:rPr>
              <w:t>41320 Boyce Rd, Fremont, CA</w:t>
            </w:r>
          </w:p>
        </w:tc>
        <w:tc>
          <w:tcPr>
            <w:tcW w:w="3360" w:type="dxa"/>
            <w:vAlign w:val="bottom"/>
            <w:tcBorders>
              <w:bottom w:val="single" w:sz="8" w:color="auto"/>
              <w:right w:val="single" w:sz="8" w:color="auto"/>
            </w:tcBorders>
          </w:tcPr>
          <w:p>
            <w:pPr>
              <w:ind w:left="2200"/>
              <w:spacing w:after="0"/>
              <w:rPr>
                <w:sz w:val="20"/>
                <w:szCs w:val="20"/>
                <w:color w:val="auto"/>
              </w:rPr>
            </w:pPr>
            <w:r>
              <w:rPr>
                <w:rFonts w:ascii="Arial" w:cs="Arial" w:eastAsia="Arial" w:hAnsi="Arial"/>
                <w:sz w:val="18"/>
                <w:szCs w:val="18"/>
                <w:color w:val="auto"/>
                <w:w w:val="91"/>
              </w:rPr>
              <w:t>USD1.35 / sq ft</w:t>
            </w:r>
          </w:p>
        </w:tc>
      </w:tr>
      <w:tr>
        <w:trPr>
          <w:trHeight w:val="223"/>
        </w:trPr>
        <w:tc>
          <w:tcPr>
            <w:tcW w:w="7880" w:type="dxa"/>
            <w:vAlign w:val="bottom"/>
            <w:tcBorders>
              <w:left w:val="single" w:sz="8" w:color="auto"/>
              <w:bottom w:val="single" w:sz="8" w:color="auto"/>
              <w:right w:val="single" w:sz="8" w:color="auto"/>
            </w:tcBorders>
            <w:gridSpan w:val="2"/>
          </w:tcPr>
          <w:p>
            <w:pPr>
              <w:ind w:left="40"/>
              <w:spacing w:after="0"/>
              <w:rPr>
                <w:sz w:val="20"/>
                <w:szCs w:val="20"/>
                <w:color w:val="auto"/>
              </w:rPr>
            </w:pPr>
            <w:r>
              <w:rPr>
                <w:rFonts w:ascii="Arial" w:cs="Arial" w:eastAsia="Arial" w:hAnsi="Arial"/>
                <w:sz w:val="18"/>
                <w:szCs w:val="18"/>
                <w:color w:val="auto"/>
              </w:rPr>
              <w:t>3777-3797 Spinnaker Ct, Fremont, CA</w:t>
            </w:r>
          </w:p>
        </w:tc>
        <w:tc>
          <w:tcPr>
            <w:tcW w:w="3360" w:type="dxa"/>
            <w:vAlign w:val="bottom"/>
            <w:tcBorders>
              <w:bottom w:val="single" w:sz="8" w:color="auto"/>
              <w:right w:val="single" w:sz="8" w:color="auto"/>
            </w:tcBorders>
          </w:tcPr>
          <w:p>
            <w:pPr>
              <w:ind w:left="2200"/>
              <w:spacing w:after="0"/>
              <w:rPr>
                <w:sz w:val="20"/>
                <w:szCs w:val="20"/>
                <w:color w:val="auto"/>
              </w:rPr>
            </w:pPr>
            <w:r>
              <w:rPr>
                <w:rFonts w:ascii="Arial" w:cs="Arial" w:eastAsia="Arial" w:hAnsi="Arial"/>
                <w:sz w:val="18"/>
                <w:szCs w:val="18"/>
                <w:color w:val="auto"/>
                <w:w w:val="91"/>
              </w:rPr>
              <w:t>USD1.30 / sq ft</w:t>
            </w:r>
          </w:p>
        </w:tc>
      </w:tr>
    </w:tbl>
    <w:p>
      <w:pPr>
        <w:spacing w:after="0" w:line="222" w:lineRule="exact"/>
        <w:rPr>
          <w:sz w:val="20"/>
          <w:szCs w:val="20"/>
          <w:color w:val="auto"/>
        </w:rPr>
      </w:pPr>
    </w:p>
    <w:p>
      <w:pPr>
        <w:jc w:val="both"/>
        <w:ind w:right="20" w:firstLine="324"/>
        <w:spacing w:after="0" w:line="250" w:lineRule="auto"/>
        <w:rPr>
          <w:sz w:val="20"/>
          <w:szCs w:val="20"/>
          <w:color w:val="auto"/>
        </w:rPr>
      </w:pPr>
      <w:r>
        <w:rPr>
          <w:rFonts w:ascii="Arial" w:cs="Arial" w:eastAsia="Arial" w:hAnsi="Arial"/>
          <w:sz w:val="22"/>
          <w:szCs w:val="22"/>
          <w:color w:val="auto"/>
        </w:rPr>
        <w:t>Note: The rental market prices of office spaces close in distance to and similar in size with the office space of ACMR are searched via Internet for the comparison.</w:t>
      </w:r>
    </w:p>
    <w:p>
      <w:pPr>
        <w:spacing w:after="0" w:line="202" w:lineRule="exact"/>
        <w:rPr>
          <w:sz w:val="20"/>
          <w:szCs w:val="20"/>
          <w:color w:val="auto"/>
        </w:rPr>
      </w:pPr>
    </w:p>
    <w:p>
      <w:pPr>
        <w:jc w:val="both"/>
        <w:ind w:right="20" w:firstLine="324"/>
        <w:spacing w:after="0" w:line="250" w:lineRule="auto"/>
        <w:rPr>
          <w:sz w:val="20"/>
          <w:szCs w:val="20"/>
          <w:color w:val="auto"/>
        </w:rPr>
      </w:pPr>
      <w:r>
        <w:rPr>
          <w:rFonts w:ascii="Arial" w:cs="Arial" w:eastAsia="Arial" w:hAnsi="Arial"/>
          <w:sz w:val="22"/>
          <w:szCs w:val="22"/>
          <w:color w:val="auto"/>
        </w:rPr>
        <w:t>As shown in the table above, the rental fee of ACMR’s office space in California is generally consistent with the local rental market price.</w:t>
      </w:r>
    </w:p>
    <w:p>
      <w:pPr>
        <w:spacing w:after="0" w:line="196" w:lineRule="exact"/>
        <w:rPr>
          <w:sz w:val="20"/>
          <w:szCs w:val="20"/>
          <w:color w:val="auto"/>
        </w:rPr>
      </w:pPr>
    </w:p>
    <w:p>
      <w:pPr>
        <w:ind w:left="340"/>
        <w:spacing w:after="0"/>
        <w:rPr>
          <w:sz w:val="20"/>
          <w:szCs w:val="20"/>
          <w:color w:val="auto"/>
        </w:rPr>
      </w:pPr>
      <w:r>
        <w:rPr>
          <w:rFonts w:ascii="Arial" w:cs="Arial" w:eastAsia="Arial" w:hAnsi="Arial"/>
          <w:sz w:val="22"/>
          <w:szCs w:val="22"/>
          <w:b w:val="1"/>
          <w:bCs w:val="1"/>
          <w:color w:val="auto"/>
        </w:rPr>
        <w:t>(iii) Clarification on the Company’s listing on the STAR Market diluting U.S. investors</w:t>
      </w:r>
    </w:p>
    <w:p>
      <w:pPr>
        <w:spacing w:after="0" w:line="246"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The Company’s listing on the STAR Market, on the one hand, is to improve the popularity of ACMR in China; and on the other hand, is a result after consideration of the financing cost as the financial cost on the STAR Market in China is lower than that on the NASDAQ in the United States. The price of ACMR’s second capital increase on NASDAQ in August 2019 was based on ACMR’s market capitalization of about RMB1.6 billion; while the price of the two capital increases of the Company in the middle and end of 2019 was based on the Company’s market capitalization of about RMB5 billion. As a result, the IPO financing in China will be less dilutive to ACMR’s shareholders. The allegation in the Short-sell Report that “this will significantly dilute U.S. investors” is incorrect.</w:t>
      </w:r>
    </w:p>
    <w:p>
      <w:pPr>
        <w:spacing w:after="0" w:line="215" w:lineRule="exact"/>
        <w:rPr>
          <w:sz w:val="20"/>
          <w:szCs w:val="20"/>
          <w:color w:val="auto"/>
        </w:rPr>
      </w:pPr>
    </w:p>
    <w:p>
      <w:pPr>
        <w:ind w:left="560" w:hanging="228"/>
        <w:spacing w:after="0"/>
        <w:tabs>
          <w:tab w:leader="none" w:pos="560" w:val="left"/>
        </w:tabs>
        <w:numPr>
          <w:ilvl w:val="0"/>
          <w:numId w:val="147"/>
        </w:numPr>
        <w:rPr>
          <w:rFonts w:ascii="Arial" w:cs="Arial" w:eastAsia="Arial" w:hAnsi="Arial"/>
          <w:sz w:val="18"/>
          <w:szCs w:val="18"/>
          <w:b w:val="1"/>
          <w:bCs w:val="1"/>
          <w:color w:val="auto"/>
        </w:rPr>
      </w:pPr>
      <w:r>
        <w:rPr>
          <w:rFonts w:ascii="Arial" w:cs="Arial" w:eastAsia="Arial" w:hAnsi="Arial"/>
          <w:sz w:val="18"/>
          <w:szCs w:val="18"/>
          <w:b w:val="1"/>
          <w:bCs w:val="1"/>
          <w:color w:val="auto"/>
        </w:rPr>
        <w:t>Verification Procedures and Opinions</w:t>
      </w:r>
    </w:p>
    <w:p>
      <w:pPr>
        <w:spacing w:after="0" w:line="252" w:lineRule="exact"/>
        <w:rPr>
          <w:rFonts w:ascii="Arial" w:cs="Arial" w:eastAsia="Arial" w:hAnsi="Arial"/>
          <w:sz w:val="18"/>
          <w:szCs w:val="18"/>
          <w:b w:val="1"/>
          <w:bCs w:val="1"/>
          <w:color w:val="auto"/>
        </w:rPr>
      </w:pPr>
    </w:p>
    <w:p>
      <w:pPr>
        <w:ind w:left="340"/>
        <w:spacing w:after="0"/>
        <w:rPr>
          <w:rFonts w:ascii="Arial" w:cs="Arial" w:eastAsia="Arial" w:hAnsi="Arial"/>
          <w:sz w:val="18"/>
          <w:szCs w:val="18"/>
          <w:b w:val="1"/>
          <w:bCs w:val="1"/>
          <w:color w:val="auto"/>
        </w:rPr>
      </w:pPr>
      <w:r>
        <w:rPr>
          <w:rFonts w:ascii="Arial" w:cs="Arial" w:eastAsia="Arial" w:hAnsi="Arial"/>
          <w:sz w:val="18"/>
          <w:szCs w:val="18"/>
          <w:b w:val="1"/>
          <w:bCs w:val="1"/>
          <w:color w:val="auto"/>
        </w:rPr>
        <w:t>(i) Verification Procedures</w:t>
      </w:r>
    </w:p>
    <w:p>
      <w:pPr>
        <w:spacing w:after="0" w:line="256" w:lineRule="exact"/>
        <w:rPr>
          <w:sz w:val="20"/>
          <w:szCs w:val="20"/>
          <w:color w:val="auto"/>
        </w:rPr>
      </w:pPr>
    </w:p>
    <w:p>
      <w:pPr>
        <w:ind w:left="340"/>
        <w:spacing w:after="0"/>
        <w:rPr>
          <w:sz w:val="20"/>
          <w:szCs w:val="20"/>
          <w:color w:val="auto"/>
        </w:rPr>
      </w:pPr>
      <w:r>
        <w:rPr>
          <w:rFonts w:ascii="Arial" w:cs="Arial" w:eastAsia="Arial" w:hAnsi="Arial"/>
          <w:sz w:val="18"/>
          <w:szCs w:val="18"/>
          <w:color w:val="auto"/>
        </w:rPr>
        <w:t>Before the release of the Short-sell Report, the Sponsor performed the following verification procedures:</w:t>
      </w:r>
    </w:p>
    <w:p>
      <w:pPr>
        <w:spacing w:after="0" w:line="252" w:lineRule="exact"/>
        <w:rPr>
          <w:sz w:val="20"/>
          <w:szCs w:val="20"/>
          <w:color w:val="auto"/>
        </w:rPr>
      </w:pPr>
    </w:p>
    <w:p>
      <w:pPr>
        <w:ind w:left="340"/>
        <w:spacing w:after="0"/>
        <w:rPr>
          <w:sz w:val="20"/>
          <w:szCs w:val="20"/>
          <w:color w:val="auto"/>
        </w:rPr>
      </w:pPr>
      <w:r>
        <w:rPr>
          <w:rFonts w:ascii="Arial" w:cs="Arial" w:eastAsia="Arial" w:hAnsi="Arial"/>
          <w:sz w:val="17"/>
          <w:szCs w:val="17"/>
          <w:color w:val="auto"/>
        </w:rPr>
        <w:t>1. Reviewing the questionnaire of LISA YI LU FENG and obtaining the certificate of non-violation of laws and regulations of LISA YI LU FENG;</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and</w:t>
      </w:r>
    </w:p>
    <w:p>
      <w:pPr>
        <w:spacing w:after="0" w:line="238" w:lineRule="exact"/>
        <w:rPr>
          <w:sz w:val="20"/>
          <w:szCs w:val="20"/>
          <w:color w:val="auto"/>
        </w:rPr>
      </w:pPr>
    </w:p>
    <w:p>
      <w:pPr>
        <w:ind w:left="340" w:right="100" w:hanging="8"/>
        <w:spacing w:after="0" w:line="559" w:lineRule="auto"/>
        <w:tabs>
          <w:tab w:leader="none" w:pos="520" w:val="left"/>
        </w:tabs>
        <w:numPr>
          <w:ilvl w:val="0"/>
          <w:numId w:val="148"/>
        </w:numPr>
        <w:rPr>
          <w:rFonts w:ascii="Arial" w:cs="Arial" w:eastAsia="Arial" w:hAnsi="Arial"/>
          <w:sz w:val="17"/>
          <w:szCs w:val="17"/>
          <w:color w:val="auto"/>
        </w:rPr>
      </w:pPr>
      <w:r>
        <w:rPr>
          <w:rFonts w:ascii="Arial" w:cs="Arial" w:eastAsia="Arial" w:hAnsi="Arial"/>
          <w:sz w:val="17"/>
          <w:szCs w:val="17"/>
          <w:color w:val="auto"/>
        </w:rPr>
        <w:t>Having access to the leasing agreement on the office space in California between ACMR and ACM CA to check whether the disclosure is accurate. After the release of the Short-sell Report, the Sponsor performed the following further procedures in response to other challenges:</w:t>
      </w:r>
    </w:p>
    <w:p>
      <w:pPr>
        <w:ind w:firstLine="332"/>
        <w:spacing w:after="0" w:line="250" w:lineRule="auto"/>
        <w:tabs>
          <w:tab w:leader="none" w:pos="552" w:val="left"/>
        </w:tabs>
        <w:numPr>
          <w:ilvl w:val="0"/>
          <w:numId w:val="149"/>
        </w:numPr>
        <w:rPr>
          <w:rFonts w:ascii="Arial" w:cs="Arial" w:eastAsia="Arial" w:hAnsi="Arial"/>
          <w:sz w:val="22"/>
          <w:szCs w:val="22"/>
          <w:color w:val="auto"/>
        </w:rPr>
      </w:pPr>
      <w:r>
        <w:rPr>
          <w:rFonts w:ascii="Arial" w:cs="Arial" w:eastAsia="Arial" w:hAnsi="Arial"/>
          <w:sz w:val="22"/>
          <w:szCs w:val="22"/>
          <w:color w:val="auto"/>
        </w:rPr>
        <w:t>Checking the relevant announcements of UTStarcom, as well as the relevant employment and resignation announcements of MIN XU in UTStarcom;</w:t>
      </w:r>
    </w:p>
    <w:p>
      <w:pPr>
        <w:spacing w:after="0" w:line="201" w:lineRule="exact"/>
        <w:rPr>
          <w:rFonts w:ascii="Arial" w:cs="Arial" w:eastAsia="Arial" w:hAnsi="Arial"/>
          <w:sz w:val="22"/>
          <w:szCs w:val="22"/>
          <w:color w:val="auto"/>
        </w:rPr>
      </w:pPr>
    </w:p>
    <w:p>
      <w:pPr>
        <w:ind w:left="540" w:hanging="208"/>
        <w:spacing w:after="0"/>
        <w:tabs>
          <w:tab w:leader="none" w:pos="540" w:val="left"/>
        </w:tabs>
        <w:numPr>
          <w:ilvl w:val="0"/>
          <w:numId w:val="149"/>
        </w:numPr>
        <w:rPr>
          <w:rFonts w:ascii="Arial" w:cs="Arial" w:eastAsia="Arial" w:hAnsi="Arial"/>
          <w:sz w:val="22"/>
          <w:szCs w:val="22"/>
          <w:color w:val="auto"/>
        </w:rPr>
      </w:pPr>
      <w:r>
        <w:rPr>
          <w:rFonts w:ascii="Arial" w:cs="Arial" w:eastAsia="Arial" w:hAnsi="Arial"/>
          <w:sz w:val="22"/>
          <w:szCs w:val="22"/>
          <w:color w:val="auto"/>
        </w:rPr>
        <w:t>Reviewing the relevant announcements of ACMR to understand the resignation of MIN XU;</w:t>
      </w: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8-4-1-104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08" w:name="page109"/>
    <w:bookmarkEnd w:id="108"/>
    <w:p>
      <w:pPr>
        <w:ind w:firstLine="332"/>
        <w:spacing w:after="0" w:line="251" w:lineRule="auto"/>
        <w:tabs>
          <w:tab w:leader="none" w:pos="549" w:val="left"/>
        </w:tabs>
        <w:numPr>
          <w:ilvl w:val="0"/>
          <w:numId w:val="150"/>
        </w:numPr>
        <w:rPr>
          <w:rFonts w:ascii="Arial" w:cs="Arial" w:eastAsia="Arial" w:hAnsi="Arial"/>
          <w:sz w:val="22"/>
          <w:szCs w:val="22"/>
          <w:color w:val="auto"/>
        </w:rPr>
      </w:pPr>
      <w:r>
        <w:rPr>
          <w:rFonts w:ascii="Arial" w:cs="Arial" w:eastAsia="Arial" w:hAnsi="Arial"/>
          <w:sz w:val="22"/>
          <w:szCs w:val="22"/>
          <w:color w:val="auto"/>
        </w:rPr>
        <w:t>Reviewing the relevant statement of LISA YI LU FENG and the statement made by Margaret Lin, a manager of Lumenis and the direct supervisor of LISA YI LU FENG, on the relevant issues;</w:t>
      </w:r>
    </w:p>
    <w:p>
      <w:pPr>
        <w:spacing w:after="0" w:line="200" w:lineRule="exact"/>
        <w:rPr>
          <w:rFonts w:ascii="Arial" w:cs="Arial" w:eastAsia="Arial" w:hAnsi="Arial"/>
          <w:sz w:val="22"/>
          <w:szCs w:val="22"/>
          <w:color w:val="auto"/>
        </w:rPr>
      </w:pPr>
    </w:p>
    <w:p>
      <w:pPr>
        <w:ind w:left="540" w:hanging="208"/>
        <w:spacing w:after="0"/>
        <w:tabs>
          <w:tab w:leader="none" w:pos="540" w:val="left"/>
        </w:tabs>
        <w:numPr>
          <w:ilvl w:val="0"/>
          <w:numId w:val="150"/>
        </w:numPr>
        <w:rPr>
          <w:rFonts w:ascii="Arial" w:cs="Arial" w:eastAsia="Arial" w:hAnsi="Arial"/>
          <w:sz w:val="22"/>
          <w:szCs w:val="22"/>
          <w:color w:val="auto"/>
        </w:rPr>
      </w:pPr>
      <w:r>
        <w:rPr>
          <w:rFonts w:ascii="Arial" w:cs="Arial" w:eastAsia="Arial" w:hAnsi="Arial"/>
          <w:sz w:val="22"/>
          <w:szCs w:val="22"/>
          <w:color w:val="auto"/>
        </w:rPr>
        <w:t>Reviewing the relevant statement of Daniel Ho;</w:t>
      </w:r>
    </w:p>
    <w:p>
      <w:pPr>
        <w:spacing w:after="0" w:line="240" w:lineRule="exact"/>
        <w:rPr>
          <w:rFonts w:ascii="Arial" w:cs="Arial" w:eastAsia="Arial" w:hAnsi="Arial"/>
          <w:sz w:val="22"/>
          <w:szCs w:val="22"/>
          <w:color w:val="auto"/>
        </w:rPr>
      </w:pPr>
    </w:p>
    <w:p>
      <w:pPr>
        <w:ind w:left="520" w:hanging="188"/>
        <w:spacing w:after="0"/>
        <w:tabs>
          <w:tab w:leader="none" w:pos="520" w:val="left"/>
        </w:tabs>
        <w:numPr>
          <w:ilvl w:val="0"/>
          <w:numId w:val="150"/>
        </w:numPr>
        <w:rPr>
          <w:rFonts w:ascii="Arial" w:cs="Arial" w:eastAsia="Arial" w:hAnsi="Arial"/>
          <w:sz w:val="18"/>
          <w:szCs w:val="18"/>
          <w:color w:val="auto"/>
        </w:rPr>
      </w:pPr>
      <w:r>
        <w:rPr>
          <w:rFonts w:ascii="Arial" w:cs="Arial" w:eastAsia="Arial" w:hAnsi="Arial"/>
          <w:sz w:val="18"/>
          <w:szCs w:val="18"/>
          <w:color w:val="auto"/>
        </w:rPr>
        <w:t>Checking the local rental market price through the Internet, and comparing the same with that of ACMR; and</w:t>
      </w:r>
    </w:p>
    <w:p>
      <w:pPr>
        <w:spacing w:after="0" w:line="252" w:lineRule="exact"/>
        <w:rPr>
          <w:rFonts w:ascii="Arial" w:cs="Arial" w:eastAsia="Arial" w:hAnsi="Arial"/>
          <w:sz w:val="18"/>
          <w:szCs w:val="18"/>
          <w:color w:val="auto"/>
        </w:rPr>
      </w:pPr>
    </w:p>
    <w:p>
      <w:pPr>
        <w:ind w:left="540" w:hanging="208"/>
        <w:spacing w:after="0"/>
        <w:tabs>
          <w:tab w:leader="none" w:pos="540" w:val="left"/>
        </w:tabs>
        <w:numPr>
          <w:ilvl w:val="0"/>
          <w:numId w:val="150"/>
        </w:numPr>
        <w:rPr>
          <w:rFonts w:ascii="Arial" w:cs="Arial" w:eastAsia="Arial" w:hAnsi="Arial"/>
          <w:sz w:val="16"/>
          <w:szCs w:val="16"/>
          <w:color w:val="auto"/>
        </w:rPr>
      </w:pPr>
      <w:r>
        <w:rPr>
          <w:rFonts w:ascii="Arial" w:cs="Arial" w:eastAsia="Arial" w:hAnsi="Arial"/>
          <w:sz w:val="16"/>
          <w:szCs w:val="16"/>
          <w:color w:val="auto"/>
        </w:rPr>
        <w:t>Reviewing the relevant industrial and commercial registration information on the Company’s capital increases in June and November 2019; and</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reviewing the announcements made by ACMR to understand the relevant situation of its refinancing.</w:t>
      </w:r>
    </w:p>
    <w:p>
      <w:pPr>
        <w:spacing w:after="0" w:line="234"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(ii) Verification Opinions</w:t>
      </w:r>
    </w:p>
    <w:p>
      <w:pPr>
        <w:spacing w:after="0" w:line="256" w:lineRule="exact"/>
        <w:rPr>
          <w:sz w:val="20"/>
          <w:szCs w:val="20"/>
          <w:color w:val="auto"/>
        </w:rPr>
      </w:pPr>
    </w:p>
    <w:p>
      <w:pPr>
        <w:ind w:left="340"/>
        <w:spacing w:after="0"/>
        <w:rPr>
          <w:sz w:val="20"/>
          <w:szCs w:val="20"/>
          <w:color w:val="auto"/>
        </w:rPr>
      </w:pPr>
      <w:r>
        <w:rPr>
          <w:rFonts w:ascii="Arial" w:cs="Arial" w:eastAsia="Arial" w:hAnsi="Arial"/>
          <w:sz w:val="18"/>
          <w:szCs w:val="18"/>
          <w:color w:val="auto"/>
        </w:rPr>
        <w:t>Upon verification, the Sponsor opines that:</w:t>
      </w:r>
    </w:p>
    <w:p>
      <w:pPr>
        <w:spacing w:after="0" w:line="252" w:lineRule="exact"/>
        <w:rPr>
          <w:sz w:val="20"/>
          <w:szCs w:val="20"/>
          <w:color w:val="auto"/>
        </w:rPr>
      </w:pPr>
    </w:p>
    <w:p>
      <w:pPr>
        <w:jc w:val="both"/>
        <w:ind w:firstLine="332"/>
        <w:spacing w:after="0" w:line="286" w:lineRule="auto"/>
        <w:tabs>
          <w:tab w:leader="none" w:pos="504" w:val="left"/>
        </w:tabs>
        <w:numPr>
          <w:ilvl w:val="0"/>
          <w:numId w:val="151"/>
        </w:numPr>
        <w:rPr>
          <w:rFonts w:ascii="Arial" w:cs="Arial" w:eastAsia="Arial" w:hAnsi="Arial"/>
          <w:sz w:val="17"/>
          <w:szCs w:val="17"/>
          <w:color w:val="auto"/>
        </w:rPr>
      </w:pPr>
      <w:r>
        <w:rPr>
          <w:rFonts w:ascii="Arial" w:cs="Arial" w:eastAsia="Arial" w:hAnsi="Arial"/>
          <w:sz w:val="17"/>
          <w:szCs w:val="17"/>
          <w:color w:val="auto"/>
        </w:rPr>
        <w:t>The CFO of the Company did not participate in the accounting fraud to inflate sales of Lumenis, Ltd. as asserted in the Short-sell Report; Daniel Ho, an employee of the auditor of ACMR, did not fail to discover the accounting fraud due to incompetence as implied in the Short-sell Report; MIN XU, the former CFO of ACMR, judging from his tenure had nothing to do with the frauds of UTStarcom as implied in the Short-sell Report.</w:t>
      </w:r>
    </w:p>
    <w:p>
      <w:pPr>
        <w:spacing w:after="0" w:line="192" w:lineRule="exact"/>
        <w:rPr>
          <w:rFonts w:ascii="Arial" w:cs="Arial" w:eastAsia="Arial" w:hAnsi="Arial"/>
          <w:sz w:val="17"/>
          <w:szCs w:val="17"/>
          <w:color w:val="auto"/>
        </w:rPr>
      </w:pPr>
    </w:p>
    <w:p>
      <w:pPr>
        <w:ind w:left="520" w:hanging="188"/>
        <w:spacing w:after="0"/>
        <w:tabs>
          <w:tab w:leader="none" w:pos="520" w:val="left"/>
        </w:tabs>
        <w:numPr>
          <w:ilvl w:val="0"/>
          <w:numId w:val="151"/>
        </w:numPr>
        <w:rPr>
          <w:rFonts w:ascii="Arial" w:cs="Arial" w:eastAsia="Arial" w:hAnsi="Arial"/>
          <w:sz w:val="18"/>
          <w:szCs w:val="18"/>
          <w:color w:val="auto"/>
        </w:rPr>
      </w:pPr>
      <w:r>
        <w:rPr>
          <w:rFonts w:ascii="Arial" w:cs="Arial" w:eastAsia="Arial" w:hAnsi="Arial"/>
          <w:sz w:val="18"/>
          <w:szCs w:val="18"/>
          <w:color w:val="auto"/>
        </w:rPr>
        <w:t>The rental fee paid by ACMR and the Issuer for the office space in California is basically in line with the local rental market price.</w:t>
      </w:r>
    </w:p>
    <w:p>
      <w:pPr>
        <w:spacing w:after="0" w:line="252" w:lineRule="exact"/>
        <w:rPr>
          <w:rFonts w:ascii="Arial" w:cs="Arial" w:eastAsia="Arial" w:hAnsi="Arial"/>
          <w:sz w:val="18"/>
          <w:szCs w:val="18"/>
          <w:color w:val="auto"/>
        </w:rPr>
      </w:pPr>
    </w:p>
    <w:p>
      <w:pPr>
        <w:ind w:left="520" w:hanging="188"/>
        <w:spacing w:after="0"/>
        <w:tabs>
          <w:tab w:leader="none" w:pos="520" w:val="left"/>
        </w:tabs>
        <w:numPr>
          <w:ilvl w:val="0"/>
          <w:numId w:val="151"/>
        </w:numPr>
        <w:rPr>
          <w:rFonts w:ascii="Arial" w:cs="Arial" w:eastAsia="Arial" w:hAnsi="Arial"/>
          <w:sz w:val="18"/>
          <w:szCs w:val="18"/>
          <w:color w:val="auto"/>
        </w:rPr>
      </w:pPr>
      <w:r>
        <w:rPr>
          <w:rFonts w:ascii="Arial" w:cs="Arial" w:eastAsia="Arial" w:hAnsi="Arial"/>
          <w:sz w:val="18"/>
          <w:szCs w:val="18"/>
          <w:color w:val="auto"/>
        </w:rPr>
        <w:t>The Company’s listing on the STAR Market will not significantly dilute the U.S. investors.</w:t>
      </w:r>
    </w:p>
    <w:p>
      <w:pPr>
        <w:spacing w:after="0" w:line="248" w:lineRule="exact"/>
        <w:rPr>
          <w:sz w:val="20"/>
          <w:szCs w:val="20"/>
          <w:color w:val="auto"/>
        </w:rPr>
      </w:pPr>
    </w:p>
    <w:p>
      <w:pPr>
        <w:ind w:left="340" w:right="1060" w:hanging="8"/>
        <w:spacing w:after="0" w:line="534" w:lineRule="auto"/>
        <w:tabs>
          <w:tab w:leader="none" w:pos="610" w:val="left"/>
        </w:tabs>
        <w:numPr>
          <w:ilvl w:val="0"/>
          <w:numId w:val="152"/>
        </w:numPr>
        <w:rPr>
          <w:rFonts w:ascii="Arial" w:cs="Arial" w:eastAsia="Arial" w:hAnsi="Arial"/>
          <w:sz w:val="18"/>
          <w:szCs w:val="18"/>
          <w:b w:val="1"/>
          <w:bCs w:val="1"/>
          <w:color w:val="auto"/>
        </w:rPr>
      </w:pPr>
      <w:r>
        <w:rPr>
          <w:rFonts w:ascii="Arial" w:cs="Arial" w:eastAsia="Arial" w:hAnsi="Arial"/>
          <w:sz w:val="18"/>
          <w:szCs w:val="18"/>
          <w:b w:val="1"/>
          <w:bCs w:val="1"/>
          <w:color w:val="auto"/>
        </w:rPr>
        <w:t>Other Comments in the Short-sell Report (Index of Verification in Response to the Short-sell Report, No. 6, 27, 28, 29, 30, 36) Other Comments in the Short-sell Report are mainly as follows (Short-sell Report, pp.8, 32, 33, 42):</w:t>
      </w:r>
    </w:p>
    <w:p>
      <w:pPr>
        <w:spacing w:after="0" w:line="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1. Customers on the U.S. blacklist</w:t>
      </w:r>
    </w:p>
    <w:p>
      <w:pPr>
        <w:spacing w:after="0" w:line="252" w:lineRule="exact"/>
        <w:rPr>
          <w:sz w:val="20"/>
          <w:szCs w:val="20"/>
          <w:color w:val="auto"/>
        </w:rPr>
      </w:pPr>
    </w:p>
    <w:p>
      <w:pPr>
        <w:jc w:val="both"/>
        <w:ind w:firstLine="324"/>
        <w:spacing w:after="0" w:line="271" w:lineRule="auto"/>
        <w:rPr>
          <w:sz w:val="20"/>
          <w:szCs w:val="20"/>
          <w:color w:val="auto"/>
        </w:rPr>
      </w:pPr>
      <w:r>
        <w:rPr>
          <w:rFonts w:ascii="Arial" w:cs="Arial" w:eastAsia="Arial" w:hAnsi="Arial"/>
          <w:sz w:val="17"/>
          <w:szCs w:val="17"/>
          <w:color w:val="auto"/>
        </w:rPr>
        <w:t>"On September 8, shares of ACMR fell by 30% based on a rumor that the U.S. Department of Commerce would blacklist a key customer, Semiconductor Manufacturing International (SMIC). Shares in SMIC had closed down 23% in Hong Kong on September 4, following reports that the U.S. might blacklist the company. Being added to the U.S. “entity list” would mean that U.S. companies would need a special license to do business with SMIC. SMIC is currently on a S&amp;P BBB- rating, just above junk bond level. Shares have come back, but we believe based on conversations with U.S. government sources that SMIC will ultimately be blacklisted. We think there is a possibility that all of ACMR’s Chinese customers—about 80% of sales, if SK Hynix is reclassified as Korean—will come under U.S. sanctions. Selling low-quality equipment for discount prices, ACMR is able to penetrate independent Chinese fabs that earn government subsidies for buying “domestic.” But ACMR will not penetrate companies like Intel and TSMC, which require reliability and a track record. That means that the ACMR market is much more vulnerable to U.S. sanctions than are peers.</w:t>
      </w:r>
    </w:p>
    <w:p>
      <w:pPr>
        <w:spacing w:after="0" w:line="37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8-4-1-105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09" w:name="page110"/>
    <w:bookmarkEnd w:id="109"/>
    <w:p>
      <w:pPr>
        <w:ind w:left="340"/>
        <w:spacing w:after="0"/>
        <w:rPr>
          <w:sz w:val="20"/>
          <w:szCs w:val="20"/>
          <w:color w:val="auto"/>
        </w:rPr>
      </w:pPr>
      <w:r>
        <w:rPr>
          <w:rFonts w:ascii="Arial" w:cs="Arial" w:eastAsia="Arial" w:hAnsi="Arial"/>
          <w:sz w:val="22"/>
          <w:szCs w:val="22"/>
          <w:color w:val="auto"/>
        </w:rPr>
        <w:t>2. Some assembly required</w:t>
      </w:r>
    </w:p>
    <w:p>
      <w:pPr>
        <w:spacing w:after="0" w:line="234" w:lineRule="exact"/>
        <w:rPr>
          <w:sz w:val="20"/>
          <w:szCs w:val="20"/>
          <w:color w:val="auto"/>
        </w:rPr>
      </w:pPr>
    </w:p>
    <w:p>
      <w:pPr>
        <w:jc w:val="both"/>
        <w:ind w:firstLine="324"/>
        <w:spacing w:after="0" w:line="236" w:lineRule="auto"/>
        <w:rPr>
          <w:sz w:val="20"/>
          <w:szCs w:val="20"/>
          <w:color w:val="auto"/>
        </w:rPr>
      </w:pPr>
      <w:r>
        <w:rPr>
          <w:rFonts w:ascii="Arial" w:cs="Arial" w:eastAsia="Arial" w:hAnsi="Arial"/>
          <w:sz w:val="22"/>
          <w:szCs w:val="22"/>
          <w:color w:val="auto"/>
        </w:rPr>
        <w:t>We have spoken with a half dozen production workers at ACMR’s Shanghai plant, with more than a dozen suppliers, and with customers. We have concluded that ACMR purchases valuable parts from third parties and performs a low-value assembly operation that principally entails connecting tubes (the machine “plumbing”) and electrical circuits and then testing the machines. That is contrary to the bull case on ACMR: company presentations constantly stress “differentiated megasonic technology” and “proprietary technology.”</w:t>
      </w:r>
    </w:p>
    <w:p>
      <w:pPr>
        <w:spacing w:after="0" w:line="214" w:lineRule="exact"/>
        <w:rPr>
          <w:sz w:val="20"/>
          <w:szCs w:val="20"/>
          <w:color w:val="auto"/>
        </w:rPr>
      </w:pPr>
    </w:p>
    <w:p>
      <w:pPr>
        <w:jc w:val="both"/>
        <w:ind w:right="20" w:firstLine="324"/>
        <w:spacing w:after="0"/>
        <w:rPr>
          <w:sz w:val="20"/>
          <w:szCs w:val="20"/>
          <w:color w:val="auto"/>
        </w:rPr>
      </w:pPr>
      <w:r>
        <w:rPr>
          <w:rFonts w:ascii="Arial" w:cs="Arial" w:eastAsia="Arial" w:hAnsi="Arial"/>
          <w:sz w:val="22"/>
          <w:szCs w:val="22"/>
          <w:color w:val="auto"/>
        </w:rPr>
        <w:t>A former longtime R&amp;D employee of ACMR told us that when he joined the company, “I felt there was no technological content in their product. A components supplier who has known ACMR for a decade told us: “They don’t have much in way of R&amp;D, a lab, manufacturing. It’s an assembly operation.”</w:t>
      </w:r>
    </w:p>
    <w:p>
      <w:pPr>
        <w:spacing w:after="0" w:line="213" w:lineRule="exact"/>
        <w:rPr>
          <w:sz w:val="20"/>
          <w:szCs w:val="20"/>
          <w:color w:val="auto"/>
        </w:rPr>
      </w:pPr>
    </w:p>
    <w:p>
      <w:pPr>
        <w:jc w:val="both"/>
        <w:ind w:firstLine="324"/>
        <w:spacing w:after="0" w:line="252" w:lineRule="auto"/>
        <w:rPr>
          <w:sz w:val="20"/>
          <w:szCs w:val="20"/>
          <w:color w:val="auto"/>
        </w:rPr>
      </w:pPr>
      <w:r>
        <w:rPr>
          <w:rFonts w:ascii="Arial" w:cs="Arial" w:eastAsia="Arial" w:hAnsi="Arial"/>
          <w:sz w:val="21"/>
          <w:szCs w:val="21"/>
          <w:color w:val="auto"/>
        </w:rPr>
        <w:t>A longtime ACMR sales executive told us customers identify products by searching images online. The company does not have a Chinese-language website, and a he told us that to find products, we should search Baidu. “That’s what I do. I search with the term ‘ACM Research semiconductor.’” Clients provide ACMR with specifications, and ACMR builds the machine to order, with assembly taking about two weeks and testing taking another two weeks.</w:t>
      </w:r>
    </w:p>
    <w:p>
      <w:pPr>
        <w:spacing w:after="0" w:line="201" w:lineRule="exact"/>
        <w:rPr>
          <w:sz w:val="20"/>
          <w:szCs w:val="20"/>
          <w:color w:val="auto"/>
        </w:rPr>
      </w:pPr>
    </w:p>
    <w:p>
      <w:pPr>
        <w:jc w:val="both"/>
        <w:ind w:firstLine="324"/>
        <w:spacing w:after="0"/>
        <w:rPr>
          <w:sz w:val="20"/>
          <w:szCs w:val="20"/>
          <w:color w:val="auto"/>
        </w:rPr>
      </w:pPr>
      <w:r>
        <w:rPr>
          <w:rFonts w:ascii="Arial" w:cs="Arial" w:eastAsia="Arial" w:hAnsi="Arial"/>
          <w:sz w:val="22"/>
          <w:szCs w:val="22"/>
          <w:color w:val="auto"/>
        </w:rPr>
        <w:t>By speaking with the suppliers, we learned that most of them sell to small factories that pre-assemble portions of the machines. The ACMR staff then connect up the plumbing and electrical circuits at the company’s factory in Shanghai and on customer premises.</w:t>
      </w:r>
    </w:p>
    <w:p>
      <w:pPr>
        <w:spacing w:after="0" w:line="213" w:lineRule="exact"/>
        <w:rPr>
          <w:sz w:val="20"/>
          <w:szCs w:val="20"/>
          <w:color w:val="auto"/>
        </w:rPr>
      </w:pPr>
    </w:p>
    <w:p>
      <w:pPr>
        <w:ind w:left="340"/>
        <w:spacing w:after="0"/>
        <w:rPr>
          <w:sz w:val="20"/>
          <w:szCs w:val="20"/>
          <w:color w:val="auto"/>
        </w:rPr>
      </w:pPr>
      <w:r>
        <w:rPr>
          <w:rFonts w:ascii="Arial" w:cs="Arial" w:eastAsia="Arial" w:hAnsi="Arial"/>
          <w:sz w:val="22"/>
          <w:szCs w:val="22"/>
          <w:color w:val="auto"/>
        </w:rPr>
        <w:t>3. ACMR U.S.</w:t>
      </w:r>
    </w:p>
    <w:p>
      <w:pPr>
        <w:spacing w:after="0" w:line="233" w:lineRule="exact"/>
        <w:rPr>
          <w:sz w:val="20"/>
          <w:szCs w:val="20"/>
          <w:color w:val="auto"/>
        </w:rPr>
      </w:pPr>
    </w:p>
    <w:p>
      <w:pPr>
        <w:jc w:val="both"/>
        <w:ind w:firstLine="324"/>
        <w:spacing w:after="0"/>
        <w:rPr>
          <w:sz w:val="20"/>
          <w:szCs w:val="20"/>
          <w:color w:val="auto"/>
        </w:rPr>
      </w:pPr>
      <w:r>
        <w:rPr>
          <w:rFonts w:ascii="Arial" w:cs="Arial" w:eastAsia="Arial" w:hAnsi="Arial"/>
          <w:sz w:val="22"/>
          <w:szCs w:val="22"/>
          <w:color w:val="auto"/>
        </w:rPr>
        <w:t>ACMR in California is the company’s largest supplier, purchasing “valves, contacts, etc.” in the United States and shipping them to China. This channel is rife with opportunity for hiding costs. Before 2019, ACMR was both a supplier and a “customer” for ACMR in China. That simply obscures the transaction chain for auditors.</w:t>
      </w:r>
    </w:p>
    <w:p>
      <w:pPr>
        <w:spacing w:after="0" w:line="213" w:lineRule="exact"/>
        <w:rPr>
          <w:sz w:val="20"/>
          <w:szCs w:val="20"/>
          <w:color w:val="auto"/>
        </w:rPr>
      </w:pPr>
    </w:p>
    <w:p>
      <w:pPr>
        <w:ind w:left="340"/>
        <w:spacing w:after="0"/>
        <w:rPr>
          <w:sz w:val="20"/>
          <w:szCs w:val="20"/>
          <w:color w:val="auto"/>
        </w:rPr>
      </w:pPr>
      <w:r>
        <w:rPr>
          <w:rFonts w:ascii="Arial" w:cs="Arial" w:eastAsia="Arial" w:hAnsi="Arial"/>
          <w:sz w:val="22"/>
          <w:szCs w:val="22"/>
          <w:color w:val="auto"/>
        </w:rPr>
        <w:t>4. Wafer-cleaning technology</w:t>
      </w:r>
    </w:p>
    <w:p>
      <w:pPr>
        <w:spacing w:after="0" w:line="233" w:lineRule="exact"/>
        <w:rPr>
          <w:sz w:val="20"/>
          <w:szCs w:val="20"/>
          <w:color w:val="auto"/>
        </w:rPr>
      </w:pPr>
    </w:p>
    <w:p>
      <w:pPr>
        <w:jc w:val="both"/>
        <w:ind w:firstLine="324"/>
        <w:spacing w:after="0" w:line="287" w:lineRule="auto"/>
        <w:rPr>
          <w:sz w:val="20"/>
          <w:szCs w:val="20"/>
          <w:color w:val="auto"/>
        </w:rPr>
      </w:pPr>
      <w:r>
        <w:rPr>
          <w:rFonts w:ascii="Arial" w:cs="Arial" w:eastAsia="Arial" w:hAnsi="Arial"/>
          <w:sz w:val="19"/>
          <w:szCs w:val="19"/>
          <w:color w:val="auto"/>
        </w:rPr>
        <w:t>Wafer-cleaning technology is a mature and low-margin area, and ACMR has opted to be a provider of complete equipment sets rather than a technological innovator. Single-wafer cleaning technology: “is actually the simplest part of the industry and the equipment is so simple,” an industry expert told us in a phone call. “And so low tech that Applied, Lam, Tokyo Electron don’t bother with it because it’s low tech. The technology really hasn’t changed a hell of a lot in 40 years.”</w:t>
      </w:r>
    </w:p>
    <w:p>
      <w:pPr>
        <w:spacing w:after="0" w:line="164" w:lineRule="exact"/>
        <w:rPr>
          <w:sz w:val="20"/>
          <w:szCs w:val="20"/>
          <w:color w:val="auto"/>
        </w:rPr>
      </w:pPr>
    </w:p>
    <w:p>
      <w:pPr>
        <w:ind w:left="340"/>
        <w:spacing w:after="0"/>
        <w:rPr>
          <w:sz w:val="20"/>
          <w:szCs w:val="20"/>
          <w:color w:val="auto"/>
        </w:rPr>
      </w:pPr>
      <w:r>
        <w:rPr>
          <w:rFonts w:ascii="Arial" w:cs="Arial" w:eastAsia="Arial" w:hAnsi="Arial"/>
          <w:sz w:val="22"/>
          <w:szCs w:val="22"/>
          <w:b w:val="1"/>
          <w:bCs w:val="1"/>
          <w:color w:val="auto"/>
        </w:rPr>
        <w:t>Response:</w:t>
      </w:r>
    </w:p>
    <w:p>
      <w:pPr>
        <w:spacing w:after="0" w:line="233" w:lineRule="exact"/>
        <w:rPr>
          <w:sz w:val="20"/>
          <w:szCs w:val="20"/>
          <w:color w:val="auto"/>
        </w:rPr>
      </w:pPr>
    </w:p>
    <w:p>
      <w:pPr>
        <w:ind w:left="340"/>
        <w:spacing w:after="0"/>
        <w:rPr>
          <w:sz w:val="20"/>
          <w:szCs w:val="20"/>
          <w:color w:val="auto"/>
        </w:rPr>
      </w:pPr>
      <w:r>
        <w:rPr>
          <w:rFonts w:ascii="Arial" w:cs="Arial" w:eastAsia="Arial" w:hAnsi="Arial"/>
          <w:sz w:val="22"/>
          <w:szCs w:val="22"/>
          <w:b w:val="1"/>
          <w:bCs w:val="1"/>
          <w:color w:val="auto"/>
        </w:rPr>
        <w:t>I. Clarification by the Issuer</w:t>
      </w:r>
    </w:p>
    <w:p>
      <w:pPr>
        <w:spacing w:after="0" w:line="233" w:lineRule="exact"/>
        <w:rPr>
          <w:sz w:val="20"/>
          <w:szCs w:val="20"/>
          <w:color w:val="auto"/>
        </w:rPr>
      </w:pPr>
    </w:p>
    <w:p>
      <w:pPr>
        <w:ind w:left="340"/>
        <w:spacing w:after="0"/>
        <w:rPr>
          <w:sz w:val="20"/>
          <w:szCs w:val="20"/>
          <w:color w:val="auto"/>
        </w:rPr>
      </w:pPr>
      <w:r>
        <w:rPr>
          <w:rFonts w:ascii="Arial" w:cs="Arial" w:eastAsia="Arial" w:hAnsi="Arial"/>
          <w:sz w:val="22"/>
          <w:szCs w:val="22"/>
          <w:b w:val="1"/>
          <w:bCs w:val="1"/>
          <w:color w:val="auto"/>
        </w:rPr>
        <w:t>(i) The Sanctions Imposed by the US Government on the Issuer’s Customers</w:t>
      </w:r>
    </w:p>
    <w:p>
      <w:pPr>
        <w:spacing w:after="0" w:line="239" w:lineRule="exact"/>
        <w:rPr>
          <w:sz w:val="20"/>
          <w:szCs w:val="20"/>
          <w:color w:val="auto"/>
        </w:rPr>
      </w:pPr>
    </w:p>
    <w:p>
      <w:pPr>
        <w:jc w:val="both"/>
        <w:ind w:firstLine="324"/>
        <w:spacing w:after="0" w:line="250" w:lineRule="auto"/>
        <w:rPr>
          <w:sz w:val="20"/>
          <w:szCs w:val="20"/>
          <w:color w:val="auto"/>
        </w:rPr>
      </w:pPr>
      <w:r>
        <w:rPr>
          <w:rFonts w:ascii="Arial" w:cs="Arial" w:eastAsia="Arial" w:hAnsi="Arial"/>
          <w:sz w:val="22"/>
          <w:szCs w:val="22"/>
          <w:color w:val="auto"/>
        </w:rPr>
        <w:t>In respect of Sino-US trade disputes, the Company has disclosed the following risks in “Section IV. II. (III) Risks of Escalated International Trade Dispute” of the Prospectus:</w:t>
      </w:r>
    </w:p>
    <w:p>
      <w:pPr>
        <w:spacing w:after="0" w:line="202" w:lineRule="exact"/>
        <w:rPr>
          <w:sz w:val="20"/>
          <w:szCs w:val="20"/>
          <w:color w:val="auto"/>
        </w:rPr>
      </w:pPr>
    </w:p>
    <w:p>
      <w:pPr>
        <w:ind w:left="340"/>
        <w:spacing w:after="0"/>
        <w:rPr>
          <w:sz w:val="20"/>
          <w:szCs w:val="20"/>
          <w:color w:val="auto"/>
        </w:rPr>
      </w:pPr>
      <w:r>
        <w:rPr>
          <w:rFonts w:ascii="Arial" w:cs="Arial" w:eastAsia="Arial" w:hAnsi="Arial"/>
          <w:sz w:val="22"/>
          <w:szCs w:val="22"/>
          <w:color w:val="auto"/>
        </w:rPr>
        <w:t>“(III) Risks of Escalated International Trade Dispute</w:t>
      </w: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8-4-1-106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10" w:name="page111"/>
    <w:bookmarkEnd w:id="110"/>
    <w:p>
      <w:pPr>
        <w:jc w:val="both"/>
        <w:ind w:firstLine="324"/>
        <w:spacing w:after="0" w:line="235" w:lineRule="auto"/>
        <w:rPr>
          <w:sz w:val="20"/>
          <w:szCs w:val="20"/>
          <w:color w:val="auto"/>
        </w:rPr>
      </w:pPr>
      <w:r>
        <w:rPr>
          <w:rFonts w:ascii="Arial" w:cs="Arial" w:eastAsia="Arial" w:hAnsi="Arial"/>
          <w:sz w:val="22"/>
          <w:szCs w:val="22"/>
          <w:color w:val="auto"/>
        </w:rPr>
        <w:t>The trade dispute between the US and China has escalated since 2018. The US government imposed additional custom duties on specific imported products originated from China in July, August, and September 2018, June and September 2019, and February 2020. For each round of changes in the custom duties imposed by the US, the Chinese government responded by imposing additional custom duties on specific products imported from the US. In the future, it is likely that the US and Chinese governments will continue to impose additional custom duties or set other trade barriers on specific products originated from each other.</w:t>
      </w:r>
    </w:p>
    <w:p>
      <w:pPr>
        <w:spacing w:after="0" w:line="215" w:lineRule="exact"/>
        <w:rPr>
          <w:sz w:val="20"/>
          <w:szCs w:val="20"/>
          <w:color w:val="auto"/>
        </w:rPr>
      </w:pPr>
    </w:p>
    <w:p>
      <w:pPr>
        <w:jc w:val="both"/>
        <w:ind w:firstLine="324"/>
        <w:spacing w:after="0" w:line="275" w:lineRule="auto"/>
        <w:rPr>
          <w:sz w:val="20"/>
          <w:szCs w:val="20"/>
          <w:color w:val="auto"/>
        </w:rPr>
      </w:pPr>
      <w:r>
        <w:rPr>
          <w:rFonts w:ascii="Arial" w:cs="Arial" w:eastAsia="Arial" w:hAnsi="Arial"/>
          <w:sz w:val="19"/>
          <w:szCs w:val="19"/>
          <w:color w:val="auto"/>
        </w:rPr>
        <w:t>The additional custom duties imposed by the US and Chinese governments, and the uncertainty in surrounding economies, could adversely affect the semiconductor industry, including the demands on semiconductor special equipment from wafer manufacturing, packaging, and testing enterprises. Further deterioration of trade policies, custom duties, additional taxes, export restrictions, or other trade barriers in the country of operation may adversely affect the production or sales capabilities of the Company’s customers and harm the operating conditions of the Company’s customers, leading to reduced demands of such customers for equipment products of the Company. In addition, if the Chinese government imposes additional custom duties on raw materials or parts purchased by the Company from the US, the operating costs of the Company may increase, leading to material adverse effects on the operating incomes, results of operation, or financial conditions of the Company.”</w:t>
      </w:r>
    </w:p>
    <w:p>
      <w:pPr>
        <w:spacing w:after="0" w:line="178" w:lineRule="exact"/>
        <w:rPr>
          <w:sz w:val="20"/>
          <w:szCs w:val="20"/>
          <w:color w:val="auto"/>
        </w:rPr>
      </w:pPr>
    </w:p>
    <w:p>
      <w:pPr>
        <w:ind w:left="340" w:right="8500" w:hanging="8"/>
        <w:spacing w:after="0" w:line="463" w:lineRule="auto"/>
        <w:tabs>
          <w:tab w:leader="none" w:pos="658" w:val="left"/>
        </w:tabs>
        <w:numPr>
          <w:ilvl w:val="0"/>
          <w:numId w:val="153"/>
        </w:numPr>
        <w:rPr>
          <w:rFonts w:ascii="Arial" w:cs="Arial" w:eastAsia="Arial" w:hAnsi="Arial"/>
          <w:sz w:val="22"/>
          <w:szCs w:val="22"/>
          <w:b w:val="1"/>
          <w:bCs w:val="1"/>
          <w:color w:val="auto"/>
        </w:rPr>
      </w:pPr>
      <w:r>
        <w:rPr>
          <w:rFonts w:ascii="Arial" w:cs="Arial" w:eastAsia="Arial" w:hAnsi="Arial"/>
          <w:sz w:val="22"/>
          <w:szCs w:val="22"/>
          <w:b w:val="1"/>
          <w:bCs w:val="1"/>
          <w:color w:val="auto"/>
        </w:rPr>
        <w:t>Assembly of the Issuer 1. Assembly</w:t>
      </w:r>
    </w:p>
    <w:p>
      <w:pPr>
        <w:spacing w:after="0" w:line="2" w:lineRule="exact"/>
        <w:rPr>
          <w:sz w:val="20"/>
          <w:szCs w:val="20"/>
          <w:color w:val="auto"/>
        </w:rPr>
      </w:pPr>
    </w:p>
    <w:p>
      <w:pPr>
        <w:jc w:val="both"/>
        <w:ind w:firstLine="324"/>
        <w:spacing w:after="0" w:line="297" w:lineRule="auto"/>
        <w:rPr>
          <w:sz w:val="20"/>
          <w:szCs w:val="20"/>
          <w:color w:val="auto"/>
        </w:rPr>
      </w:pPr>
      <w:r>
        <w:rPr>
          <w:rFonts w:ascii="Arial" w:cs="Arial" w:eastAsia="Arial" w:hAnsi="Arial"/>
          <w:sz w:val="19"/>
          <w:szCs w:val="19"/>
          <w:color w:val="auto"/>
        </w:rPr>
        <w:t>As a semiconductor special equipment enterprise facing international technology frontier and adhering to independent innovation, the Company follows the global industry practice, mainly engaging in technology and process research and development, product design and manufacturing, and providing equipment and process solutions for customers.</w:t>
      </w:r>
    </w:p>
    <w:p>
      <w:pPr>
        <w:spacing w:after="0" w:line="168"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The Company itself hardly engages in parts processing business. It does not produce standard parts (valves, pumps, heaters, flow meters, etc.) and machining parts by itself, which are all purchased and outsourced. According to the design of the product, the Company has organized the purchase and outsourcing of parts and components, and has established a sound supply chain system in the US, Korea and Mainland China and maintained close cooperation with the core suppliers, thus ensuring the supply of key parts.</w:t>
      </w:r>
    </w:p>
    <w:p>
      <w:pPr>
        <w:spacing w:after="0" w:line="214" w:lineRule="exact"/>
        <w:rPr>
          <w:sz w:val="20"/>
          <w:szCs w:val="20"/>
          <w:color w:val="auto"/>
        </w:rPr>
      </w:pPr>
    </w:p>
    <w:p>
      <w:pPr>
        <w:ind w:right="80" w:firstLine="324"/>
        <w:spacing w:after="0" w:line="270" w:lineRule="auto"/>
        <w:rPr>
          <w:sz w:val="20"/>
          <w:szCs w:val="20"/>
          <w:color w:val="auto"/>
        </w:rPr>
      </w:pPr>
      <w:r>
        <w:rPr>
          <w:rFonts w:ascii="Arial" w:cs="Arial" w:eastAsia="Arial" w:hAnsi="Arial"/>
          <w:sz w:val="17"/>
          <w:szCs w:val="17"/>
          <w:color w:val="auto"/>
        </w:rPr>
        <w:t>The Company’s core technology is the design of a core process chamber (including SAPS megasonic cleaning, TEBO megasonic cleaning, multi-anode local copper plating and stress-free polishing), the design and final software integration of wafer transmission, a chemical supply system and an electronic control system. After assembly and testing, the semiconductor equipment needs to be subject to strict verification and reliability testing on the production line. In the process of R&amp;D, design and production of semiconductor equipment, great and long-term research and development efforts need to be put into the selection of valuable parts, pipeline layout and circuit design, the process of which is more than just component assembly. During the certification of the first customer Hynix’s single wafer SAPS megasonic cleaning equipment, the Company had to shut down the machine once every three months due to the poor selection of an electronic component type, the failure automatically disappearing after the machine was restarted. In order to find out the root cause of the failure, the Company installed a camera near the component for around-the-clock monitoring and took up to three months before getting to the bottom of the failure.</w:t>
      </w:r>
    </w:p>
    <w:p>
      <w:pPr>
        <w:spacing w:after="0" w:line="37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8-4-1-107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11" w:name="page112"/>
    <w:bookmarkEnd w:id="111"/>
    <w:p>
      <w:pPr>
        <w:jc w:val="both"/>
        <w:ind w:firstLine="324"/>
        <w:spacing w:after="0" w:line="263" w:lineRule="auto"/>
        <w:rPr>
          <w:sz w:val="20"/>
          <w:szCs w:val="20"/>
          <w:color w:val="auto"/>
        </w:rPr>
      </w:pPr>
      <w:r>
        <w:rPr>
          <w:rFonts w:ascii="Arial" w:cs="Arial" w:eastAsia="Arial" w:hAnsi="Arial"/>
          <w:sz w:val="18"/>
          <w:szCs w:val="18"/>
          <w:color w:val="auto"/>
        </w:rPr>
        <w:t>In sum, each part of semiconductor equipment must be selected and designed carefully, and be tested for a long term. Meanwhile, sophisticated arrangements are required to be made to the chemical pipeline as to the directional design and circuit layout, otherwise the process results and reliability of the equipment will be affected.</w:t>
      </w:r>
    </w:p>
    <w:p>
      <w:pPr>
        <w:spacing w:after="0" w:line="211"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color w:val="auto"/>
        </w:rPr>
        <w:t>With the technical advantages through long-term R&amp;D accumulation, the Company has formed differentiated proprietary technology in the semiconductor special equipment industry, so as to maintain its market position in the industry.</w:t>
      </w:r>
    </w:p>
    <w:p>
      <w:pPr>
        <w:spacing w:after="0" w:line="193"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2. R&amp;D</w:t>
      </w:r>
    </w:p>
    <w:p>
      <w:pPr>
        <w:spacing w:after="0" w:line="256" w:lineRule="exact"/>
        <w:rPr>
          <w:sz w:val="20"/>
          <w:szCs w:val="20"/>
          <w:color w:val="auto"/>
        </w:rPr>
      </w:pPr>
    </w:p>
    <w:p>
      <w:pPr>
        <w:ind w:left="340"/>
        <w:spacing w:after="0"/>
        <w:rPr>
          <w:sz w:val="20"/>
          <w:szCs w:val="20"/>
          <w:color w:val="auto"/>
        </w:rPr>
      </w:pPr>
      <w:r>
        <w:rPr>
          <w:rFonts w:ascii="Arial" w:cs="Arial" w:eastAsia="Arial" w:hAnsi="Arial"/>
          <w:sz w:val="18"/>
          <w:szCs w:val="18"/>
          <w:color w:val="auto"/>
        </w:rPr>
        <w:t>For the technical content of the Company’s products, please refer to the response in “(iv) Wafer Cleaning Technology” hereof.</w:t>
      </w:r>
    </w:p>
    <w:p>
      <w:pPr>
        <w:spacing w:after="0" w:line="252" w:lineRule="exact"/>
        <w:rPr>
          <w:sz w:val="20"/>
          <w:szCs w:val="20"/>
          <w:color w:val="auto"/>
        </w:rPr>
      </w:pPr>
    </w:p>
    <w:p>
      <w:pPr>
        <w:jc w:val="both"/>
        <w:ind w:firstLine="324"/>
        <w:spacing w:after="0" w:line="275" w:lineRule="auto"/>
        <w:rPr>
          <w:sz w:val="20"/>
          <w:szCs w:val="20"/>
          <w:color w:val="auto"/>
        </w:rPr>
      </w:pPr>
      <w:r>
        <w:rPr>
          <w:rFonts w:ascii="Arial" w:cs="Arial" w:eastAsia="Arial" w:hAnsi="Arial"/>
          <w:sz w:val="17"/>
          <w:szCs w:val="17"/>
          <w:color w:val="auto"/>
        </w:rPr>
        <w:t>The Company’s process laboratory in Shanghai is composed of 400 square meters of thousand-class ultra clean rooms and 80 square meters of first-class ultra clean rooms. The Company’s R&amp;D personnel conduct demonstrative experiments for customers and the early equipment development in the R&amp;D laboratory. According to the general practice of semiconductor equipment industry, the later process R&amp;D and product technical verification is completed on the customer side, mainly because the customer has complete measurement equipment and product verification and production R&amp;D line enabling continuous technical testing and verification for semiconductor equipment.</w:t>
      </w:r>
    </w:p>
    <w:p>
      <w:pPr>
        <w:spacing w:after="0" w:line="199"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3. The Company Website</w:t>
      </w:r>
    </w:p>
    <w:p>
      <w:pPr>
        <w:spacing w:after="0" w:line="256"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Since its establishment, the Company has always adhered to the global development strategy. With its English website, the Company can better connect with the international semiconductor special equipment industry, and rapidly expand to other countries and regions; in addition, the Company’s downstream customers are professional enterprises in the semiconductor industry who, through access to the Company’s English website, can more easily compare the product description, technical parameters and performance advantages of the Company with those of other international semiconductor special equipment enterprises.</w:t>
      </w:r>
    </w:p>
    <w:p>
      <w:pPr>
        <w:spacing w:after="0" w:line="215"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Therefore, the Company has been conducting brand and product publicity using the English-language website of ACMR. The official website in Chinese language is being built to provide better services for customers and investors in Mainland China.</w:t>
      </w:r>
    </w:p>
    <w:p>
      <w:pPr>
        <w:spacing w:after="0" w:line="197" w:lineRule="exact"/>
        <w:rPr>
          <w:sz w:val="20"/>
          <w:szCs w:val="20"/>
          <w:color w:val="auto"/>
        </w:rPr>
      </w:pPr>
    </w:p>
    <w:p>
      <w:pPr>
        <w:jc w:val="both"/>
        <w:ind w:firstLine="324"/>
        <w:spacing w:after="0" w:line="291" w:lineRule="auto"/>
        <w:rPr>
          <w:sz w:val="20"/>
          <w:szCs w:val="20"/>
          <w:color w:val="auto"/>
        </w:rPr>
      </w:pPr>
      <w:r>
        <w:rPr>
          <w:rFonts w:ascii="Arial" w:cs="Arial" w:eastAsia="Arial" w:hAnsi="Arial"/>
          <w:sz w:val="16"/>
          <w:szCs w:val="16"/>
          <w:color w:val="auto"/>
        </w:rPr>
        <w:t>In addition, the Company generally develops new customers in two ways, of which one is referral by the existing customers or sales agents, and the other is search of the Company through its website by unknown customers. After a new customer takes the initiative to contact the Company, the Company will introduce in depth the standards and specifications of its existing products and equipment to the customers time after time, conduct necessary demonstrative experiments in its laboratory according to the special needs of the customer, determine the final equipment specifications and then move forward to business negotiation until the order is confirmed. Usually, such process requires repeated visits to the customer, which may take 3 months to 1 year, and even longer in case of a customer with special demands. After that, the Company will design and manufacture the equipment as per the order, with the whole manufacturing process to encompass purchasing parts (2 months), assembling (1 month) and testing (2-4 weeks).</w:t>
      </w:r>
    </w:p>
    <w:p>
      <w:pPr>
        <w:spacing w:after="0" w:line="36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8-4-1-108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12" w:name="page113"/>
    <w:bookmarkEnd w:id="112"/>
    <w:p>
      <w:pPr>
        <w:jc w:val="both"/>
        <w:ind w:firstLine="324"/>
        <w:spacing w:after="0" w:line="277" w:lineRule="auto"/>
        <w:rPr>
          <w:sz w:val="20"/>
          <w:szCs w:val="20"/>
          <w:color w:val="auto"/>
        </w:rPr>
      </w:pPr>
      <w:r>
        <w:rPr>
          <w:rFonts w:ascii="Arial" w:cs="Arial" w:eastAsia="Arial" w:hAnsi="Arial"/>
          <w:sz w:val="18"/>
          <w:szCs w:val="18"/>
          <w:color w:val="auto"/>
        </w:rPr>
        <w:t>The allegations in the Short-sell Report about intentional simplification of the sales and production process, and the possibility of determining product specifications by searching products on the Internet, are inconsistent with the facts.</w:t>
      </w:r>
    </w:p>
    <w:p>
      <w:pPr>
        <w:spacing w:after="0" w:line="184" w:lineRule="exact"/>
        <w:rPr>
          <w:sz w:val="20"/>
          <w:szCs w:val="20"/>
          <w:color w:val="auto"/>
        </w:rPr>
      </w:pPr>
    </w:p>
    <w:p>
      <w:pPr>
        <w:ind w:left="340"/>
        <w:spacing w:after="0"/>
        <w:rPr>
          <w:sz w:val="20"/>
          <w:szCs w:val="20"/>
          <w:color w:val="auto"/>
        </w:rPr>
      </w:pPr>
      <w:r>
        <w:rPr>
          <w:rFonts w:ascii="Arial" w:cs="Arial" w:eastAsia="Arial" w:hAnsi="Arial"/>
          <w:sz w:val="22"/>
          <w:szCs w:val="22"/>
          <w:b w:val="1"/>
          <w:bCs w:val="1"/>
          <w:color w:val="auto"/>
        </w:rPr>
        <w:t>(iii) ACMR</w:t>
      </w:r>
    </w:p>
    <w:p>
      <w:pPr>
        <w:spacing w:after="0" w:line="239" w:lineRule="exact"/>
        <w:rPr>
          <w:sz w:val="20"/>
          <w:szCs w:val="20"/>
          <w:color w:val="auto"/>
        </w:rPr>
      </w:pPr>
    </w:p>
    <w:p>
      <w:pPr>
        <w:jc w:val="both"/>
        <w:ind w:right="20" w:firstLine="324"/>
        <w:spacing w:after="0" w:line="250" w:lineRule="auto"/>
        <w:rPr>
          <w:sz w:val="20"/>
          <w:szCs w:val="20"/>
          <w:color w:val="auto"/>
        </w:rPr>
      </w:pPr>
      <w:r>
        <w:rPr>
          <w:rFonts w:ascii="Arial" w:cs="Arial" w:eastAsia="Arial" w:hAnsi="Arial"/>
          <w:sz w:val="22"/>
          <w:szCs w:val="22"/>
          <w:color w:val="auto"/>
        </w:rPr>
        <w:t>For the related-party transactions between the Company and ACMR, relevant disclosures have been made by the Company in “Section VII. X. (I) Recurrent Related-Party Transactions” of the Prospectus, as follows:</w:t>
      </w:r>
    </w:p>
    <w:p>
      <w:pPr>
        <w:spacing w:after="0" w:line="202" w:lineRule="exact"/>
        <w:rPr>
          <w:sz w:val="20"/>
          <w:szCs w:val="20"/>
          <w:color w:val="auto"/>
        </w:rPr>
      </w:pPr>
    </w:p>
    <w:p>
      <w:pPr>
        <w:jc w:val="both"/>
        <w:ind w:firstLine="324"/>
        <w:spacing w:after="0" w:line="236" w:lineRule="auto"/>
        <w:rPr>
          <w:sz w:val="20"/>
          <w:szCs w:val="20"/>
          <w:color w:val="auto"/>
        </w:rPr>
      </w:pPr>
      <w:r>
        <w:rPr>
          <w:rFonts w:ascii="Arial" w:cs="Arial" w:eastAsia="Arial" w:hAnsi="Arial"/>
          <w:sz w:val="22"/>
          <w:szCs w:val="22"/>
          <w:color w:val="auto"/>
        </w:rPr>
        <w:t>“During the Reporting Period, the Company purchased raw materials such as valves, sensors, joints, pumps and so on through ACMR. The main reason is that it is more convenient and economical to a certain extent for ACMR, an enterprise registered in the United States, to purchase products from American and Japanese suppliers. The price of raw materials purchased by the Company from ACMR was based on the price at which ACMR purchased from its suppliers, without obviously unfair price in relate-party transactions.</w:t>
      </w:r>
    </w:p>
    <w:p>
      <w:pPr>
        <w:spacing w:after="0" w:line="214" w:lineRule="exact"/>
        <w:rPr>
          <w:sz w:val="20"/>
          <w:szCs w:val="20"/>
          <w:color w:val="auto"/>
        </w:rPr>
      </w:pPr>
    </w:p>
    <w:p>
      <w:pPr>
        <w:jc w:val="both"/>
        <w:ind w:firstLine="324"/>
        <w:spacing w:after="0" w:line="328" w:lineRule="auto"/>
        <w:rPr>
          <w:sz w:val="20"/>
          <w:szCs w:val="20"/>
          <w:color w:val="auto"/>
        </w:rPr>
      </w:pPr>
      <w:r>
        <w:rPr>
          <w:rFonts w:ascii="Arial" w:cs="Arial" w:eastAsia="Arial" w:hAnsi="Arial"/>
          <w:sz w:val="19"/>
          <w:szCs w:val="19"/>
          <w:color w:val="auto"/>
        </w:rPr>
        <w:t>The Company has set up a subsidiary, ACM CA, to replace ACMR for purchasing raw materials as an agent in the United States, so as to thoroughly solve the recurrent related-party transactions of purchasing raw materials through ACMR.</w:t>
      </w:r>
    </w:p>
    <w:p>
      <w:pPr>
        <w:spacing w:after="0" w:line="132" w:lineRule="exact"/>
        <w:rPr>
          <w:sz w:val="20"/>
          <w:szCs w:val="20"/>
          <w:color w:val="auto"/>
        </w:rPr>
      </w:pPr>
    </w:p>
    <w:p>
      <w:pPr>
        <w:ind w:left="340"/>
        <w:spacing w:after="0"/>
        <w:rPr>
          <w:sz w:val="20"/>
          <w:szCs w:val="20"/>
          <w:color w:val="auto"/>
        </w:rPr>
      </w:pPr>
      <w:r>
        <w:rPr>
          <w:rFonts w:ascii="Arial" w:cs="Arial" w:eastAsia="Arial" w:hAnsi="Arial"/>
          <w:sz w:val="22"/>
          <w:szCs w:val="22"/>
          <w:color w:val="auto"/>
        </w:rPr>
        <w:t>No obviously unfair price in the related-party transactions between the Company and ACMR exists.”</w:t>
      </w:r>
    </w:p>
    <w:p>
      <w:pPr>
        <w:spacing w:after="0" w:line="227" w:lineRule="exact"/>
        <w:rPr>
          <w:sz w:val="20"/>
          <w:szCs w:val="20"/>
          <w:color w:val="auto"/>
        </w:rPr>
      </w:pPr>
    </w:p>
    <w:p>
      <w:pPr>
        <w:ind w:left="340"/>
        <w:spacing w:after="0"/>
        <w:rPr>
          <w:sz w:val="20"/>
          <w:szCs w:val="20"/>
          <w:color w:val="auto"/>
        </w:rPr>
      </w:pPr>
      <w:r>
        <w:rPr>
          <w:rFonts w:ascii="Arial" w:cs="Arial" w:eastAsia="Arial" w:hAnsi="Arial"/>
          <w:sz w:val="22"/>
          <w:szCs w:val="22"/>
          <w:b w:val="1"/>
          <w:bCs w:val="1"/>
          <w:color w:val="auto"/>
        </w:rPr>
        <w:t>(iv) Wafer Cleaning Technology</w:t>
      </w:r>
    </w:p>
    <w:p>
      <w:pPr>
        <w:spacing w:after="0" w:line="239" w:lineRule="exact"/>
        <w:rPr>
          <w:sz w:val="20"/>
          <w:szCs w:val="20"/>
          <w:color w:val="auto"/>
        </w:rPr>
      </w:pPr>
    </w:p>
    <w:p>
      <w:pPr>
        <w:ind w:left="340"/>
        <w:spacing w:after="0"/>
        <w:rPr>
          <w:sz w:val="20"/>
          <w:szCs w:val="20"/>
          <w:color w:val="auto"/>
        </w:rPr>
      </w:pPr>
      <w:r>
        <w:rPr>
          <w:rFonts w:ascii="Arial" w:cs="Arial" w:eastAsia="Arial" w:hAnsi="Arial"/>
          <w:sz w:val="19"/>
          <w:szCs w:val="19"/>
          <w:color w:val="auto"/>
        </w:rPr>
        <w:t>The importance of semiconductor cleaning in the chip manufacturing process has been disclosed by the Company in “Section</w:t>
      </w:r>
    </w:p>
    <w:p>
      <w:pPr>
        <w:spacing w:after="0" w:line="43" w:lineRule="exact"/>
        <w:rPr>
          <w:sz w:val="20"/>
          <w:szCs w:val="20"/>
          <w:color w:val="auto"/>
        </w:rPr>
      </w:pPr>
    </w:p>
    <w:p>
      <w:pPr>
        <w:spacing w:after="0"/>
        <w:rPr>
          <w:sz w:val="20"/>
          <w:szCs w:val="20"/>
          <w:color w:val="auto"/>
        </w:rPr>
      </w:pPr>
      <w:r>
        <w:rPr>
          <w:rFonts w:ascii="Arial" w:cs="Arial" w:eastAsia="Arial" w:hAnsi="Arial"/>
          <w:sz w:val="22"/>
          <w:szCs w:val="22"/>
          <w:color w:val="auto"/>
        </w:rPr>
        <w:t>VI.II.(III.3.(1) Cleaning Equipment” of the Prospectus, as follows:</w:t>
      </w:r>
    </w:p>
    <w:p>
      <w:pPr>
        <w:spacing w:after="0" w:line="189" w:lineRule="exact"/>
        <w:rPr>
          <w:sz w:val="20"/>
          <w:szCs w:val="20"/>
          <w:color w:val="auto"/>
        </w:rPr>
      </w:pPr>
    </w:p>
    <w:p>
      <w:pPr>
        <w:ind w:left="340"/>
        <w:spacing w:after="0" w:line="207" w:lineRule="exact"/>
        <w:rPr>
          <w:sz w:val="20"/>
          <w:szCs w:val="20"/>
          <w:color w:val="auto"/>
        </w:rPr>
      </w:pPr>
      <w:r>
        <w:rPr>
          <w:rFonts w:ascii="Arial" w:cs="Arial" w:eastAsia="Arial" w:hAnsi="Arial"/>
          <w:sz w:val="18"/>
          <w:szCs w:val="18"/>
          <w:color w:val="auto"/>
        </w:rPr>
        <w:t>“</w:t>
      </w:r>
      <w:r>
        <w:rPr>
          <w:rFonts w:ascii="MS PGothic" w:cs="MS PGothic" w:eastAsia="MS PGothic" w:hAnsi="MS PGothic"/>
          <w:sz w:val="18"/>
          <w:szCs w:val="18"/>
          <w:color w:val="auto"/>
        </w:rPr>
        <w:t>①</w:t>
      </w:r>
      <w:r>
        <w:rPr>
          <w:rFonts w:ascii="Arial" w:cs="Arial" w:eastAsia="Arial" w:hAnsi="Arial"/>
          <w:sz w:val="18"/>
          <w:szCs w:val="18"/>
          <w:color w:val="auto"/>
        </w:rPr>
        <w:t xml:space="preserve"> Importance of semiconductor cleaning in the chip manufacturing process</w:t>
      </w:r>
    </w:p>
    <w:p>
      <w:pPr>
        <w:spacing w:after="0" w:line="285"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Cleaning is an important process link throughout the semiconductor industry chain. It is used to clean the impurities that may exist in each step of semiconductor silicon wafer manufacturing, wafer manufacturing, and packaging and testing in order to prevent impurities from affecting the high-yield rate of chips and the performance of chips. At present, with the chip manufacturing process becoming more and more advanced, the requirements for the control of wafer surface pollutants are getting higher, and after each repetitive process such as photolithography, etching, and deposition, a cleaning process is required.</w:t>
      </w: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8-4-1-109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13" w:name="page114"/>
    <w:bookmarkEnd w:id="113"/>
    <w:p>
      <w:pPr>
        <w:jc w:val="both"/>
        <w:ind w:firstLine="324"/>
        <w:spacing w:after="0" w:line="258" w:lineRule="auto"/>
        <w:rPr>
          <w:sz w:val="20"/>
          <w:szCs w:val="20"/>
          <w:color w:val="auto"/>
        </w:rPr>
      </w:pPr>
      <w:r>
        <w:rPr>
          <w:rFonts w:ascii="Arial" w:cs="Arial" w:eastAsia="Arial" w:hAnsi="Arial"/>
          <w:sz w:val="21"/>
          <w:szCs w:val="21"/>
          <w:color w:val="auto"/>
        </w:rPr>
        <w:t>Semiconductor cleaning refers to the non-destructive cleaning of the wafer surface to remove particles, natural oxide layers, metal pollution, organic matters, sacrificial layers, polishing residues and other impurities in the semiconductor manufacturing process. The categories, sources and main harm of pollutants in semiconductor cleaning are as follows:</w:t>
      </w:r>
    </w:p>
    <w:p>
      <w:pPr>
        <w:spacing w:after="0" w:line="195" w:lineRule="exact"/>
        <w:rPr>
          <w:sz w:val="20"/>
          <w:szCs w:val="20"/>
          <w:color w:val="auto"/>
        </w:rPr>
      </w:pPr>
    </w:p>
    <w:tbl>
      <w:tblPr>
        <w:tblLayout w:type="fixed"/>
        <w:tblInd w:w="10" w:type="dxa"/>
        <w:tblCellMar>
          <w:top w:w="0" w:type="dxa"/>
          <w:left w:w="0" w:type="dxa"/>
          <w:bottom w:w="0" w:type="dxa"/>
          <w:right w:w="0" w:type="dxa"/>
        </w:tblCellMar>
      </w:tblPr>
      <w:tr>
        <w:trPr>
          <w:trHeight w:val="250"/>
        </w:trPr>
        <w:tc>
          <w:tcPr>
            <w:tcW w:w="1440" w:type="dxa"/>
            <w:vAlign w:val="bottom"/>
            <w:tcBorders>
              <w:top w:val="single" w:sz="8" w:color="auto"/>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93"/>
              </w:rPr>
              <w:t>Pollutant</w:t>
            </w:r>
          </w:p>
        </w:tc>
        <w:tc>
          <w:tcPr>
            <w:tcW w:w="292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85"/>
              </w:rPr>
              <w:t>Source</w:t>
            </w:r>
          </w:p>
        </w:tc>
        <w:tc>
          <w:tcPr>
            <w:tcW w:w="688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99"/>
              </w:rPr>
              <w:t>Main Harm</w:t>
            </w:r>
          </w:p>
        </w:tc>
        <w:tc>
          <w:tcPr>
            <w:tcW w:w="0" w:type="dxa"/>
            <w:vAlign w:val="bottom"/>
          </w:tcPr>
          <w:p>
            <w:pPr>
              <w:spacing w:after="0"/>
              <w:rPr>
                <w:sz w:val="1"/>
                <w:szCs w:val="1"/>
                <w:color w:val="auto"/>
              </w:rPr>
            </w:pPr>
          </w:p>
        </w:tc>
      </w:tr>
      <w:tr>
        <w:trPr>
          <w:trHeight w:val="202"/>
        </w:trPr>
        <w:tc>
          <w:tcPr>
            <w:tcW w:w="144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18"/>
                <w:szCs w:val="18"/>
                <w:color w:val="auto"/>
                <w:w w:val="89"/>
              </w:rPr>
              <w:t>Particles</w:t>
            </w:r>
          </w:p>
        </w:tc>
        <w:tc>
          <w:tcPr>
            <w:tcW w:w="2920" w:type="dxa"/>
            <w:vAlign w:val="bottom"/>
            <w:tcBorders>
              <w:right w:val="single" w:sz="8" w:color="auto"/>
            </w:tcBorders>
          </w:tcPr>
          <w:p>
            <w:pPr>
              <w:jc w:val="center"/>
              <w:spacing w:after="0" w:line="201" w:lineRule="exact"/>
              <w:rPr>
                <w:sz w:val="20"/>
                <w:szCs w:val="20"/>
                <w:color w:val="auto"/>
              </w:rPr>
            </w:pPr>
            <w:r>
              <w:rPr>
                <w:rFonts w:ascii="Arial" w:cs="Arial" w:eastAsia="Arial" w:hAnsi="Arial"/>
                <w:sz w:val="18"/>
                <w:szCs w:val="18"/>
                <w:color w:val="auto"/>
                <w:w w:val="91"/>
              </w:rPr>
              <w:t>Environment and other</w:t>
            </w:r>
          </w:p>
        </w:tc>
        <w:tc>
          <w:tcPr>
            <w:tcW w:w="68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0"/>
              </w:rPr>
              <w:t>Affect the subsequent photolithography and dry etching processes, causing device short circuit.</w:t>
            </w:r>
          </w:p>
        </w:tc>
        <w:tc>
          <w:tcPr>
            <w:tcW w:w="0" w:type="dxa"/>
            <w:vAlign w:val="bottom"/>
          </w:tcPr>
          <w:p>
            <w:pPr>
              <w:spacing w:after="0"/>
              <w:rPr>
                <w:sz w:val="1"/>
                <w:szCs w:val="1"/>
                <w:color w:val="auto"/>
              </w:rPr>
            </w:pPr>
          </w:p>
        </w:tc>
      </w:tr>
      <w:tr>
        <w:trPr>
          <w:trHeight w:val="122"/>
        </w:trPr>
        <w:tc>
          <w:tcPr>
            <w:tcW w:w="1440" w:type="dxa"/>
            <w:vAlign w:val="bottom"/>
            <w:tcBorders>
              <w:left w:val="single" w:sz="8" w:color="auto"/>
              <w:right w:val="single" w:sz="8" w:color="auto"/>
            </w:tcBorders>
            <w:vMerge w:val="continue"/>
          </w:tcPr>
          <w:p>
            <w:pPr>
              <w:spacing w:after="0"/>
              <w:rPr>
                <w:sz w:val="10"/>
                <w:szCs w:val="10"/>
                <w:color w:val="auto"/>
              </w:rPr>
            </w:pPr>
          </w:p>
        </w:tc>
        <w:tc>
          <w:tcPr>
            <w:tcW w:w="29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87"/>
              </w:rPr>
              <w:t>engineering processes</w:t>
            </w:r>
          </w:p>
        </w:tc>
        <w:tc>
          <w:tcPr>
            <w:tcW w:w="6880" w:type="dxa"/>
            <w:vAlign w:val="bottom"/>
            <w:tcBorders>
              <w:right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15"/>
        </w:trPr>
        <w:tc>
          <w:tcPr>
            <w:tcW w:w="1440" w:type="dxa"/>
            <w:vAlign w:val="bottom"/>
            <w:tcBorders>
              <w:left w:val="single" w:sz="8" w:color="auto"/>
              <w:bottom w:val="single" w:sz="8" w:color="auto"/>
              <w:right w:val="single" w:sz="8" w:color="auto"/>
            </w:tcBorders>
          </w:tcPr>
          <w:p>
            <w:pPr>
              <w:spacing w:after="0"/>
              <w:rPr>
                <w:sz w:val="10"/>
                <w:szCs w:val="10"/>
                <w:color w:val="auto"/>
              </w:rPr>
            </w:pPr>
          </w:p>
        </w:tc>
        <w:tc>
          <w:tcPr>
            <w:tcW w:w="2920" w:type="dxa"/>
            <w:vAlign w:val="bottom"/>
            <w:tcBorders>
              <w:bottom w:val="single" w:sz="8" w:color="auto"/>
              <w:right w:val="single" w:sz="8" w:color="auto"/>
            </w:tcBorders>
            <w:vMerge w:val="continue"/>
          </w:tcPr>
          <w:p>
            <w:pPr>
              <w:spacing w:after="0"/>
              <w:rPr>
                <w:sz w:val="10"/>
                <w:szCs w:val="10"/>
                <w:color w:val="auto"/>
              </w:rPr>
            </w:pPr>
          </w:p>
        </w:tc>
        <w:tc>
          <w:tcPr>
            <w:tcW w:w="6880" w:type="dxa"/>
            <w:vAlign w:val="bottom"/>
            <w:tcBorders>
              <w:bottom w:val="single" w:sz="8" w:color="auto"/>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202"/>
        </w:trPr>
        <w:tc>
          <w:tcPr>
            <w:tcW w:w="1440" w:type="dxa"/>
            <w:vAlign w:val="bottom"/>
            <w:tcBorders>
              <w:left w:val="single" w:sz="8" w:color="auto"/>
              <w:right w:val="single" w:sz="8" w:color="auto"/>
            </w:tcBorders>
          </w:tcPr>
          <w:p>
            <w:pPr>
              <w:jc w:val="center"/>
              <w:spacing w:after="0" w:line="201" w:lineRule="exact"/>
              <w:rPr>
                <w:sz w:val="20"/>
                <w:szCs w:val="20"/>
                <w:color w:val="auto"/>
              </w:rPr>
            </w:pPr>
            <w:r>
              <w:rPr>
                <w:rFonts w:ascii="Arial" w:cs="Arial" w:eastAsia="Arial" w:hAnsi="Arial"/>
                <w:sz w:val="18"/>
                <w:szCs w:val="18"/>
                <w:color w:val="auto"/>
                <w:w w:val="92"/>
              </w:rPr>
              <w:t>Natural</w:t>
            </w:r>
          </w:p>
        </w:tc>
        <w:tc>
          <w:tcPr>
            <w:tcW w:w="2920" w:type="dxa"/>
            <w:vAlign w:val="bottom"/>
            <w:tcBorders>
              <w:right w:val="single" w:sz="8" w:color="auto"/>
            </w:tcBorders>
          </w:tcPr>
          <w:p>
            <w:pPr>
              <w:spacing w:after="0"/>
              <w:rPr>
                <w:sz w:val="17"/>
                <w:szCs w:val="17"/>
                <w:color w:val="auto"/>
              </w:rPr>
            </w:pPr>
          </w:p>
        </w:tc>
        <w:tc>
          <w:tcPr>
            <w:tcW w:w="68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0"/>
              </w:rPr>
              <w:t>Affect the subsequent oxidation and deposition processes, causing the electrical property to</w:t>
            </w:r>
          </w:p>
        </w:tc>
        <w:tc>
          <w:tcPr>
            <w:tcW w:w="0" w:type="dxa"/>
            <w:vAlign w:val="bottom"/>
          </w:tcPr>
          <w:p>
            <w:pPr>
              <w:spacing w:after="0"/>
              <w:rPr>
                <w:sz w:val="1"/>
                <w:szCs w:val="1"/>
                <w:color w:val="auto"/>
              </w:rPr>
            </w:pPr>
          </w:p>
        </w:tc>
      </w:tr>
      <w:tr>
        <w:trPr>
          <w:trHeight w:val="108"/>
        </w:trPr>
        <w:tc>
          <w:tcPr>
            <w:tcW w:w="144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18"/>
                <w:szCs w:val="18"/>
                <w:color w:val="auto"/>
                <w:w w:val="94"/>
              </w:rPr>
              <w:t>oxidation</w:t>
            </w:r>
          </w:p>
        </w:tc>
        <w:tc>
          <w:tcPr>
            <w:tcW w:w="29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2"/>
              </w:rPr>
              <w:t>Environment</w:t>
            </w:r>
          </w:p>
        </w:tc>
        <w:tc>
          <w:tcPr>
            <w:tcW w:w="6880" w:type="dxa"/>
            <w:vAlign w:val="bottom"/>
            <w:tcBorders>
              <w:right w:val="single" w:sz="8" w:color="auto"/>
            </w:tcBorders>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1440" w:type="dxa"/>
            <w:vAlign w:val="bottom"/>
            <w:tcBorders>
              <w:left w:val="single" w:sz="8" w:color="auto"/>
              <w:right w:val="single" w:sz="8" w:color="auto"/>
            </w:tcBorders>
            <w:vMerge w:val="continue"/>
          </w:tcPr>
          <w:p>
            <w:pPr>
              <w:spacing w:after="0"/>
              <w:rPr>
                <w:sz w:val="9"/>
                <w:szCs w:val="9"/>
                <w:color w:val="auto"/>
              </w:rPr>
            </w:pPr>
          </w:p>
        </w:tc>
        <w:tc>
          <w:tcPr>
            <w:tcW w:w="2920" w:type="dxa"/>
            <w:vAlign w:val="bottom"/>
            <w:tcBorders>
              <w:right w:val="single" w:sz="8" w:color="auto"/>
            </w:tcBorders>
            <w:vMerge w:val="continue"/>
          </w:tcPr>
          <w:p>
            <w:pPr>
              <w:spacing w:after="0"/>
              <w:rPr>
                <w:sz w:val="9"/>
                <w:szCs w:val="9"/>
                <w:color w:val="auto"/>
              </w:rPr>
            </w:pPr>
          </w:p>
        </w:tc>
        <w:tc>
          <w:tcPr>
            <w:tcW w:w="68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9"/>
              </w:rPr>
              <w:t>fail.</w:t>
            </w:r>
          </w:p>
        </w:tc>
        <w:tc>
          <w:tcPr>
            <w:tcW w:w="0" w:type="dxa"/>
            <w:vAlign w:val="bottom"/>
          </w:tcPr>
          <w:p>
            <w:pPr>
              <w:spacing w:after="0"/>
              <w:rPr>
                <w:sz w:val="1"/>
                <w:szCs w:val="1"/>
                <w:color w:val="auto"/>
              </w:rPr>
            </w:pPr>
          </w:p>
        </w:tc>
      </w:tr>
      <w:tr>
        <w:trPr>
          <w:trHeight w:val="122"/>
        </w:trPr>
        <w:tc>
          <w:tcPr>
            <w:tcW w:w="144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18"/>
                <w:szCs w:val="18"/>
                <w:color w:val="auto"/>
                <w:w w:val="92"/>
              </w:rPr>
              <w:t>layer</w:t>
            </w:r>
          </w:p>
        </w:tc>
        <w:tc>
          <w:tcPr>
            <w:tcW w:w="2920" w:type="dxa"/>
            <w:vAlign w:val="bottom"/>
            <w:tcBorders>
              <w:right w:val="single" w:sz="8" w:color="auto"/>
            </w:tcBorders>
          </w:tcPr>
          <w:p>
            <w:pPr>
              <w:spacing w:after="0"/>
              <w:rPr>
                <w:sz w:val="10"/>
                <w:szCs w:val="10"/>
                <w:color w:val="auto"/>
              </w:rPr>
            </w:pPr>
          </w:p>
        </w:tc>
        <w:tc>
          <w:tcPr>
            <w:tcW w:w="6880" w:type="dxa"/>
            <w:vAlign w:val="bottom"/>
            <w:tcBorders>
              <w:right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15"/>
        </w:trPr>
        <w:tc>
          <w:tcPr>
            <w:tcW w:w="1440" w:type="dxa"/>
            <w:vAlign w:val="bottom"/>
            <w:tcBorders>
              <w:left w:val="single" w:sz="8" w:color="auto"/>
              <w:bottom w:val="single" w:sz="8" w:color="auto"/>
              <w:right w:val="single" w:sz="8" w:color="auto"/>
            </w:tcBorders>
            <w:vMerge w:val="continue"/>
          </w:tcPr>
          <w:p>
            <w:pPr>
              <w:spacing w:after="0"/>
              <w:rPr>
                <w:sz w:val="10"/>
                <w:szCs w:val="10"/>
                <w:color w:val="auto"/>
              </w:rPr>
            </w:pPr>
          </w:p>
        </w:tc>
        <w:tc>
          <w:tcPr>
            <w:tcW w:w="2920" w:type="dxa"/>
            <w:vAlign w:val="bottom"/>
            <w:tcBorders>
              <w:bottom w:val="single" w:sz="8" w:color="auto"/>
              <w:right w:val="single" w:sz="8" w:color="auto"/>
            </w:tcBorders>
          </w:tcPr>
          <w:p>
            <w:pPr>
              <w:spacing w:after="0"/>
              <w:rPr>
                <w:sz w:val="10"/>
                <w:szCs w:val="10"/>
                <w:color w:val="auto"/>
              </w:rPr>
            </w:pPr>
          </w:p>
        </w:tc>
        <w:tc>
          <w:tcPr>
            <w:tcW w:w="6880" w:type="dxa"/>
            <w:vAlign w:val="bottom"/>
            <w:tcBorders>
              <w:bottom w:val="single" w:sz="8" w:color="auto"/>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202"/>
        </w:trPr>
        <w:tc>
          <w:tcPr>
            <w:tcW w:w="1440" w:type="dxa"/>
            <w:vAlign w:val="bottom"/>
            <w:tcBorders>
              <w:left w:val="single" w:sz="8" w:color="auto"/>
              <w:right w:val="single" w:sz="8" w:color="auto"/>
            </w:tcBorders>
          </w:tcPr>
          <w:p>
            <w:pPr>
              <w:jc w:val="center"/>
              <w:spacing w:after="0" w:line="201" w:lineRule="exact"/>
              <w:rPr>
                <w:sz w:val="20"/>
                <w:szCs w:val="20"/>
                <w:color w:val="auto"/>
              </w:rPr>
            </w:pPr>
            <w:r>
              <w:rPr>
                <w:rFonts w:ascii="Arial" w:cs="Arial" w:eastAsia="Arial" w:hAnsi="Arial"/>
                <w:sz w:val="18"/>
                <w:szCs w:val="18"/>
                <w:color w:val="auto"/>
                <w:w w:val="95"/>
              </w:rPr>
              <w:t>Metal</w:t>
            </w:r>
          </w:p>
        </w:tc>
        <w:tc>
          <w:tcPr>
            <w:tcW w:w="2920" w:type="dxa"/>
            <w:vAlign w:val="bottom"/>
            <w:tcBorders>
              <w:right w:val="single" w:sz="8" w:color="auto"/>
            </w:tcBorders>
          </w:tcPr>
          <w:p>
            <w:pPr>
              <w:jc w:val="center"/>
              <w:spacing w:after="0" w:line="201" w:lineRule="exact"/>
              <w:rPr>
                <w:sz w:val="20"/>
                <w:szCs w:val="20"/>
                <w:color w:val="auto"/>
              </w:rPr>
            </w:pPr>
            <w:r>
              <w:rPr>
                <w:rFonts w:ascii="Arial" w:cs="Arial" w:eastAsia="Arial" w:hAnsi="Arial"/>
                <w:sz w:val="18"/>
                <w:szCs w:val="18"/>
                <w:color w:val="auto"/>
                <w:w w:val="91"/>
              </w:rPr>
              <w:t>Environment and other</w:t>
            </w:r>
          </w:p>
        </w:tc>
        <w:tc>
          <w:tcPr>
            <w:tcW w:w="68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1"/>
              </w:rPr>
              <w:t>Affect the subsequent oxidation process, causing the electrical property to fail.</w:t>
            </w:r>
          </w:p>
        </w:tc>
        <w:tc>
          <w:tcPr>
            <w:tcW w:w="0" w:type="dxa"/>
            <w:vAlign w:val="bottom"/>
          </w:tcPr>
          <w:p>
            <w:pPr>
              <w:spacing w:after="0"/>
              <w:rPr>
                <w:sz w:val="1"/>
                <w:szCs w:val="1"/>
                <w:color w:val="auto"/>
              </w:rPr>
            </w:pPr>
          </w:p>
        </w:tc>
      </w:tr>
      <w:tr>
        <w:trPr>
          <w:trHeight w:val="122"/>
        </w:trPr>
        <w:tc>
          <w:tcPr>
            <w:tcW w:w="144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18"/>
                <w:szCs w:val="18"/>
                <w:color w:val="auto"/>
                <w:w w:val="95"/>
              </w:rPr>
              <w:t>pollution</w:t>
            </w:r>
          </w:p>
        </w:tc>
        <w:tc>
          <w:tcPr>
            <w:tcW w:w="29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87"/>
              </w:rPr>
              <w:t>engineering processes</w:t>
            </w:r>
          </w:p>
        </w:tc>
        <w:tc>
          <w:tcPr>
            <w:tcW w:w="6880" w:type="dxa"/>
            <w:vAlign w:val="bottom"/>
            <w:tcBorders>
              <w:right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15"/>
        </w:trPr>
        <w:tc>
          <w:tcPr>
            <w:tcW w:w="1440" w:type="dxa"/>
            <w:vAlign w:val="bottom"/>
            <w:tcBorders>
              <w:left w:val="single" w:sz="8" w:color="auto"/>
              <w:bottom w:val="single" w:sz="8" w:color="auto"/>
              <w:right w:val="single" w:sz="8" w:color="auto"/>
            </w:tcBorders>
            <w:vMerge w:val="continue"/>
          </w:tcPr>
          <w:p>
            <w:pPr>
              <w:spacing w:after="0"/>
              <w:rPr>
                <w:sz w:val="10"/>
                <w:szCs w:val="10"/>
                <w:color w:val="auto"/>
              </w:rPr>
            </w:pPr>
          </w:p>
        </w:tc>
        <w:tc>
          <w:tcPr>
            <w:tcW w:w="2920" w:type="dxa"/>
            <w:vAlign w:val="bottom"/>
            <w:tcBorders>
              <w:bottom w:val="single" w:sz="8" w:color="auto"/>
              <w:right w:val="single" w:sz="8" w:color="auto"/>
            </w:tcBorders>
            <w:vMerge w:val="continue"/>
          </w:tcPr>
          <w:p>
            <w:pPr>
              <w:spacing w:after="0"/>
              <w:rPr>
                <w:sz w:val="10"/>
                <w:szCs w:val="10"/>
                <w:color w:val="auto"/>
              </w:rPr>
            </w:pPr>
          </w:p>
        </w:tc>
        <w:tc>
          <w:tcPr>
            <w:tcW w:w="6880" w:type="dxa"/>
            <w:vAlign w:val="bottom"/>
            <w:tcBorders>
              <w:bottom w:val="single" w:sz="8" w:color="auto"/>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202"/>
        </w:trPr>
        <w:tc>
          <w:tcPr>
            <w:tcW w:w="1440" w:type="dxa"/>
            <w:vAlign w:val="bottom"/>
            <w:tcBorders>
              <w:left w:val="single" w:sz="8" w:color="auto"/>
              <w:right w:val="single" w:sz="8" w:color="auto"/>
            </w:tcBorders>
          </w:tcPr>
          <w:p>
            <w:pPr>
              <w:jc w:val="center"/>
              <w:spacing w:after="0" w:line="201" w:lineRule="exact"/>
              <w:rPr>
                <w:sz w:val="20"/>
                <w:szCs w:val="20"/>
                <w:color w:val="auto"/>
              </w:rPr>
            </w:pPr>
            <w:r>
              <w:rPr>
                <w:rFonts w:ascii="Arial" w:cs="Arial" w:eastAsia="Arial" w:hAnsi="Arial"/>
                <w:sz w:val="18"/>
                <w:szCs w:val="18"/>
                <w:color w:val="auto"/>
                <w:w w:val="91"/>
              </w:rPr>
              <w:t>Organic</w:t>
            </w:r>
          </w:p>
        </w:tc>
        <w:tc>
          <w:tcPr>
            <w:tcW w:w="2920" w:type="dxa"/>
            <w:vAlign w:val="bottom"/>
            <w:tcBorders>
              <w:right w:val="single" w:sz="8" w:color="auto"/>
            </w:tcBorders>
          </w:tcPr>
          <w:p>
            <w:pPr>
              <w:jc w:val="center"/>
              <w:spacing w:after="0" w:line="201" w:lineRule="exact"/>
              <w:rPr>
                <w:sz w:val="20"/>
                <w:szCs w:val="20"/>
                <w:color w:val="auto"/>
              </w:rPr>
            </w:pPr>
            <w:r>
              <w:rPr>
                <w:rFonts w:ascii="Arial" w:cs="Arial" w:eastAsia="Arial" w:hAnsi="Arial"/>
                <w:sz w:val="18"/>
                <w:szCs w:val="18"/>
                <w:color w:val="auto"/>
                <w:w w:val="91"/>
              </w:rPr>
              <w:t>Dry etching byproducts and</w:t>
            </w:r>
          </w:p>
        </w:tc>
        <w:tc>
          <w:tcPr>
            <w:tcW w:w="68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0"/>
              </w:rPr>
              <w:t>Affect the subsequent deposition process, causing the electrical property to fail.</w:t>
            </w:r>
          </w:p>
        </w:tc>
        <w:tc>
          <w:tcPr>
            <w:tcW w:w="0" w:type="dxa"/>
            <w:vAlign w:val="bottom"/>
          </w:tcPr>
          <w:p>
            <w:pPr>
              <w:spacing w:after="0"/>
              <w:rPr>
                <w:sz w:val="1"/>
                <w:szCs w:val="1"/>
                <w:color w:val="auto"/>
              </w:rPr>
            </w:pPr>
          </w:p>
        </w:tc>
      </w:tr>
      <w:tr>
        <w:trPr>
          <w:trHeight w:val="122"/>
        </w:trPr>
        <w:tc>
          <w:tcPr>
            <w:tcW w:w="144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18"/>
                <w:szCs w:val="18"/>
                <w:color w:val="auto"/>
                <w:w w:val="86"/>
              </w:rPr>
              <w:t>matters</w:t>
            </w:r>
          </w:p>
        </w:tc>
        <w:tc>
          <w:tcPr>
            <w:tcW w:w="29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2"/>
              </w:rPr>
              <w:t>environment</w:t>
            </w:r>
          </w:p>
        </w:tc>
        <w:tc>
          <w:tcPr>
            <w:tcW w:w="6880" w:type="dxa"/>
            <w:vAlign w:val="bottom"/>
            <w:tcBorders>
              <w:right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15"/>
        </w:trPr>
        <w:tc>
          <w:tcPr>
            <w:tcW w:w="1440" w:type="dxa"/>
            <w:vAlign w:val="bottom"/>
            <w:tcBorders>
              <w:left w:val="single" w:sz="8" w:color="auto"/>
              <w:bottom w:val="single" w:sz="8" w:color="auto"/>
              <w:right w:val="single" w:sz="8" w:color="auto"/>
            </w:tcBorders>
            <w:vMerge w:val="continue"/>
          </w:tcPr>
          <w:p>
            <w:pPr>
              <w:spacing w:after="0"/>
              <w:rPr>
                <w:sz w:val="10"/>
                <w:szCs w:val="10"/>
                <w:color w:val="auto"/>
              </w:rPr>
            </w:pPr>
          </w:p>
        </w:tc>
        <w:tc>
          <w:tcPr>
            <w:tcW w:w="2920" w:type="dxa"/>
            <w:vAlign w:val="bottom"/>
            <w:tcBorders>
              <w:bottom w:val="single" w:sz="8" w:color="auto"/>
              <w:right w:val="single" w:sz="8" w:color="auto"/>
            </w:tcBorders>
            <w:vMerge w:val="continue"/>
          </w:tcPr>
          <w:p>
            <w:pPr>
              <w:spacing w:after="0"/>
              <w:rPr>
                <w:sz w:val="10"/>
                <w:szCs w:val="10"/>
                <w:color w:val="auto"/>
              </w:rPr>
            </w:pPr>
          </w:p>
        </w:tc>
        <w:tc>
          <w:tcPr>
            <w:tcW w:w="6880" w:type="dxa"/>
            <w:vAlign w:val="bottom"/>
            <w:tcBorders>
              <w:bottom w:val="single" w:sz="8" w:color="auto"/>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202"/>
        </w:trPr>
        <w:tc>
          <w:tcPr>
            <w:tcW w:w="1440" w:type="dxa"/>
            <w:vAlign w:val="bottom"/>
            <w:tcBorders>
              <w:left w:val="single" w:sz="8" w:color="auto"/>
              <w:right w:val="single" w:sz="8" w:color="auto"/>
            </w:tcBorders>
          </w:tcPr>
          <w:p>
            <w:pPr>
              <w:jc w:val="center"/>
              <w:spacing w:after="0" w:line="201" w:lineRule="exact"/>
              <w:rPr>
                <w:sz w:val="20"/>
                <w:szCs w:val="20"/>
                <w:color w:val="auto"/>
              </w:rPr>
            </w:pPr>
            <w:r>
              <w:rPr>
                <w:rFonts w:ascii="Arial" w:cs="Arial" w:eastAsia="Arial" w:hAnsi="Arial"/>
                <w:sz w:val="18"/>
                <w:szCs w:val="18"/>
                <w:color w:val="auto"/>
                <w:w w:val="96"/>
              </w:rPr>
              <w:t>Sacrificial</w:t>
            </w:r>
          </w:p>
        </w:tc>
        <w:tc>
          <w:tcPr>
            <w:tcW w:w="2920" w:type="dxa"/>
            <w:vAlign w:val="bottom"/>
            <w:tcBorders>
              <w:right w:val="single" w:sz="8" w:color="auto"/>
            </w:tcBorders>
          </w:tcPr>
          <w:p>
            <w:pPr>
              <w:jc w:val="center"/>
              <w:spacing w:after="0" w:line="201" w:lineRule="exact"/>
              <w:rPr>
                <w:sz w:val="20"/>
                <w:szCs w:val="20"/>
                <w:color w:val="auto"/>
              </w:rPr>
            </w:pPr>
            <w:r>
              <w:rPr>
                <w:rFonts w:ascii="Arial" w:cs="Arial" w:eastAsia="Arial" w:hAnsi="Arial"/>
                <w:sz w:val="18"/>
                <w:szCs w:val="18"/>
                <w:color w:val="auto"/>
                <w:w w:val="93"/>
              </w:rPr>
              <w:t>Oxidation/deposition</w:t>
            </w:r>
          </w:p>
        </w:tc>
        <w:tc>
          <w:tcPr>
            <w:tcW w:w="68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0"/>
              </w:rPr>
              <w:t>Affect specific subsequent processes, causing the electrical property to fail.</w:t>
            </w:r>
          </w:p>
        </w:tc>
        <w:tc>
          <w:tcPr>
            <w:tcW w:w="0" w:type="dxa"/>
            <w:vAlign w:val="bottom"/>
          </w:tcPr>
          <w:p>
            <w:pPr>
              <w:spacing w:after="0"/>
              <w:rPr>
                <w:sz w:val="1"/>
                <w:szCs w:val="1"/>
                <w:color w:val="auto"/>
              </w:rPr>
            </w:pPr>
          </w:p>
        </w:tc>
      </w:tr>
      <w:tr>
        <w:trPr>
          <w:trHeight w:val="122"/>
        </w:trPr>
        <w:tc>
          <w:tcPr>
            <w:tcW w:w="144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18"/>
                <w:szCs w:val="18"/>
                <w:color w:val="auto"/>
                <w:w w:val="92"/>
              </w:rPr>
              <w:t>layer</w:t>
            </w:r>
          </w:p>
        </w:tc>
        <w:tc>
          <w:tcPr>
            <w:tcW w:w="29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85"/>
              </w:rPr>
              <w:t>process</w:t>
            </w:r>
          </w:p>
        </w:tc>
        <w:tc>
          <w:tcPr>
            <w:tcW w:w="6880" w:type="dxa"/>
            <w:vAlign w:val="bottom"/>
            <w:tcBorders>
              <w:right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15"/>
        </w:trPr>
        <w:tc>
          <w:tcPr>
            <w:tcW w:w="1440" w:type="dxa"/>
            <w:vAlign w:val="bottom"/>
            <w:tcBorders>
              <w:left w:val="single" w:sz="8" w:color="auto"/>
              <w:bottom w:val="single" w:sz="8" w:color="auto"/>
              <w:right w:val="single" w:sz="8" w:color="auto"/>
            </w:tcBorders>
            <w:vMerge w:val="continue"/>
          </w:tcPr>
          <w:p>
            <w:pPr>
              <w:spacing w:after="0"/>
              <w:rPr>
                <w:sz w:val="10"/>
                <w:szCs w:val="10"/>
                <w:color w:val="auto"/>
              </w:rPr>
            </w:pPr>
          </w:p>
        </w:tc>
        <w:tc>
          <w:tcPr>
            <w:tcW w:w="2920" w:type="dxa"/>
            <w:vAlign w:val="bottom"/>
            <w:tcBorders>
              <w:bottom w:val="single" w:sz="8" w:color="auto"/>
              <w:right w:val="single" w:sz="8" w:color="auto"/>
            </w:tcBorders>
            <w:vMerge w:val="continue"/>
          </w:tcPr>
          <w:p>
            <w:pPr>
              <w:spacing w:after="0"/>
              <w:rPr>
                <w:sz w:val="10"/>
                <w:szCs w:val="10"/>
                <w:color w:val="auto"/>
              </w:rPr>
            </w:pPr>
          </w:p>
        </w:tc>
        <w:tc>
          <w:tcPr>
            <w:tcW w:w="6880" w:type="dxa"/>
            <w:vAlign w:val="bottom"/>
            <w:tcBorders>
              <w:bottom w:val="single" w:sz="8" w:color="auto"/>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202"/>
        </w:trPr>
        <w:tc>
          <w:tcPr>
            <w:tcW w:w="1440" w:type="dxa"/>
            <w:vAlign w:val="bottom"/>
            <w:tcBorders>
              <w:left w:val="single" w:sz="8" w:color="auto"/>
              <w:right w:val="single" w:sz="8" w:color="auto"/>
            </w:tcBorders>
          </w:tcPr>
          <w:p>
            <w:pPr>
              <w:jc w:val="center"/>
              <w:spacing w:after="0" w:line="201" w:lineRule="exact"/>
              <w:rPr>
                <w:sz w:val="20"/>
                <w:szCs w:val="20"/>
                <w:color w:val="auto"/>
              </w:rPr>
            </w:pPr>
            <w:r>
              <w:rPr>
                <w:rFonts w:ascii="Arial" w:cs="Arial" w:eastAsia="Arial" w:hAnsi="Arial"/>
                <w:sz w:val="18"/>
                <w:szCs w:val="18"/>
                <w:color w:val="auto"/>
                <w:w w:val="93"/>
              </w:rPr>
              <w:t>Polishing</w:t>
            </w:r>
          </w:p>
        </w:tc>
        <w:tc>
          <w:tcPr>
            <w:tcW w:w="29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8"/>
              </w:rPr>
              <w:t>Grinding fluid</w:t>
            </w:r>
          </w:p>
        </w:tc>
        <w:tc>
          <w:tcPr>
            <w:tcW w:w="68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0"/>
              </w:rPr>
              <w:t>Affect specific subsequent processes, causing the electrical property to fail.</w:t>
            </w:r>
          </w:p>
        </w:tc>
        <w:tc>
          <w:tcPr>
            <w:tcW w:w="0" w:type="dxa"/>
            <w:vAlign w:val="bottom"/>
          </w:tcPr>
          <w:p>
            <w:pPr>
              <w:spacing w:after="0"/>
              <w:rPr>
                <w:sz w:val="1"/>
                <w:szCs w:val="1"/>
                <w:color w:val="auto"/>
              </w:rPr>
            </w:pPr>
          </w:p>
        </w:tc>
      </w:tr>
      <w:tr>
        <w:trPr>
          <w:trHeight w:val="122"/>
        </w:trPr>
        <w:tc>
          <w:tcPr>
            <w:tcW w:w="144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18"/>
                <w:szCs w:val="18"/>
                <w:color w:val="auto"/>
                <w:w w:val="88"/>
              </w:rPr>
              <w:t>residues</w:t>
            </w:r>
          </w:p>
        </w:tc>
        <w:tc>
          <w:tcPr>
            <w:tcW w:w="2920" w:type="dxa"/>
            <w:vAlign w:val="bottom"/>
            <w:tcBorders>
              <w:right w:val="single" w:sz="8" w:color="auto"/>
            </w:tcBorders>
            <w:vMerge w:val="continue"/>
          </w:tcPr>
          <w:p>
            <w:pPr>
              <w:spacing w:after="0"/>
              <w:rPr>
                <w:sz w:val="10"/>
                <w:szCs w:val="10"/>
                <w:color w:val="auto"/>
              </w:rPr>
            </w:pPr>
          </w:p>
        </w:tc>
        <w:tc>
          <w:tcPr>
            <w:tcW w:w="6880" w:type="dxa"/>
            <w:vAlign w:val="bottom"/>
            <w:tcBorders>
              <w:right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15"/>
        </w:trPr>
        <w:tc>
          <w:tcPr>
            <w:tcW w:w="1440" w:type="dxa"/>
            <w:vAlign w:val="bottom"/>
            <w:tcBorders>
              <w:left w:val="single" w:sz="8" w:color="auto"/>
              <w:bottom w:val="single" w:sz="8" w:color="auto"/>
              <w:right w:val="single" w:sz="8" w:color="auto"/>
            </w:tcBorders>
            <w:vMerge w:val="continue"/>
          </w:tcPr>
          <w:p>
            <w:pPr>
              <w:spacing w:after="0"/>
              <w:rPr>
                <w:sz w:val="10"/>
                <w:szCs w:val="10"/>
                <w:color w:val="auto"/>
              </w:rPr>
            </w:pPr>
          </w:p>
        </w:tc>
        <w:tc>
          <w:tcPr>
            <w:tcW w:w="2920" w:type="dxa"/>
            <w:vAlign w:val="bottom"/>
            <w:tcBorders>
              <w:bottom w:val="single" w:sz="8" w:color="auto"/>
              <w:right w:val="single" w:sz="8" w:color="auto"/>
            </w:tcBorders>
          </w:tcPr>
          <w:p>
            <w:pPr>
              <w:spacing w:after="0"/>
              <w:rPr>
                <w:sz w:val="10"/>
                <w:szCs w:val="10"/>
                <w:color w:val="auto"/>
              </w:rPr>
            </w:pPr>
          </w:p>
        </w:tc>
        <w:tc>
          <w:tcPr>
            <w:tcW w:w="6880" w:type="dxa"/>
            <w:vAlign w:val="bottom"/>
            <w:tcBorders>
              <w:bottom w:val="single" w:sz="8" w:color="auto"/>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22" w:lineRule="exact"/>
        <w:rPr>
          <w:sz w:val="20"/>
          <w:szCs w:val="20"/>
          <w:color w:val="auto"/>
        </w:rPr>
      </w:pPr>
    </w:p>
    <w:p>
      <w:pPr>
        <w:jc w:val="both"/>
        <w:ind w:firstLine="324"/>
        <w:spacing w:after="0" w:line="246" w:lineRule="auto"/>
        <w:rPr>
          <w:sz w:val="20"/>
          <w:szCs w:val="20"/>
          <w:color w:val="auto"/>
        </w:rPr>
      </w:pPr>
      <w:r>
        <w:rPr>
          <w:rFonts w:ascii="Arial" w:cs="Arial" w:eastAsia="Arial" w:hAnsi="Arial"/>
          <w:sz w:val="21"/>
          <w:szCs w:val="21"/>
          <w:color w:val="auto"/>
        </w:rPr>
        <w:t>In order to ensure the yield and performance of the chip, the above-mentioned various contaminants on the surface of the wafer need to be controlled within the range of process requirements during the wafer manufacturing process. All wafer manufacturing processes must be carried out in a strictly controlled purification environment. At the same time, it is necessary to evaluate whether the surface characteristics of the wafer meet the requirements of the process before each step. Currently, chip technology nodes are constantly improving, from 55nm, 40nm, 28nm to 14nm, 7nm and below, the requirements for the control of contaminants on the wafer surface are becoming higher and higher, and a cleaning process is required before and after repetitive processes such as photolithography, etching, and deposition process.</w:t>
      </w:r>
    </w:p>
    <w:p>
      <w:pPr>
        <w:spacing w:after="0" w:line="211"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9"/>
          <w:szCs w:val="19"/>
          <w:color w:val="auto"/>
        </w:rPr>
        <w:t>In the semiconductor silicon wafer manufacturing process, the polished silicon wafer needs to be cleaned to ensure its surface smoothness and performance, thereby improving the yield in the follow-up process; in the wafer manufacturing process, it needs to be cleaned before and after photolithography, etching, deposition and other key processes to remove polluting chemical impurities on the wafer and reduce the defect rate; in the packaging stage, it needs to go through TSV cleaning, UBM/RDL cleaning, etc. based on the packaging process. The technical requirements of the aforementioned cleaning process are one of the most important factors affecting the chip yield, quality and reliability.</w:t>
      </w:r>
    </w:p>
    <w:p>
      <w:pPr>
        <w:spacing w:after="0" w:line="177" w:lineRule="exact"/>
        <w:rPr>
          <w:sz w:val="20"/>
          <w:szCs w:val="20"/>
          <w:color w:val="auto"/>
        </w:rPr>
      </w:pPr>
    </w:p>
    <w:p>
      <w:pPr>
        <w:jc w:val="both"/>
        <w:ind w:firstLine="324"/>
        <w:spacing w:after="0" w:line="245" w:lineRule="auto"/>
        <w:rPr>
          <w:sz w:val="20"/>
          <w:szCs w:val="20"/>
          <w:color w:val="auto"/>
        </w:rPr>
      </w:pPr>
      <w:r>
        <w:rPr>
          <w:rFonts w:ascii="Arial" w:cs="Arial" w:eastAsia="Arial" w:hAnsi="Arial"/>
          <w:sz w:val="21"/>
          <w:szCs w:val="21"/>
          <w:color w:val="auto"/>
        </w:rPr>
        <w:t>As wafer manufacturing process continues to develop towards higher precision, the complexity of the chip structure is increasing, and the sensitivity of chips to impurity content is also increasing accordingly. Small impurities will directly affect the yield of chip products. In the hundreds of chip manufacturing processes, a large number of small pollutants will inevitably be generated or contacted. In order to minimize the impact of impurities on chip yield, the current chip manufacturing process has set up a cleaning process after repeated processes such as photolithography, etching, deposition, etc. The number of cleaning steps accounts for over 30% of all chip manufacturing process steps, the highest proportion among all chip manufacturing process steps. And as the technology node continues to progress, the number and importance of cleaning processes will continue to increase, and the demand for cleaning equipment will increase accordingly when the same chip manufacturing capacity is achieved.”</w:t>
      </w:r>
    </w:p>
    <w:p>
      <w:pPr>
        <w:spacing w:after="0" w:line="39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8-4-1-110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14" w:name="page115"/>
    <w:bookmarkEnd w:id="114"/>
    <w:p>
      <w:pPr>
        <w:jc w:val="both"/>
        <w:ind w:firstLine="324"/>
        <w:spacing w:after="0" w:line="273" w:lineRule="auto"/>
        <w:rPr>
          <w:sz w:val="20"/>
          <w:szCs w:val="20"/>
          <w:color w:val="auto"/>
        </w:rPr>
      </w:pPr>
      <w:r>
        <w:rPr>
          <w:rFonts w:ascii="Arial" w:cs="Arial" w:eastAsia="Arial" w:hAnsi="Arial"/>
          <w:sz w:val="19"/>
          <w:szCs w:val="19"/>
          <w:color w:val="auto"/>
        </w:rPr>
        <w:t>For example, the number of cleaning steps of dynamic memory under 20nm node (more than 200) reaches 1/3 of the total 600 process steps. In particular, the cleaning of small particles and 3D structure has become a challenge in the industry. The Company’s self-developed SAPS megasonic cleaning technology, which is the first in the world, solves the problem of uniformity on megasonic energy in the silicon surface, thus improving the efficiency of cleaning tiny particles on the plane; the TEBO megasonic cleaning technology fundamentally avoids bubble implosion through controlling the temperature inside the bubble, which in turn resulting in non-destructive cleaning on the fragile tiny 3D structure. The two technologies have solved the two major problems of megasonic cleaning technology that have plagued the global semiconductor industry for many years, for which the Company has applied for global patent protection to establish its leading position in the field of megasonic cleaning in the next decade or so. Recalling the global development of megasonic cleaning technology, from 2000 to 2010, many international semiconductor manufacturers and research institutions, including Applied Materials, were developing the next generation of megasonic cleaning technology, but they all gave up because of the above two major problems.</w:t>
      </w:r>
    </w:p>
    <w:p>
      <w:pPr>
        <w:spacing w:after="0" w:line="190"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At present, Lam, TEL and other international well-known cleaning equipment enterprises are continuing to invest in the R&amp;D of wafer cleaning technology, while there are also core cleaning products in the market.</w:t>
      </w:r>
    </w:p>
    <w:p>
      <w:pPr>
        <w:spacing w:after="0" w:line="197"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Therefore, statements such as “single-wafer cleaning technology is actually the simplest part of the industry and the equipment is so simple” and “so low tech that Applied, Lam, TEL don’t bother with it because it’s low tech. The technology really hasn’t changed a hell of a lot in 40 years” included in the Short-sell Report are inconsistent with the facts.</w:t>
      </w:r>
    </w:p>
    <w:p>
      <w:pPr>
        <w:spacing w:after="0" w:line="207"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(v) Conclusion</w:t>
      </w:r>
    </w:p>
    <w:p>
      <w:pPr>
        <w:spacing w:after="0" w:line="256"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In sum, other comments on the Issuer in the Short-sell Report involve no challenge against the authenticity, accuracy and completeness of the disclosure of information by the Issuer.</w:t>
      </w:r>
    </w:p>
    <w:p>
      <w:pPr>
        <w:spacing w:after="0" w:line="193" w:lineRule="exact"/>
        <w:rPr>
          <w:sz w:val="20"/>
          <w:szCs w:val="20"/>
          <w:color w:val="auto"/>
        </w:rPr>
      </w:pPr>
    </w:p>
    <w:p>
      <w:pPr>
        <w:ind w:left="560" w:hanging="228"/>
        <w:spacing w:after="0"/>
        <w:tabs>
          <w:tab w:leader="none" w:pos="560" w:val="left"/>
        </w:tabs>
        <w:numPr>
          <w:ilvl w:val="0"/>
          <w:numId w:val="154"/>
        </w:numPr>
        <w:rPr>
          <w:rFonts w:ascii="Arial" w:cs="Arial" w:eastAsia="Arial" w:hAnsi="Arial"/>
          <w:sz w:val="18"/>
          <w:szCs w:val="18"/>
          <w:b w:val="1"/>
          <w:bCs w:val="1"/>
          <w:color w:val="auto"/>
        </w:rPr>
      </w:pPr>
      <w:r>
        <w:rPr>
          <w:rFonts w:ascii="Arial" w:cs="Arial" w:eastAsia="Arial" w:hAnsi="Arial"/>
          <w:sz w:val="18"/>
          <w:szCs w:val="18"/>
          <w:b w:val="1"/>
          <w:bCs w:val="1"/>
          <w:color w:val="auto"/>
        </w:rPr>
        <w:t>Verification Procedures and Opinions</w:t>
      </w:r>
    </w:p>
    <w:p>
      <w:pPr>
        <w:spacing w:after="0" w:line="252" w:lineRule="exact"/>
        <w:rPr>
          <w:rFonts w:ascii="Arial" w:cs="Arial" w:eastAsia="Arial" w:hAnsi="Arial"/>
          <w:sz w:val="18"/>
          <w:szCs w:val="18"/>
          <w:b w:val="1"/>
          <w:bCs w:val="1"/>
          <w:color w:val="auto"/>
        </w:rPr>
      </w:pPr>
    </w:p>
    <w:p>
      <w:pPr>
        <w:ind w:left="340"/>
        <w:spacing w:after="0"/>
        <w:rPr>
          <w:rFonts w:ascii="Arial" w:cs="Arial" w:eastAsia="Arial" w:hAnsi="Arial"/>
          <w:sz w:val="18"/>
          <w:szCs w:val="18"/>
          <w:b w:val="1"/>
          <w:bCs w:val="1"/>
          <w:color w:val="auto"/>
        </w:rPr>
      </w:pPr>
      <w:r>
        <w:rPr>
          <w:rFonts w:ascii="Arial" w:cs="Arial" w:eastAsia="Arial" w:hAnsi="Arial"/>
          <w:sz w:val="18"/>
          <w:szCs w:val="18"/>
          <w:b w:val="1"/>
          <w:bCs w:val="1"/>
          <w:color w:val="auto"/>
        </w:rPr>
        <w:t>(i) Verification Procedures</w:t>
      </w:r>
    </w:p>
    <w:p>
      <w:pPr>
        <w:spacing w:after="0" w:line="256" w:lineRule="exact"/>
        <w:rPr>
          <w:sz w:val="20"/>
          <w:szCs w:val="20"/>
          <w:color w:val="auto"/>
        </w:rPr>
      </w:pPr>
    </w:p>
    <w:p>
      <w:pPr>
        <w:ind w:left="340"/>
        <w:spacing w:after="0"/>
        <w:rPr>
          <w:sz w:val="20"/>
          <w:szCs w:val="20"/>
          <w:color w:val="auto"/>
        </w:rPr>
      </w:pPr>
      <w:r>
        <w:rPr>
          <w:rFonts w:ascii="Arial" w:cs="Arial" w:eastAsia="Arial" w:hAnsi="Arial"/>
          <w:sz w:val="18"/>
          <w:szCs w:val="18"/>
          <w:color w:val="auto"/>
        </w:rPr>
        <w:t>Before the release of the Short-sell Report, the Sponsor performed the following verification procedures:</w:t>
      </w:r>
    </w:p>
    <w:p>
      <w:pPr>
        <w:spacing w:after="0" w:line="245" w:lineRule="exact"/>
        <w:rPr>
          <w:sz w:val="20"/>
          <w:szCs w:val="20"/>
          <w:color w:val="auto"/>
        </w:rPr>
      </w:pPr>
    </w:p>
    <w:p>
      <w:pPr>
        <w:ind w:left="540" w:hanging="208"/>
        <w:spacing w:after="0"/>
        <w:tabs>
          <w:tab w:leader="none" w:pos="540" w:val="left"/>
        </w:tabs>
        <w:numPr>
          <w:ilvl w:val="0"/>
          <w:numId w:val="155"/>
        </w:numPr>
        <w:rPr>
          <w:rFonts w:ascii="Arial" w:cs="Arial" w:eastAsia="Arial" w:hAnsi="Arial"/>
          <w:sz w:val="22"/>
          <w:szCs w:val="22"/>
          <w:color w:val="auto"/>
        </w:rPr>
      </w:pPr>
      <w:r>
        <w:rPr>
          <w:rFonts w:ascii="Arial" w:cs="Arial" w:eastAsia="Arial" w:hAnsi="Arial"/>
          <w:sz w:val="22"/>
          <w:szCs w:val="22"/>
          <w:color w:val="auto"/>
        </w:rPr>
        <w:t>Reviewing the relevant reports on Sino-US trade disputes to analyze the risks faced by the Issuer;</w:t>
      </w:r>
    </w:p>
    <w:p>
      <w:pPr>
        <w:spacing w:after="0" w:line="233" w:lineRule="exact"/>
        <w:rPr>
          <w:rFonts w:ascii="Arial" w:cs="Arial" w:eastAsia="Arial" w:hAnsi="Arial"/>
          <w:sz w:val="22"/>
          <w:szCs w:val="22"/>
          <w:color w:val="auto"/>
        </w:rPr>
      </w:pPr>
    </w:p>
    <w:p>
      <w:pPr>
        <w:ind w:left="540" w:hanging="208"/>
        <w:spacing w:after="0"/>
        <w:tabs>
          <w:tab w:leader="none" w:pos="540" w:val="left"/>
        </w:tabs>
        <w:numPr>
          <w:ilvl w:val="0"/>
          <w:numId w:val="155"/>
        </w:numPr>
        <w:rPr>
          <w:rFonts w:ascii="Arial" w:cs="Arial" w:eastAsia="Arial" w:hAnsi="Arial"/>
          <w:sz w:val="22"/>
          <w:szCs w:val="22"/>
          <w:color w:val="auto"/>
        </w:rPr>
      </w:pPr>
      <w:r>
        <w:rPr>
          <w:rFonts w:ascii="Arial" w:cs="Arial" w:eastAsia="Arial" w:hAnsi="Arial"/>
          <w:sz w:val="22"/>
          <w:szCs w:val="22"/>
          <w:color w:val="auto"/>
        </w:rPr>
        <w:t>Reviewing the fixed assets account of the Issuer to understand its machinery equipment and fixed assets;</w:t>
      </w:r>
    </w:p>
    <w:p>
      <w:pPr>
        <w:spacing w:after="0" w:line="233" w:lineRule="exact"/>
        <w:rPr>
          <w:rFonts w:ascii="Arial" w:cs="Arial" w:eastAsia="Arial" w:hAnsi="Arial"/>
          <w:sz w:val="22"/>
          <w:szCs w:val="22"/>
          <w:color w:val="auto"/>
        </w:rPr>
      </w:pPr>
    </w:p>
    <w:p>
      <w:pPr>
        <w:ind w:right="20" w:firstLine="332"/>
        <w:spacing w:after="0" w:line="250" w:lineRule="auto"/>
        <w:tabs>
          <w:tab w:leader="none" w:pos="575" w:val="left"/>
        </w:tabs>
        <w:numPr>
          <w:ilvl w:val="0"/>
          <w:numId w:val="155"/>
        </w:numPr>
        <w:rPr>
          <w:rFonts w:ascii="Arial" w:cs="Arial" w:eastAsia="Arial" w:hAnsi="Arial"/>
          <w:sz w:val="22"/>
          <w:szCs w:val="22"/>
          <w:color w:val="auto"/>
        </w:rPr>
      </w:pPr>
      <w:r>
        <w:rPr>
          <w:rFonts w:ascii="Arial" w:cs="Arial" w:eastAsia="Arial" w:hAnsi="Arial"/>
          <w:sz w:val="22"/>
          <w:szCs w:val="22"/>
          <w:color w:val="auto"/>
        </w:rPr>
        <w:t>Interviewing the general manager of the Issuer to understand its production mode, production process, as well as the development mode of new customers;</w:t>
      </w:r>
    </w:p>
    <w:p>
      <w:pPr>
        <w:spacing w:after="0" w:line="201" w:lineRule="exact"/>
        <w:rPr>
          <w:rFonts w:ascii="Arial" w:cs="Arial" w:eastAsia="Arial" w:hAnsi="Arial"/>
          <w:sz w:val="22"/>
          <w:szCs w:val="22"/>
          <w:color w:val="auto"/>
        </w:rPr>
      </w:pPr>
    </w:p>
    <w:p>
      <w:pPr>
        <w:ind w:firstLine="332"/>
        <w:spacing w:after="0" w:line="250" w:lineRule="auto"/>
        <w:tabs>
          <w:tab w:leader="none" w:pos="540" w:val="left"/>
        </w:tabs>
        <w:numPr>
          <w:ilvl w:val="0"/>
          <w:numId w:val="155"/>
        </w:numPr>
        <w:rPr>
          <w:rFonts w:ascii="Arial" w:cs="Arial" w:eastAsia="Arial" w:hAnsi="Arial"/>
          <w:sz w:val="22"/>
          <w:szCs w:val="22"/>
          <w:color w:val="auto"/>
        </w:rPr>
      </w:pPr>
      <w:r>
        <w:rPr>
          <w:rFonts w:ascii="Arial" w:cs="Arial" w:eastAsia="Arial" w:hAnsi="Arial"/>
          <w:sz w:val="22"/>
          <w:szCs w:val="22"/>
          <w:color w:val="auto"/>
        </w:rPr>
        <w:t>Accessing to the website of the Issuer and interviewing the general manager of the Issuer to understand the background and reasons for the establishment of the website;</w:t>
      </w:r>
    </w:p>
    <w:p>
      <w:pPr>
        <w:spacing w:after="0" w:line="201" w:lineRule="exact"/>
        <w:rPr>
          <w:rFonts w:ascii="Arial" w:cs="Arial" w:eastAsia="Arial" w:hAnsi="Arial"/>
          <w:sz w:val="22"/>
          <w:szCs w:val="22"/>
          <w:color w:val="auto"/>
        </w:rPr>
      </w:pPr>
    </w:p>
    <w:p>
      <w:pPr>
        <w:ind w:right="80" w:firstLine="332"/>
        <w:spacing w:after="0" w:line="250" w:lineRule="auto"/>
        <w:tabs>
          <w:tab w:leader="none" w:pos="540" w:val="left"/>
        </w:tabs>
        <w:numPr>
          <w:ilvl w:val="0"/>
          <w:numId w:val="155"/>
        </w:numPr>
        <w:rPr>
          <w:rFonts w:ascii="Arial" w:cs="Arial" w:eastAsia="Arial" w:hAnsi="Arial"/>
          <w:sz w:val="22"/>
          <w:szCs w:val="22"/>
          <w:color w:val="auto"/>
        </w:rPr>
      </w:pPr>
      <w:r>
        <w:rPr>
          <w:rFonts w:ascii="Arial" w:cs="Arial" w:eastAsia="Arial" w:hAnsi="Arial"/>
          <w:sz w:val="22"/>
          <w:szCs w:val="22"/>
          <w:color w:val="auto"/>
        </w:rPr>
        <w:t>Obtaining and comparing the sales orders between the Issuer and ACMR and those between ACMR and final customers to recheck the fairness of the sales price;</w:t>
      </w:r>
    </w:p>
    <w:p>
      <w:pPr>
        <w:spacing w:after="0" w:line="38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8-4-1-111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15" w:name="page116"/>
    <w:bookmarkEnd w:id="115"/>
    <w:p>
      <w:pPr>
        <w:ind w:right="1100" w:firstLine="332"/>
        <w:spacing w:after="0" w:line="251" w:lineRule="auto"/>
        <w:tabs>
          <w:tab w:leader="none" w:pos="540" w:val="left"/>
        </w:tabs>
        <w:numPr>
          <w:ilvl w:val="0"/>
          <w:numId w:val="156"/>
        </w:numPr>
        <w:rPr>
          <w:rFonts w:ascii="Arial" w:cs="Arial" w:eastAsia="Arial" w:hAnsi="Arial"/>
          <w:sz w:val="22"/>
          <w:szCs w:val="22"/>
          <w:color w:val="auto"/>
        </w:rPr>
      </w:pPr>
      <w:r>
        <w:rPr>
          <w:rFonts w:ascii="Arial" w:cs="Arial" w:eastAsia="Arial" w:hAnsi="Arial"/>
          <w:sz w:val="22"/>
          <w:szCs w:val="22"/>
          <w:color w:val="auto"/>
        </w:rPr>
        <w:t>Reviewing the details of procurement by ACMR from its suppliers, and comparing the same with the details of procurement by the issuer from ACMR;</w:t>
      </w:r>
    </w:p>
    <w:p>
      <w:pPr>
        <w:spacing w:after="0" w:line="207" w:lineRule="exact"/>
        <w:rPr>
          <w:rFonts w:ascii="Arial" w:cs="Arial" w:eastAsia="Arial" w:hAnsi="Arial"/>
          <w:sz w:val="22"/>
          <w:szCs w:val="22"/>
          <w:color w:val="auto"/>
        </w:rPr>
      </w:pPr>
    </w:p>
    <w:p>
      <w:pPr>
        <w:ind w:left="520" w:hanging="188"/>
        <w:spacing w:after="0"/>
        <w:tabs>
          <w:tab w:leader="none" w:pos="520" w:val="left"/>
        </w:tabs>
        <w:numPr>
          <w:ilvl w:val="0"/>
          <w:numId w:val="156"/>
        </w:numPr>
        <w:rPr>
          <w:rFonts w:ascii="Arial" w:cs="Arial" w:eastAsia="Arial" w:hAnsi="Arial"/>
          <w:sz w:val="18"/>
          <w:szCs w:val="18"/>
          <w:color w:val="auto"/>
        </w:rPr>
      </w:pPr>
      <w:r>
        <w:rPr>
          <w:rFonts w:ascii="Arial" w:cs="Arial" w:eastAsia="Arial" w:hAnsi="Arial"/>
          <w:sz w:val="18"/>
          <w:szCs w:val="18"/>
          <w:color w:val="auto"/>
        </w:rPr>
        <w:t>Reviewing the statements of ACMR to analyze its gross profit margins and expenses, etc.; and</w:t>
      </w:r>
    </w:p>
    <w:p>
      <w:pPr>
        <w:spacing w:after="0" w:line="252" w:lineRule="exact"/>
        <w:rPr>
          <w:rFonts w:ascii="Arial" w:cs="Arial" w:eastAsia="Arial" w:hAnsi="Arial"/>
          <w:sz w:val="18"/>
          <w:szCs w:val="18"/>
          <w:color w:val="auto"/>
        </w:rPr>
      </w:pPr>
    </w:p>
    <w:p>
      <w:pPr>
        <w:ind w:left="520" w:hanging="188"/>
        <w:spacing w:after="0"/>
        <w:tabs>
          <w:tab w:leader="none" w:pos="520" w:val="left"/>
        </w:tabs>
        <w:numPr>
          <w:ilvl w:val="0"/>
          <w:numId w:val="156"/>
        </w:numPr>
        <w:rPr>
          <w:rFonts w:ascii="Arial" w:cs="Arial" w:eastAsia="Arial" w:hAnsi="Arial"/>
          <w:sz w:val="18"/>
          <w:szCs w:val="18"/>
          <w:color w:val="auto"/>
        </w:rPr>
      </w:pPr>
      <w:r>
        <w:rPr>
          <w:rFonts w:ascii="Arial" w:cs="Arial" w:eastAsia="Arial" w:hAnsi="Arial"/>
          <w:sz w:val="18"/>
          <w:szCs w:val="18"/>
          <w:color w:val="auto"/>
        </w:rPr>
        <w:t>Interviewing key customers and suppliers to check the authenticity and fairness of the business.</w:t>
      </w:r>
    </w:p>
    <w:p>
      <w:pPr>
        <w:spacing w:after="0" w:line="252"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After the release of the Short-sell Report, the Sponsor performed the following further procedures in response to the above situation:</w:t>
      </w:r>
    </w:p>
    <w:p>
      <w:pPr>
        <w:spacing w:after="0" w:line="252" w:lineRule="exact"/>
        <w:rPr>
          <w:sz w:val="20"/>
          <w:szCs w:val="20"/>
          <w:color w:val="auto"/>
        </w:rPr>
      </w:pPr>
    </w:p>
    <w:p>
      <w:pPr>
        <w:ind w:left="520" w:hanging="188"/>
        <w:spacing w:after="0"/>
        <w:tabs>
          <w:tab w:leader="none" w:pos="520" w:val="left"/>
        </w:tabs>
        <w:numPr>
          <w:ilvl w:val="0"/>
          <w:numId w:val="157"/>
        </w:numPr>
        <w:rPr>
          <w:rFonts w:ascii="Arial" w:cs="Arial" w:eastAsia="Arial" w:hAnsi="Arial"/>
          <w:sz w:val="18"/>
          <w:szCs w:val="18"/>
          <w:color w:val="auto"/>
        </w:rPr>
      </w:pPr>
      <w:r>
        <w:rPr>
          <w:rFonts w:ascii="Arial" w:cs="Arial" w:eastAsia="Arial" w:hAnsi="Arial"/>
          <w:sz w:val="18"/>
          <w:szCs w:val="18"/>
          <w:color w:val="auto"/>
        </w:rPr>
        <w:t>Reviewing and double-checking the disclosures of ACMR;</w:t>
      </w:r>
    </w:p>
    <w:p>
      <w:pPr>
        <w:spacing w:after="0" w:line="252" w:lineRule="exact"/>
        <w:rPr>
          <w:rFonts w:ascii="Arial" w:cs="Arial" w:eastAsia="Arial" w:hAnsi="Arial"/>
          <w:sz w:val="18"/>
          <w:szCs w:val="18"/>
          <w:color w:val="auto"/>
        </w:rPr>
      </w:pPr>
    </w:p>
    <w:p>
      <w:pPr>
        <w:ind w:left="520" w:hanging="188"/>
        <w:spacing w:after="0"/>
        <w:tabs>
          <w:tab w:leader="none" w:pos="520" w:val="left"/>
        </w:tabs>
        <w:numPr>
          <w:ilvl w:val="0"/>
          <w:numId w:val="157"/>
        </w:numPr>
        <w:rPr>
          <w:rFonts w:ascii="Arial" w:cs="Arial" w:eastAsia="Arial" w:hAnsi="Arial"/>
          <w:sz w:val="18"/>
          <w:szCs w:val="18"/>
          <w:color w:val="auto"/>
        </w:rPr>
      </w:pPr>
      <w:r>
        <w:rPr>
          <w:rFonts w:ascii="Arial" w:cs="Arial" w:eastAsia="Arial" w:hAnsi="Arial"/>
          <w:sz w:val="18"/>
          <w:szCs w:val="18"/>
          <w:color w:val="auto"/>
        </w:rPr>
        <w:t>Inquiring the Issuer’s sales staff to check how the Issuer’s customers familiarize themselves with the products and the website; and</w:t>
      </w:r>
    </w:p>
    <w:p>
      <w:pPr>
        <w:spacing w:after="0" w:line="244" w:lineRule="exact"/>
        <w:rPr>
          <w:rFonts w:ascii="Arial" w:cs="Arial" w:eastAsia="Arial" w:hAnsi="Arial"/>
          <w:sz w:val="18"/>
          <w:szCs w:val="18"/>
          <w:color w:val="auto"/>
        </w:rPr>
      </w:pPr>
    </w:p>
    <w:p>
      <w:pPr>
        <w:ind w:left="540" w:hanging="208"/>
        <w:spacing w:after="0"/>
        <w:tabs>
          <w:tab w:leader="none" w:pos="540" w:val="left"/>
        </w:tabs>
        <w:numPr>
          <w:ilvl w:val="0"/>
          <w:numId w:val="157"/>
        </w:numPr>
        <w:rPr>
          <w:rFonts w:ascii="Arial" w:cs="Arial" w:eastAsia="Arial" w:hAnsi="Arial"/>
          <w:sz w:val="22"/>
          <w:szCs w:val="22"/>
          <w:color w:val="auto"/>
        </w:rPr>
      </w:pPr>
      <w:r>
        <w:rPr>
          <w:rFonts w:ascii="Arial" w:cs="Arial" w:eastAsia="Arial" w:hAnsi="Arial"/>
          <w:sz w:val="22"/>
          <w:szCs w:val="22"/>
          <w:color w:val="auto"/>
        </w:rPr>
        <w:t>Checking the R&amp;D situation of enterprises in the semiconductor cleaning equipment industry.</w:t>
      </w:r>
    </w:p>
    <w:p>
      <w:pPr>
        <w:spacing w:after="0" w:line="227" w:lineRule="exact"/>
        <w:rPr>
          <w:sz w:val="20"/>
          <w:szCs w:val="20"/>
          <w:color w:val="auto"/>
        </w:rPr>
      </w:pPr>
    </w:p>
    <w:p>
      <w:pPr>
        <w:ind w:left="340"/>
        <w:spacing w:after="0"/>
        <w:rPr>
          <w:sz w:val="20"/>
          <w:szCs w:val="20"/>
          <w:color w:val="auto"/>
        </w:rPr>
      </w:pPr>
      <w:r>
        <w:rPr>
          <w:rFonts w:ascii="Arial" w:cs="Arial" w:eastAsia="Arial" w:hAnsi="Arial"/>
          <w:sz w:val="22"/>
          <w:szCs w:val="22"/>
          <w:b w:val="1"/>
          <w:bCs w:val="1"/>
          <w:color w:val="auto"/>
        </w:rPr>
        <w:t>(ii) Verification Opinions</w:t>
      </w:r>
    </w:p>
    <w:p>
      <w:pPr>
        <w:spacing w:after="0" w:line="239" w:lineRule="exact"/>
        <w:rPr>
          <w:sz w:val="20"/>
          <w:szCs w:val="20"/>
          <w:color w:val="auto"/>
        </w:rPr>
      </w:pPr>
    </w:p>
    <w:p>
      <w:pPr>
        <w:ind w:left="340"/>
        <w:spacing w:after="0"/>
        <w:rPr>
          <w:sz w:val="20"/>
          <w:szCs w:val="20"/>
          <w:color w:val="auto"/>
        </w:rPr>
      </w:pPr>
      <w:r>
        <w:rPr>
          <w:rFonts w:ascii="Arial" w:cs="Arial" w:eastAsia="Arial" w:hAnsi="Arial"/>
          <w:sz w:val="22"/>
          <w:szCs w:val="22"/>
          <w:color w:val="auto"/>
        </w:rPr>
        <w:t>Upon verification, the Sponsor opines that:</w:t>
      </w:r>
    </w:p>
    <w:p>
      <w:pPr>
        <w:spacing w:after="0" w:line="233" w:lineRule="exact"/>
        <w:rPr>
          <w:sz w:val="20"/>
          <w:szCs w:val="20"/>
          <w:color w:val="auto"/>
        </w:rPr>
      </w:pPr>
    </w:p>
    <w:p>
      <w:pPr>
        <w:ind w:left="540" w:hanging="208"/>
        <w:spacing w:after="0"/>
        <w:tabs>
          <w:tab w:leader="none" w:pos="540" w:val="left"/>
        </w:tabs>
        <w:numPr>
          <w:ilvl w:val="0"/>
          <w:numId w:val="158"/>
        </w:numPr>
        <w:rPr>
          <w:rFonts w:ascii="Arial" w:cs="Arial" w:eastAsia="Arial" w:hAnsi="Arial"/>
          <w:sz w:val="22"/>
          <w:szCs w:val="22"/>
          <w:color w:val="auto"/>
        </w:rPr>
      </w:pPr>
      <w:r>
        <w:rPr>
          <w:rFonts w:ascii="Arial" w:cs="Arial" w:eastAsia="Arial" w:hAnsi="Arial"/>
          <w:sz w:val="22"/>
          <w:szCs w:val="22"/>
          <w:color w:val="auto"/>
        </w:rPr>
        <w:t>The Issuer has disclosed the risks of escalated international trade disputes in the Prospectus;</w:t>
      </w:r>
    </w:p>
    <w:p>
      <w:pPr>
        <w:spacing w:after="0" w:line="233" w:lineRule="exact"/>
        <w:rPr>
          <w:rFonts w:ascii="Arial" w:cs="Arial" w:eastAsia="Arial" w:hAnsi="Arial"/>
          <w:sz w:val="22"/>
          <w:szCs w:val="22"/>
          <w:color w:val="auto"/>
        </w:rPr>
      </w:pPr>
    </w:p>
    <w:p>
      <w:pPr>
        <w:ind w:firstLine="332"/>
        <w:spacing w:after="0" w:line="328" w:lineRule="auto"/>
        <w:tabs>
          <w:tab w:leader="none" w:pos="550" w:val="left"/>
        </w:tabs>
        <w:numPr>
          <w:ilvl w:val="0"/>
          <w:numId w:val="158"/>
        </w:numPr>
        <w:rPr>
          <w:rFonts w:ascii="Arial" w:cs="Arial" w:eastAsia="Arial" w:hAnsi="Arial"/>
          <w:sz w:val="19"/>
          <w:szCs w:val="19"/>
          <w:color w:val="auto"/>
        </w:rPr>
      </w:pPr>
      <w:r>
        <w:rPr>
          <w:rFonts w:ascii="Arial" w:cs="Arial" w:eastAsia="Arial" w:hAnsi="Arial"/>
          <w:sz w:val="19"/>
          <w:szCs w:val="19"/>
          <w:color w:val="auto"/>
        </w:rPr>
        <w:t>The Issuer hardly engages in the business of parts processing, and has formed differentiated proprietary technology in the semiconductor special equipment industry with its technical advantages through long-term R&amp;D accumulation;</w:t>
      </w:r>
    </w:p>
    <w:p>
      <w:pPr>
        <w:spacing w:after="0" w:line="131" w:lineRule="exact"/>
        <w:rPr>
          <w:rFonts w:ascii="Arial" w:cs="Arial" w:eastAsia="Arial" w:hAnsi="Arial"/>
          <w:sz w:val="19"/>
          <w:szCs w:val="19"/>
          <w:color w:val="auto"/>
        </w:rPr>
      </w:pPr>
    </w:p>
    <w:p>
      <w:pPr>
        <w:ind w:left="540" w:hanging="208"/>
        <w:spacing w:after="0"/>
        <w:tabs>
          <w:tab w:leader="none" w:pos="540" w:val="left"/>
        </w:tabs>
        <w:numPr>
          <w:ilvl w:val="0"/>
          <w:numId w:val="158"/>
        </w:numPr>
        <w:rPr>
          <w:rFonts w:ascii="Arial" w:cs="Arial" w:eastAsia="Arial" w:hAnsi="Arial"/>
          <w:sz w:val="22"/>
          <w:szCs w:val="22"/>
          <w:color w:val="auto"/>
        </w:rPr>
      </w:pPr>
      <w:r>
        <w:rPr>
          <w:rFonts w:ascii="Arial" w:cs="Arial" w:eastAsia="Arial" w:hAnsi="Arial"/>
          <w:sz w:val="22"/>
          <w:szCs w:val="22"/>
          <w:color w:val="auto"/>
        </w:rPr>
        <w:t>It is reasonable for the Issuer to use the English-language website to publicize the brand and products;</w:t>
      </w:r>
    </w:p>
    <w:p>
      <w:pPr>
        <w:spacing w:after="0" w:line="233" w:lineRule="exact"/>
        <w:rPr>
          <w:rFonts w:ascii="Arial" w:cs="Arial" w:eastAsia="Arial" w:hAnsi="Arial"/>
          <w:sz w:val="22"/>
          <w:szCs w:val="22"/>
          <w:color w:val="auto"/>
        </w:rPr>
      </w:pPr>
    </w:p>
    <w:p>
      <w:pPr>
        <w:ind w:left="540" w:hanging="208"/>
        <w:spacing w:after="0"/>
        <w:tabs>
          <w:tab w:leader="none" w:pos="540" w:val="left"/>
        </w:tabs>
        <w:numPr>
          <w:ilvl w:val="0"/>
          <w:numId w:val="158"/>
        </w:numPr>
        <w:rPr>
          <w:rFonts w:ascii="Arial" w:cs="Arial" w:eastAsia="Arial" w:hAnsi="Arial"/>
          <w:sz w:val="22"/>
          <w:szCs w:val="22"/>
          <w:color w:val="auto"/>
        </w:rPr>
      </w:pPr>
      <w:r>
        <w:rPr>
          <w:rFonts w:ascii="Arial" w:cs="Arial" w:eastAsia="Arial" w:hAnsi="Arial"/>
          <w:sz w:val="22"/>
          <w:szCs w:val="22"/>
          <w:color w:val="auto"/>
        </w:rPr>
        <w:t>No obviously unfair price exists in related-party transactions between the Issuer and ACMR;</w:t>
      </w:r>
    </w:p>
    <w:p>
      <w:pPr>
        <w:spacing w:after="0" w:line="233" w:lineRule="exact"/>
        <w:rPr>
          <w:rFonts w:ascii="Arial" w:cs="Arial" w:eastAsia="Arial" w:hAnsi="Arial"/>
          <w:sz w:val="22"/>
          <w:szCs w:val="22"/>
          <w:color w:val="auto"/>
        </w:rPr>
      </w:pPr>
    </w:p>
    <w:p>
      <w:pPr>
        <w:ind w:firstLine="332"/>
        <w:spacing w:after="0" w:line="250" w:lineRule="auto"/>
        <w:tabs>
          <w:tab w:leader="none" w:pos="559" w:val="left"/>
        </w:tabs>
        <w:numPr>
          <w:ilvl w:val="0"/>
          <w:numId w:val="158"/>
        </w:numPr>
        <w:rPr>
          <w:rFonts w:ascii="Arial" w:cs="Arial" w:eastAsia="Arial" w:hAnsi="Arial"/>
          <w:sz w:val="22"/>
          <w:szCs w:val="22"/>
          <w:color w:val="auto"/>
        </w:rPr>
      </w:pPr>
      <w:r>
        <w:rPr>
          <w:rFonts w:ascii="Arial" w:cs="Arial" w:eastAsia="Arial" w:hAnsi="Arial"/>
          <w:sz w:val="22"/>
          <w:szCs w:val="22"/>
          <w:color w:val="auto"/>
        </w:rPr>
        <w:t>Semiconductor cleaning technology is an important process link throughout the semiconductor industry chain, with high technical level;</w:t>
      </w:r>
    </w:p>
    <w:p>
      <w:pPr>
        <w:spacing w:after="0" w:line="201" w:lineRule="exact"/>
        <w:rPr>
          <w:rFonts w:ascii="Arial" w:cs="Arial" w:eastAsia="Arial" w:hAnsi="Arial"/>
          <w:sz w:val="22"/>
          <w:szCs w:val="22"/>
          <w:color w:val="auto"/>
        </w:rPr>
      </w:pPr>
    </w:p>
    <w:p>
      <w:pPr>
        <w:ind w:firstLine="332"/>
        <w:spacing w:after="0" w:line="250" w:lineRule="auto"/>
        <w:tabs>
          <w:tab w:leader="none" w:pos="592" w:val="left"/>
        </w:tabs>
        <w:numPr>
          <w:ilvl w:val="0"/>
          <w:numId w:val="158"/>
        </w:numPr>
        <w:rPr>
          <w:rFonts w:ascii="Arial" w:cs="Arial" w:eastAsia="Arial" w:hAnsi="Arial"/>
          <w:sz w:val="22"/>
          <w:szCs w:val="22"/>
          <w:color w:val="auto"/>
        </w:rPr>
      </w:pPr>
      <w:r>
        <w:rPr>
          <w:rFonts w:ascii="Arial" w:cs="Arial" w:eastAsia="Arial" w:hAnsi="Arial"/>
          <w:sz w:val="22"/>
          <w:szCs w:val="22"/>
          <w:color w:val="auto"/>
        </w:rPr>
        <w:t>Other comments on the Issuer in the Short-sell Report involve no challenge against the authenticity, accuracy and completeness of the disclosure of information by the Issuer.</w:t>
      </w:r>
    </w:p>
    <w:p>
      <w:pPr>
        <w:spacing w:after="0" w:line="196" w:lineRule="exact"/>
        <w:rPr>
          <w:sz w:val="20"/>
          <w:szCs w:val="20"/>
          <w:color w:val="auto"/>
        </w:rPr>
      </w:pPr>
    </w:p>
    <w:p>
      <w:pPr>
        <w:ind w:left="380"/>
        <w:spacing w:after="0"/>
        <w:rPr>
          <w:sz w:val="20"/>
          <w:szCs w:val="20"/>
          <w:color w:val="auto"/>
        </w:rPr>
      </w:pPr>
      <w:r>
        <w:rPr>
          <w:rFonts w:ascii="Arial" w:cs="Arial" w:eastAsia="Arial" w:hAnsi="Arial"/>
          <w:sz w:val="22"/>
          <w:szCs w:val="22"/>
          <w:b w:val="1"/>
          <w:bCs w:val="1"/>
          <w:color w:val="auto"/>
        </w:rPr>
        <w:t>Part C - General Opinion of the Sponsor</w:t>
      </w:r>
    </w:p>
    <w:p>
      <w:pPr>
        <w:spacing w:after="0" w:line="239" w:lineRule="exact"/>
        <w:rPr>
          <w:sz w:val="20"/>
          <w:szCs w:val="20"/>
          <w:color w:val="auto"/>
        </w:rPr>
      </w:pPr>
    </w:p>
    <w:p>
      <w:pPr>
        <w:ind w:firstLine="324"/>
        <w:spacing w:after="0" w:line="250" w:lineRule="auto"/>
        <w:rPr>
          <w:sz w:val="20"/>
          <w:szCs w:val="20"/>
          <w:color w:val="auto"/>
        </w:rPr>
      </w:pPr>
      <w:r>
        <w:rPr>
          <w:rFonts w:ascii="Arial" w:cs="Arial" w:eastAsia="Arial" w:hAnsi="Arial"/>
          <w:sz w:val="22"/>
          <w:szCs w:val="22"/>
          <w:color w:val="auto"/>
        </w:rPr>
        <w:t>The Issuer’s clarifications herein have covered the challenges in the Short-sell Report, and the Sponsor has conducted corresponding verification and rendered express verification opinions and conclusions thereon.</w:t>
      </w:r>
    </w:p>
    <w:p>
      <w:pPr>
        <w:spacing w:after="0" w:line="20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(Remainder hereof is intentionally left blank)</w:t>
      </w: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8-4-1-112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16" w:name="page117"/>
    <w:bookmarkEnd w:id="116"/>
    <w:p>
      <w:pPr>
        <w:ind w:right="20" w:firstLine="324"/>
        <w:spacing w:after="0" w:line="277" w:lineRule="auto"/>
        <w:rPr>
          <w:sz w:val="20"/>
          <w:szCs w:val="20"/>
          <w:color w:val="auto"/>
        </w:rPr>
      </w:pPr>
      <w:r>
        <w:rPr>
          <w:rFonts w:ascii="Arial" w:cs="Arial" w:eastAsia="Arial" w:hAnsi="Arial"/>
          <w:sz w:val="18"/>
          <w:szCs w:val="18"/>
          <w:color w:val="auto"/>
        </w:rPr>
        <w:t>(Signature Page of the Verification Report of ACM Research (Shanghai), Inc. in Response to Media Challenges Concerning the Initial Public Offering and Listing of Shares on the STAR Market)</w:t>
      </w:r>
    </w:p>
    <w:p>
      <w:pPr>
        <w:spacing w:after="0" w:line="185" w:lineRule="exact"/>
        <w:rPr>
          <w:sz w:val="20"/>
          <w:szCs w:val="20"/>
          <w:color w:val="auto"/>
        </w:rPr>
      </w:pPr>
    </w:p>
    <w:p>
      <w:pPr>
        <w:ind w:left="60"/>
        <w:spacing w:after="0"/>
        <w:rPr>
          <w:sz w:val="20"/>
          <w:szCs w:val="20"/>
          <w:color w:val="auto"/>
        </w:rPr>
      </w:pPr>
      <w:r>
        <w:rPr>
          <w:rFonts w:ascii="Arial" w:cs="Arial" w:eastAsia="Arial" w:hAnsi="Arial"/>
          <w:sz w:val="18"/>
          <w:szCs w:val="18"/>
          <w:color w:val="auto"/>
        </w:rPr>
        <w:t xml:space="preserve">By the Legal Representative: </w:t>
      </w:r>
      <w:r>
        <w:rPr>
          <w:sz w:val="1"/>
          <w:szCs w:val="1"/>
          <w:color w:val="auto"/>
        </w:rPr>
        <w:drawing>
          <wp:inline distT="0" distB="0" distL="0" distR="0">
            <wp:extent cx="2065655" cy="882650"/>
            <wp:effectExtent l="0" t="0" r="0" b="0"/>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2065655" cy="882650"/>
                    </a:xfrm>
                    <a:prstGeom prst="rect">
                      <a:avLst/>
                    </a:prstGeom>
                    <a:noFill/>
                    <a:ln>
                      <a:noFill/>
                    </a:ln>
                  </pic:spPr>
                </pic:pic>
              </a:graphicData>
            </a:graphic>
          </wp:inline>
        </w:drawing>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5551170</wp:posOffset>
            </wp:positionH>
            <wp:positionV relativeFrom="paragraph">
              <wp:posOffset>147320</wp:posOffset>
            </wp:positionV>
            <wp:extent cx="1560195" cy="155130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1560195" cy="15513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ind w:left="8920"/>
        <w:spacing w:after="0"/>
        <w:rPr>
          <w:sz w:val="20"/>
          <w:szCs w:val="20"/>
          <w:color w:val="auto"/>
        </w:rPr>
      </w:pPr>
      <w:r>
        <w:rPr>
          <w:rFonts w:ascii="Arial" w:cs="Arial" w:eastAsia="Arial" w:hAnsi="Arial"/>
          <w:sz w:val="16"/>
          <w:szCs w:val="16"/>
          <w:color w:val="auto"/>
        </w:rPr>
        <w:t>ACM Research (Shanghai), Inc.</w:t>
      </w:r>
    </w:p>
    <w:p>
      <w:pPr>
        <w:spacing w:after="0" w:line="248" w:lineRule="exact"/>
        <w:rPr>
          <w:sz w:val="20"/>
          <w:szCs w:val="20"/>
          <w:color w:val="auto"/>
        </w:rPr>
      </w:pPr>
    </w:p>
    <w:p>
      <w:pPr>
        <w:ind w:left="8660"/>
        <w:spacing w:after="0"/>
        <w:rPr>
          <w:sz w:val="20"/>
          <w:szCs w:val="20"/>
          <w:color w:val="auto"/>
        </w:rPr>
      </w:pPr>
      <w:r>
        <w:rPr>
          <w:rFonts w:ascii="Arial" w:cs="Arial" w:eastAsia="Arial" w:hAnsi="Arial"/>
          <w:sz w:val="18"/>
          <w:szCs w:val="18"/>
          <w:color w:val="auto"/>
        </w:rPr>
        <w:t>December 2, 2020</w:t>
      </w:r>
    </w:p>
    <w:p>
      <w:pPr>
        <w:spacing w:after="0" w:line="39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8-4-1-113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17" w:name="page118"/>
    <w:bookmarkEnd w:id="117"/>
    <w:p>
      <w:pPr>
        <w:jc w:val="center"/>
        <w:ind w:right="-19"/>
        <w:spacing w:after="0"/>
        <w:rPr>
          <w:sz w:val="20"/>
          <w:szCs w:val="20"/>
          <w:color w:val="auto"/>
        </w:rPr>
      </w:pPr>
      <w:r>
        <w:rPr>
          <w:rFonts w:ascii="Arial" w:cs="Arial" w:eastAsia="Arial" w:hAnsi="Arial"/>
          <w:sz w:val="18"/>
          <w:szCs w:val="18"/>
          <w:b w:val="1"/>
          <w:bCs w:val="1"/>
          <w:color w:val="auto"/>
        </w:rPr>
        <w:t>Statement of the Issuer’s Chairman</w:t>
      </w:r>
    </w:p>
    <w:p>
      <w:pPr>
        <w:spacing w:after="0" w:line="229"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The undersigned, having taken perusal of the Verification Report of ACM Research (Shanghai), Inc. in Response to Media Challenges Concerning the Initial Public Offering and Listing of Shares on the STAR Market in full, confirms that the report content is authentic, accurate and complete without any misstatement, misleading representation or major omission.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904875</wp:posOffset>
            </wp:positionH>
            <wp:positionV relativeFrom="paragraph">
              <wp:posOffset>262890</wp:posOffset>
            </wp:positionV>
            <wp:extent cx="2288540" cy="98552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2288540" cy="9855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spacing w:after="0"/>
        <w:rPr>
          <w:sz w:val="20"/>
          <w:szCs w:val="20"/>
          <w:color w:val="auto"/>
        </w:rPr>
      </w:pPr>
      <w:r>
        <w:rPr>
          <w:rFonts w:ascii="Arial" w:cs="Arial" w:eastAsia="Arial" w:hAnsi="Arial"/>
          <w:sz w:val="18"/>
          <w:szCs w:val="18"/>
          <w:color w:val="auto"/>
        </w:rPr>
        <w:t>By the Chairman:</w:t>
      </w:r>
    </w:p>
    <w:p>
      <w:pPr>
        <w:spacing w:after="0" w:line="225" w:lineRule="exact"/>
        <w:rPr>
          <w:sz w:val="20"/>
          <w:szCs w:val="20"/>
          <w:color w:val="auto"/>
        </w:rPr>
      </w:pPr>
    </w:p>
    <w:p>
      <w:pPr>
        <w:ind w:left="2600"/>
        <w:spacing w:after="0"/>
        <w:rPr>
          <w:sz w:val="20"/>
          <w:szCs w:val="20"/>
          <w:color w:val="auto"/>
        </w:rPr>
      </w:pPr>
      <w:r>
        <w:rPr>
          <w:rFonts w:ascii="Arial" w:cs="Arial" w:eastAsia="Arial" w:hAnsi="Arial"/>
          <w:sz w:val="18"/>
          <w:szCs w:val="18"/>
          <w:color w:val="auto"/>
        </w:rPr>
        <w:t>December 2, 2020</w:t>
      </w:r>
    </w:p>
    <w:p>
      <w:pPr>
        <w:spacing w:after="0" w:line="396"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8-4-1-114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18" w:name="page119"/>
    <w:bookmarkEnd w:id="118"/>
    <w:p>
      <w:pPr>
        <w:ind w:right="80" w:firstLine="324"/>
        <w:spacing w:after="0" w:line="277" w:lineRule="auto"/>
        <w:rPr>
          <w:sz w:val="20"/>
          <w:szCs w:val="20"/>
          <w:color w:val="auto"/>
        </w:rPr>
      </w:pPr>
      <w:r>
        <w:rPr>
          <w:rFonts w:ascii="Arial" w:cs="Arial" w:eastAsia="Arial" w:hAnsi="Arial"/>
          <w:sz w:val="18"/>
          <w:szCs w:val="18"/>
          <w:color w:val="auto"/>
        </w:rPr>
        <w:t>(Signature Page of the Verification Report of ACM Research (Shanghai), Inc. in Response to Media Challenges Concerning the Initial Public Offering and Listing of Shares on the STAR Market by Haitong Securities Co., Ltd.)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2156460</wp:posOffset>
            </wp:positionH>
            <wp:positionV relativeFrom="paragraph">
              <wp:posOffset>288925</wp:posOffset>
            </wp:positionV>
            <wp:extent cx="2734310" cy="42862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2734310" cy="4286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ind w:left="340"/>
        <w:spacing w:after="0"/>
        <w:rPr>
          <w:sz w:val="20"/>
          <w:szCs w:val="20"/>
          <w:color w:val="auto"/>
        </w:rPr>
      </w:pPr>
      <w:r>
        <w:rPr>
          <w:rFonts w:ascii="Arial" w:cs="Arial" w:eastAsia="Arial" w:hAnsi="Arial"/>
          <w:sz w:val="22"/>
          <w:szCs w:val="22"/>
          <w:color w:val="auto"/>
        </w:rPr>
        <w:t>For and on behalf of the Sponsor:</w:t>
      </w:r>
    </w:p>
    <w:p>
      <w:pPr>
        <w:spacing w:after="0" w:line="240" w:lineRule="exact"/>
        <w:rPr>
          <w:sz w:val="20"/>
          <w:szCs w:val="20"/>
          <w:color w:val="auto"/>
        </w:rPr>
      </w:pPr>
    </w:p>
    <w:p>
      <w:pPr>
        <w:ind w:left="2380"/>
        <w:spacing w:after="0"/>
        <w:tabs>
          <w:tab w:leader="none" w:pos="4820" w:val="left"/>
        </w:tabs>
        <w:rPr>
          <w:sz w:val="20"/>
          <w:szCs w:val="20"/>
          <w:color w:val="auto"/>
        </w:rPr>
      </w:pPr>
      <w:r>
        <w:rPr>
          <w:rFonts w:ascii="Arial" w:cs="Arial" w:eastAsia="Arial" w:hAnsi="Arial"/>
          <w:sz w:val="18"/>
          <w:szCs w:val="18"/>
          <w:color w:val="auto"/>
        </w:rPr>
        <w:t>BOWEN ZHANG</w:t>
      </w:r>
      <w:r>
        <w:rPr>
          <w:sz w:val="20"/>
          <w:szCs w:val="20"/>
          <w:color w:val="auto"/>
        </w:rPr>
        <w:tab/>
      </w:r>
      <w:r>
        <w:rPr>
          <w:rFonts w:ascii="Arial" w:cs="Arial" w:eastAsia="Arial" w:hAnsi="Arial"/>
          <w:sz w:val="18"/>
          <w:szCs w:val="18"/>
          <w:color w:val="auto"/>
        </w:rPr>
        <w:t>LING LI</w:t>
      </w:r>
    </w:p>
    <w:p>
      <w:pPr>
        <w:spacing w:after="0" w:line="266" w:lineRule="exact"/>
        <w:rPr>
          <w:sz w:val="20"/>
          <w:szCs w:val="20"/>
          <w:color w:val="auto"/>
        </w:rPr>
      </w:pPr>
    </w:p>
    <w:p>
      <w:pPr>
        <w:ind w:left="340"/>
        <w:spacing w:after="0"/>
        <w:rPr>
          <w:sz w:val="20"/>
          <w:szCs w:val="20"/>
          <w:color w:val="auto"/>
        </w:rPr>
      </w:pPr>
      <w:r>
        <w:rPr>
          <w:rFonts w:ascii="Arial" w:cs="Arial" w:eastAsia="Arial" w:hAnsi="Arial"/>
          <w:sz w:val="22"/>
          <w:szCs w:val="22"/>
          <w:color w:val="auto"/>
        </w:rPr>
        <w:t xml:space="preserve">By the Sponsor’s Chairman: </w:t>
      </w:r>
      <w:r>
        <w:rPr>
          <w:sz w:val="1"/>
          <w:szCs w:val="1"/>
          <w:color w:val="auto"/>
        </w:rPr>
        <w:drawing>
          <wp:inline distT="0" distB="0" distL="0" distR="0">
            <wp:extent cx="1131570" cy="643255"/>
            <wp:effectExtent l="0" t="0" r="0" b="0"/>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1131570" cy="643255"/>
                    </a:xfrm>
                    <a:prstGeom prst="rect">
                      <a:avLst/>
                    </a:prstGeom>
                    <a:noFill/>
                    <a:ln>
                      <a:noFill/>
                    </a:ln>
                  </pic:spPr>
                </pic:pic>
              </a:graphicData>
            </a:graphic>
          </wp:inline>
        </w:drawing>
      </w:r>
    </w:p>
    <w:p>
      <w:pPr>
        <w:spacing w:after="0" w:line="236" w:lineRule="exact"/>
        <w:rPr>
          <w:sz w:val="20"/>
          <w:szCs w:val="20"/>
          <w:color w:val="auto"/>
        </w:rPr>
      </w:pPr>
    </w:p>
    <w:p>
      <w:pPr>
        <w:ind w:left="1920"/>
        <w:spacing w:after="0"/>
        <w:rPr>
          <w:sz w:val="20"/>
          <w:szCs w:val="20"/>
          <w:color w:val="auto"/>
        </w:rPr>
      </w:pPr>
      <w:r>
        <w:rPr>
          <w:rFonts w:ascii="Arial" w:cs="Arial" w:eastAsia="Arial" w:hAnsi="Arial"/>
          <w:sz w:val="18"/>
          <w:szCs w:val="18"/>
          <w:color w:val="auto"/>
        </w:rPr>
        <w:t>JIE ZHOU</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5645785</wp:posOffset>
            </wp:positionH>
            <wp:positionV relativeFrom="paragraph">
              <wp:posOffset>168910</wp:posOffset>
            </wp:positionV>
            <wp:extent cx="1491615" cy="152590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1491615" cy="15259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jc w:val="right"/>
        <w:spacing w:after="0"/>
        <w:rPr>
          <w:sz w:val="20"/>
          <w:szCs w:val="20"/>
          <w:color w:val="auto"/>
        </w:rPr>
      </w:pPr>
      <w:r>
        <w:rPr>
          <w:rFonts w:ascii="Arial" w:cs="Arial" w:eastAsia="Arial" w:hAnsi="Arial"/>
          <w:sz w:val="22"/>
          <w:szCs w:val="22"/>
          <w:color w:val="auto"/>
        </w:rPr>
        <w:t>Haitong Securities Co., Ltd.</w:t>
      </w:r>
    </w:p>
    <w:p>
      <w:pPr>
        <w:spacing w:after="0" w:line="240" w:lineRule="exact"/>
        <w:rPr>
          <w:sz w:val="20"/>
          <w:szCs w:val="20"/>
          <w:color w:val="auto"/>
        </w:rPr>
      </w:pPr>
    </w:p>
    <w:p>
      <w:pPr>
        <w:ind w:left="8900"/>
        <w:spacing w:after="0"/>
        <w:rPr>
          <w:sz w:val="20"/>
          <w:szCs w:val="20"/>
          <w:color w:val="auto"/>
        </w:rPr>
      </w:pPr>
      <w:r>
        <w:rPr>
          <w:rFonts w:ascii="Arial" w:cs="Arial" w:eastAsia="Arial" w:hAnsi="Arial"/>
          <w:sz w:val="18"/>
          <w:szCs w:val="18"/>
          <w:color w:val="auto"/>
        </w:rPr>
        <w:t>December 2, 2020</w:t>
      </w: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8-4-1-115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19" w:name="page120"/>
    <w:bookmarkEnd w:id="119"/>
    <w:p>
      <w:pPr>
        <w:jc w:val="center"/>
        <w:spacing w:after="0"/>
        <w:rPr>
          <w:sz w:val="20"/>
          <w:szCs w:val="20"/>
          <w:color w:val="auto"/>
        </w:rPr>
      </w:pPr>
      <w:r>
        <w:rPr>
          <w:rFonts w:ascii="Arial" w:cs="Arial" w:eastAsia="Arial" w:hAnsi="Arial"/>
          <w:sz w:val="18"/>
          <w:szCs w:val="18"/>
          <w:b w:val="1"/>
          <w:bCs w:val="1"/>
          <w:color w:val="auto"/>
        </w:rPr>
        <w:t>Statement of the Sponsor’s Chairman</w:t>
      </w:r>
    </w:p>
    <w:p>
      <w:pPr>
        <w:spacing w:after="0" w:line="256"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The undersigned, having taken perusal of the Verification Report of ACM Research (Shanghai), Inc. in Response to Media Challenges Concerning the Initial Public Offering and Listing of Shares on the STAR Market in full and been clear about the verification procedures for the issues involved in the said report, the internal check and risk control process of his company, confirms that his company has verified such report with due diligence and found the same to be free from any misstatement, misleading representation or major omission, and will be liable for the authenticity, accuracy, completeness and timeliness of the aforesaid document correspondingly according to law.</w:t>
      </w:r>
    </w:p>
    <w:p>
      <w:pPr>
        <w:spacing w:after="0" w:line="229" w:lineRule="exact"/>
        <w:rPr>
          <w:sz w:val="20"/>
          <w:szCs w:val="20"/>
          <w:color w:val="auto"/>
        </w:rPr>
      </w:pPr>
    </w:p>
    <w:p>
      <w:pPr>
        <w:ind w:left="600"/>
        <w:spacing w:after="0"/>
        <w:rPr>
          <w:sz w:val="20"/>
          <w:szCs w:val="20"/>
          <w:color w:val="auto"/>
        </w:rPr>
      </w:pPr>
      <w:r>
        <w:rPr>
          <w:rFonts w:ascii="Arial" w:cs="Arial" w:eastAsia="Arial" w:hAnsi="Arial"/>
          <w:sz w:val="22"/>
          <w:szCs w:val="22"/>
          <w:color w:val="auto"/>
        </w:rPr>
        <w:t xml:space="preserve">By the Sponsor’s Chairman: </w:t>
      </w:r>
      <w:r>
        <w:rPr>
          <w:sz w:val="1"/>
          <w:szCs w:val="1"/>
          <w:color w:val="auto"/>
        </w:rPr>
        <w:drawing>
          <wp:inline distT="0" distB="0" distL="0" distR="0">
            <wp:extent cx="1080135" cy="762635"/>
            <wp:effectExtent l="0" t="0" r="0" b="0"/>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1080135" cy="762635"/>
                    </a:xfrm>
                    <a:prstGeom prst="rect">
                      <a:avLst/>
                    </a:prstGeom>
                    <a:noFill/>
                    <a:ln>
                      <a:noFill/>
                    </a:ln>
                  </pic:spPr>
                </pic:pic>
              </a:graphicData>
            </a:graphic>
          </wp:inline>
        </w:drawing>
      </w:r>
    </w:p>
    <w:p>
      <w:pPr>
        <w:spacing w:after="0" w:line="236" w:lineRule="exact"/>
        <w:rPr>
          <w:sz w:val="20"/>
          <w:szCs w:val="20"/>
          <w:color w:val="auto"/>
        </w:rPr>
      </w:pPr>
    </w:p>
    <w:p>
      <w:pPr>
        <w:ind w:left="2640"/>
        <w:spacing w:after="0"/>
        <w:rPr>
          <w:sz w:val="20"/>
          <w:szCs w:val="20"/>
          <w:color w:val="auto"/>
        </w:rPr>
      </w:pPr>
      <w:r>
        <w:rPr>
          <w:rFonts w:ascii="Arial" w:cs="Arial" w:eastAsia="Arial" w:hAnsi="Arial"/>
          <w:sz w:val="18"/>
          <w:szCs w:val="18"/>
          <w:color w:val="auto"/>
        </w:rPr>
        <w:t>JIE ZHOU</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jc w:val="center"/>
        <w:ind w:left="8800"/>
        <w:spacing w:after="0"/>
        <w:rPr>
          <w:sz w:val="20"/>
          <w:szCs w:val="20"/>
          <w:color w:val="auto"/>
        </w:rPr>
      </w:pPr>
      <w:r>
        <w:rPr>
          <w:rFonts w:ascii="Arial" w:cs="Arial" w:eastAsia="Arial" w:hAnsi="Arial"/>
          <w:sz w:val="19"/>
          <w:szCs w:val="19"/>
          <w:color w:val="auto"/>
        </w:rPr>
        <w:t>Haitong Securities Co., Ltd.</w:t>
      </w:r>
    </w:p>
    <w:p>
      <w:pPr>
        <w:spacing w:after="0" w:line="275" w:lineRule="exact"/>
        <w:rPr>
          <w:sz w:val="20"/>
          <w:szCs w:val="20"/>
          <w:color w:val="auto"/>
        </w:rPr>
      </w:pPr>
    </w:p>
    <w:p>
      <w:pPr>
        <w:ind w:left="9380"/>
        <w:spacing w:after="0"/>
        <w:rPr>
          <w:sz w:val="20"/>
          <w:szCs w:val="20"/>
          <w:color w:val="auto"/>
        </w:rPr>
      </w:pPr>
      <w:r>
        <w:rPr>
          <w:rFonts w:ascii="Arial" w:cs="Arial" w:eastAsia="Arial" w:hAnsi="Arial"/>
          <w:sz w:val="18"/>
          <w:szCs w:val="18"/>
          <w:color w:val="auto"/>
        </w:rPr>
        <w:t>December 2, 2020</w:t>
      </w:r>
    </w:p>
    <w:p>
      <w:pPr>
        <w:spacing w:after="0" w:line="200" w:lineRule="exact"/>
        <w:rPr>
          <w:sz w:val="20"/>
          <w:szCs w:val="20"/>
          <w:color w:val="auto"/>
        </w:rPr>
      </w:pPr>
    </w:p>
    <w:p>
      <w:pPr>
        <w:spacing w:after="0" w:line="29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8-4-1-116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72390</wp:posOffset>
            </wp:positionV>
            <wp:extent cx="7132320" cy="1714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sectPr>
      <w:pgSz w:w="11900" w:h="16838" w:orient="portrait"/>
      <w:cols w:equalWidth="0" w:num="1">
        <w:col w:w="11240"/>
      </w:cols>
      <w:pgMar w:left="320" w:top="121"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B0FD379"/>
    <w:multiLevelType w:val="hybridMultilevel"/>
    <w:lvl w:ilvl="0">
      <w:lvlJc w:val="left"/>
      <w:lvlText w:val="☐"/>
      <w:numFmt w:val="bullet"/>
      <w:start w:val="1"/>
    </w:lvl>
  </w:abstractNum>
  <w:abstractNum w:abstractNumId="1">
    <w:nsid w:val="68EB2F63"/>
    <w:multiLevelType w:val="hybridMultilevel"/>
    <w:lvl w:ilvl="0">
      <w:lvlJc w:val="left"/>
      <w:lvlText w:val="•"/>
      <w:numFmt w:val="bullet"/>
      <w:start w:val="1"/>
    </w:lvl>
  </w:abstractNum>
  <w:abstractNum w:abstractNumId="2">
    <w:nsid w:val="4962813B"/>
    <w:multiLevelType w:val="hybridMultilevel"/>
    <w:lvl w:ilvl="0">
      <w:lvlJc w:val="left"/>
      <w:lvlText w:val="%1."/>
      <w:numFmt w:val="decimal"/>
      <w:start w:val="1"/>
    </w:lvl>
  </w:abstractNum>
  <w:abstractNum w:abstractNumId="3">
    <w:nsid w:val="60B6DF70"/>
    <w:multiLevelType w:val="hybridMultilevel"/>
    <w:lvl w:ilvl="0">
      <w:lvlJc w:val="left"/>
      <w:lvlText w:val="%1."/>
      <w:numFmt w:val="decimal"/>
      <w:start w:val="1"/>
    </w:lvl>
  </w:abstractNum>
  <w:abstractNum w:abstractNumId="4">
    <w:nsid w:val="6A5EE64"/>
    <w:multiLevelType w:val="hybridMultilevel"/>
    <w:lvl w:ilvl="0">
      <w:lvlJc w:val="left"/>
      <w:lvlText w:val="%1."/>
      <w:numFmt w:val="decimal"/>
      <w:start w:val="4"/>
    </w:lvl>
  </w:abstractNum>
  <w:abstractNum w:abstractNumId="5">
    <w:nsid w:val="14330624"/>
    <w:multiLevelType w:val="hybridMultilevel"/>
    <w:lvl w:ilvl="0">
      <w:lvlJc w:val="left"/>
      <w:lvlText w:val="%1."/>
      <w:numFmt w:val="decimal"/>
      <w:start w:val="1"/>
    </w:lvl>
  </w:abstractNum>
  <w:abstractNum w:abstractNumId="6">
    <w:nsid w:val="7FFFCA11"/>
    <w:multiLevelType w:val="hybridMultilevel"/>
    <w:lvl w:ilvl="0">
      <w:lvlJc w:val="left"/>
      <w:lvlText w:val="%1."/>
      <w:numFmt w:val="upperLetter"/>
      <w:start w:val="35"/>
    </w:lvl>
  </w:abstractNum>
  <w:abstractNum w:abstractNumId="7">
    <w:nsid w:val="1A27709E"/>
    <w:multiLevelType w:val="hybridMultilevel"/>
    <w:lvl w:ilvl="0">
      <w:lvlJc w:val="left"/>
      <w:lvlText w:val="%1."/>
      <w:numFmt w:val="decimal"/>
      <w:start w:val="1"/>
    </w:lvl>
  </w:abstractNum>
  <w:abstractNum w:abstractNumId="8">
    <w:nsid w:val="71EA1109"/>
    <w:multiLevelType w:val="hybridMultilevel"/>
    <w:lvl w:ilvl="0">
      <w:lvlJc w:val="left"/>
      <w:lvlText w:val="%1."/>
      <w:numFmt w:val="decimal"/>
      <w:start w:val="1"/>
    </w:lvl>
  </w:abstractNum>
  <w:abstractNum w:abstractNumId="9">
    <w:nsid w:val="100F59DC"/>
    <w:multiLevelType w:val="hybridMultilevel"/>
    <w:lvl w:ilvl="0">
      <w:lvlJc w:val="left"/>
      <w:lvlText w:val="%1."/>
      <w:numFmt w:val="decimal"/>
      <w:start w:val="2"/>
    </w:lvl>
  </w:abstractNum>
  <w:abstractNum w:abstractNumId="10">
    <w:nsid w:val="7FB7E0AA"/>
    <w:multiLevelType w:val="hybridMultilevel"/>
    <w:lvl w:ilvl="0">
      <w:lvlJc w:val="left"/>
      <w:lvlText w:val="1"/>
      <w:numFmt w:val="bullet"/>
      <w:start w:val="1"/>
    </w:lvl>
  </w:abstractNum>
  <w:abstractNum w:abstractNumId="11">
    <w:nsid w:val="6EB5BD4"/>
    <w:multiLevelType w:val="hybridMultilevel"/>
    <w:lvl w:ilvl="0">
      <w:lvlJc w:val="left"/>
      <w:lvlText w:val="%1."/>
      <w:numFmt w:val="upperLetter"/>
      <w:start w:val="35"/>
    </w:lvl>
  </w:abstractNum>
  <w:abstractNum w:abstractNumId="12">
    <w:nsid w:val="6F6DD9AC"/>
    <w:multiLevelType w:val="hybridMultilevel"/>
    <w:lvl w:ilvl="0">
      <w:lvlJc w:val="left"/>
      <w:lvlText w:val="%1."/>
      <w:numFmt w:val="decimal"/>
      <w:start w:val="1"/>
    </w:lvl>
  </w:abstractNum>
  <w:abstractNum w:abstractNumId="13">
    <w:nsid w:val="94211F2"/>
    <w:multiLevelType w:val="hybridMultilevel"/>
    <w:lvl w:ilvl="0">
      <w:lvlJc w:val="left"/>
      <w:lvlText w:val="%1."/>
      <w:numFmt w:val="decimal"/>
      <w:start w:val="1"/>
    </w:lvl>
  </w:abstractNum>
  <w:abstractNum w:abstractNumId="14">
    <w:nsid w:val="885E1B"/>
    <w:multiLevelType w:val="hybridMultilevel"/>
    <w:lvl w:ilvl="0">
      <w:lvlJc w:val="left"/>
      <w:lvlText w:val="%1."/>
      <w:numFmt w:val="decimal"/>
      <w:start w:val="1"/>
    </w:lvl>
  </w:abstractNum>
  <w:abstractNum w:abstractNumId="15">
    <w:nsid w:val="76272110"/>
    <w:multiLevelType w:val="hybridMultilevel"/>
    <w:lvl w:ilvl="0">
      <w:lvlJc w:val="left"/>
      <w:lvlText w:val="%1."/>
      <w:numFmt w:val="decimal"/>
      <w:start w:val="3"/>
    </w:lvl>
  </w:abstractNum>
  <w:abstractNum w:abstractNumId="16">
    <w:nsid w:val="4C04A8AF"/>
    <w:multiLevelType w:val="hybridMultilevel"/>
    <w:lvl w:ilvl="0">
      <w:lvlJc w:val="left"/>
      <w:lvlText w:val="(%1)"/>
      <w:numFmt w:val="lowerRoman"/>
      <w:start w:val="3"/>
    </w:lvl>
  </w:abstractNum>
  <w:abstractNum w:abstractNumId="17">
    <w:nsid w:val="1716703B"/>
    <w:multiLevelType w:val="hybridMultilevel"/>
    <w:lvl w:ilvl="0">
      <w:lvlJc w:val="left"/>
      <w:lvlText w:val="(%1)"/>
      <w:numFmt w:val="decimal"/>
      <w:start w:val="1"/>
    </w:lvl>
  </w:abstractNum>
  <w:abstractNum w:abstractNumId="18">
    <w:nsid w:val="14E17E33"/>
    <w:multiLevelType w:val="hybridMultilevel"/>
    <w:lvl w:ilvl="0">
      <w:lvlJc w:val="left"/>
      <w:lvlText w:val="(%1)"/>
      <w:numFmt w:val="decimal"/>
      <w:start w:val="8"/>
    </w:lvl>
  </w:abstractNum>
  <w:abstractNum w:abstractNumId="19">
    <w:nsid w:val="3222E7CD"/>
    <w:multiLevelType w:val="hybridMultilevel"/>
    <w:lvl w:ilvl="0">
      <w:lvlJc w:val="left"/>
      <w:lvlText w:val="%1."/>
      <w:numFmt w:val="decimal"/>
      <w:start w:val="3"/>
    </w:lvl>
  </w:abstractNum>
  <w:abstractNum w:abstractNumId="20">
    <w:nsid w:val="74DE0EE3"/>
    <w:multiLevelType w:val="hybridMultilevel"/>
    <w:lvl w:ilvl="0">
      <w:lvlJc w:val="left"/>
      <w:lvlText w:val="(%1)"/>
      <w:numFmt w:val="lowerRoman"/>
      <w:start w:val="4"/>
    </w:lvl>
  </w:abstractNum>
  <w:abstractNum w:abstractNumId="21">
    <w:nsid w:val="68EBC550"/>
    <w:multiLevelType w:val="hybridMultilevel"/>
    <w:lvl w:ilvl="0">
      <w:lvlJc w:val="left"/>
      <w:lvlText w:val="%1."/>
      <w:numFmt w:val="decimal"/>
      <w:start w:val="1"/>
    </w:lvl>
  </w:abstractNum>
  <w:abstractNum w:abstractNumId="22">
    <w:nsid w:val="2DF6D648"/>
    <w:multiLevelType w:val="hybridMultilevel"/>
    <w:lvl w:ilvl="0">
      <w:lvlJc w:val="left"/>
      <w:lvlText w:val="%1."/>
      <w:numFmt w:val="decimal"/>
      <w:start w:val="2"/>
    </w:lvl>
  </w:abstractNum>
  <w:abstractNum w:abstractNumId="23">
    <w:nsid w:val="46B7D447"/>
    <w:multiLevelType w:val="hybridMultilevel"/>
    <w:lvl w:ilvl="0">
      <w:lvlJc w:val="left"/>
      <w:lvlText w:val="%1."/>
      <w:numFmt w:val="upperLetter"/>
      <w:start w:val="35"/>
    </w:lvl>
  </w:abstractNum>
  <w:abstractNum w:abstractNumId="24">
    <w:nsid w:val="4A2AC315"/>
    <w:multiLevelType w:val="hybridMultilevel"/>
    <w:lvl w:ilvl="0">
      <w:lvlJc w:val="left"/>
      <w:lvlText w:val="%1."/>
      <w:numFmt w:val="decimal"/>
      <w:start w:val="1"/>
    </w:lvl>
  </w:abstractNum>
  <w:abstractNum w:abstractNumId="25">
    <w:nsid w:val="39EE015C"/>
    <w:multiLevelType w:val="hybridMultilevel"/>
    <w:lvl w:ilvl="0">
      <w:lvlJc w:val="left"/>
      <w:lvlText w:val="%1."/>
      <w:numFmt w:val="decimal"/>
      <w:start w:val="3"/>
    </w:lvl>
  </w:abstractNum>
  <w:abstractNum w:abstractNumId="26">
    <w:nsid w:val="57FC4FBB"/>
    <w:multiLevelType w:val="hybridMultilevel"/>
    <w:lvl w:ilvl="0">
      <w:lvlJc w:val="left"/>
      <w:lvlText w:val="%1."/>
      <w:numFmt w:val="decimal"/>
      <w:start w:val="1"/>
    </w:lvl>
  </w:abstractNum>
  <w:abstractNum w:abstractNumId="27">
    <w:nsid w:val="CC1016F"/>
    <w:multiLevelType w:val="hybridMultilevel"/>
    <w:lvl w:ilvl="0">
      <w:lvlJc w:val="left"/>
      <w:lvlText w:val="%1."/>
      <w:numFmt w:val="decimal"/>
      <w:start w:val="1"/>
    </w:lvl>
  </w:abstractNum>
  <w:abstractNum w:abstractNumId="28">
    <w:nsid w:val="43F18422"/>
    <w:multiLevelType w:val="hybridMultilevel"/>
    <w:lvl w:ilvl="0">
      <w:lvlJc w:val="left"/>
      <w:lvlText w:val="%1."/>
      <w:numFmt w:val="decimal"/>
      <w:start w:val="3"/>
    </w:lvl>
  </w:abstractNum>
  <w:abstractNum w:abstractNumId="29">
    <w:nsid w:val="60EF0119"/>
    <w:multiLevelType w:val="hybridMultilevel"/>
    <w:lvl w:ilvl="0">
      <w:lvlJc w:val="left"/>
      <w:lvlText w:val="%1."/>
      <w:numFmt w:val="decimal"/>
      <w:start w:val="2"/>
    </w:lvl>
  </w:abstractNum>
  <w:abstractNum w:abstractNumId="30">
    <w:nsid w:val="26F324BA"/>
    <w:multiLevelType w:val="hybridMultilevel"/>
    <w:lvl w:ilvl="0">
      <w:lvlJc w:val="left"/>
      <w:lvlText w:val="%1."/>
      <w:numFmt w:val="decimal"/>
      <w:start w:val="3"/>
    </w:lvl>
  </w:abstractNum>
  <w:abstractNum w:abstractNumId="31">
    <w:nsid w:val="7F01579B"/>
    <w:multiLevelType w:val="hybridMultilevel"/>
    <w:lvl w:ilvl="0">
      <w:lvlJc w:val="left"/>
      <w:lvlText w:val="%1."/>
      <w:numFmt w:val="upperLetter"/>
      <w:start w:val="35"/>
    </w:lvl>
  </w:abstractNum>
  <w:abstractNum w:abstractNumId="32">
    <w:nsid w:val="49DA307D"/>
    <w:multiLevelType w:val="hybridMultilevel"/>
    <w:lvl w:ilvl="0">
      <w:lvlJc w:val="left"/>
      <w:lvlText w:val="%1."/>
      <w:numFmt w:val="decimal"/>
      <w:start w:val="1"/>
    </w:lvl>
  </w:abstractNum>
  <w:abstractNum w:abstractNumId="33">
    <w:nsid w:val="7055A5F5"/>
    <w:multiLevelType w:val="hybridMultilevel"/>
    <w:lvl w:ilvl="0">
      <w:lvlJc w:val="left"/>
      <w:lvlText w:val="%1."/>
      <w:numFmt w:val="decimal"/>
      <w:start w:val="7"/>
    </w:lvl>
  </w:abstractNum>
  <w:abstractNum w:abstractNumId="34">
    <w:nsid w:val="5FB8370B"/>
    <w:multiLevelType w:val="hybridMultilevel"/>
    <w:lvl w:ilvl="0">
      <w:lvlJc w:val="left"/>
      <w:lvlText w:val="%1."/>
      <w:numFmt w:val="decimal"/>
      <w:start w:val="9"/>
    </w:lvl>
  </w:abstractNum>
  <w:abstractNum w:abstractNumId="35">
    <w:nsid w:val="50801EE1"/>
    <w:multiLevelType w:val="hybridMultilevel"/>
    <w:lvl w:ilvl="0">
      <w:lvlJc w:val="left"/>
      <w:lvlText w:val="%1."/>
      <w:numFmt w:val="decimal"/>
      <w:start w:val="1"/>
    </w:lvl>
  </w:abstractNum>
  <w:abstractNum w:abstractNumId="36">
    <w:nsid w:val="488AC1A"/>
    <w:multiLevelType w:val="hybridMultilevel"/>
    <w:lvl w:ilvl="0">
      <w:lvlJc w:val="left"/>
      <w:lvlText w:val="%1."/>
      <w:numFmt w:val="decimal"/>
      <w:start w:val="1"/>
    </w:lvl>
  </w:abstractNum>
  <w:abstractNum w:abstractNumId="37">
    <w:nsid w:val="5FB8011C"/>
    <w:multiLevelType w:val="hybridMultilevel"/>
    <w:lvl w:ilvl="0">
      <w:lvlJc w:val="left"/>
      <w:lvlText w:val="%1."/>
      <w:numFmt w:val="decimal"/>
      <w:start w:val="5"/>
    </w:lvl>
  </w:abstractNum>
  <w:abstractNum w:abstractNumId="38">
    <w:nsid w:val="6AA78F7F"/>
    <w:multiLevelType w:val="hybridMultilevel"/>
    <w:lvl w:ilvl="0">
      <w:lvlJc w:val="left"/>
      <w:lvlText w:val="(%1)"/>
      <w:numFmt w:val="lowerRoman"/>
      <w:start w:val="3"/>
    </w:lvl>
  </w:abstractNum>
  <w:abstractNum w:abstractNumId="39">
    <w:nsid w:val="7672BD23"/>
    <w:multiLevelType w:val="hybridMultilevel"/>
    <w:lvl w:ilvl="0">
      <w:lvlJc w:val="left"/>
      <w:lvlText w:val="%1."/>
      <w:numFmt w:val="upperLetter"/>
      <w:start w:val="35"/>
    </w:lvl>
  </w:abstractNum>
  <w:abstractNum w:abstractNumId="40">
    <w:nsid w:val="6FC75AF8"/>
    <w:multiLevelType w:val="hybridMultilevel"/>
    <w:lvl w:ilvl="0">
      <w:lvlJc w:val="left"/>
      <w:lvlText w:val="%1."/>
      <w:numFmt w:val="decimal"/>
      <w:start w:val="1"/>
    </w:lvl>
  </w:abstractNum>
  <w:abstractNum w:abstractNumId="41">
    <w:nsid w:val="6A5F7029"/>
    <w:multiLevelType w:val="hybridMultilevel"/>
    <w:lvl w:ilvl="0">
      <w:lvlJc w:val="left"/>
      <w:lvlText w:val="%1."/>
      <w:numFmt w:val="decimal"/>
      <w:start w:val="1"/>
    </w:lvl>
  </w:abstractNum>
  <w:abstractNum w:abstractNumId="42">
    <w:nsid w:val="7D5E18F8"/>
    <w:multiLevelType w:val="hybridMultilevel"/>
    <w:lvl w:ilvl="0">
      <w:lvlJc w:val="left"/>
      <w:lvlText w:val="%1."/>
      <w:numFmt w:val="decimal"/>
      <w:start w:val="1"/>
    </w:lvl>
  </w:abstractNum>
  <w:abstractNum w:abstractNumId="43">
    <w:nsid w:val="5F3534A4"/>
    <w:multiLevelType w:val="hybridMultilevel"/>
    <w:lvl w:ilvl="0">
      <w:lvlJc w:val="left"/>
      <w:lvlText w:val="%1."/>
      <w:numFmt w:val="decimal"/>
      <w:start w:val="1"/>
    </w:lvl>
  </w:abstractNum>
  <w:abstractNum w:abstractNumId="44">
    <w:nsid w:val="73A1821B"/>
    <w:multiLevelType w:val="hybridMultilevel"/>
    <w:lvl w:ilvl="0">
      <w:lvlJc w:val="left"/>
      <w:lvlText w:val="(%1)"/>
      <w:numFmt w:val="lowerRoman"/>
      <w:start w:val="1"/>
    </w:lvl>
  </w:abstractNum>
  <w:abstractNum w:abstractNumId="45">
    <w:nsid w:val="7DE67713"/>
    <w:multiLevelType w:val="hybridMultilevel"/>
    <w:lvl w:ilvl="0">
      <w:lvlJc w:val="left"/>
      <w:lvlText w:val="(%1)"/>
      <w:numFmt w:val="lowerRoman"/>
      <w:start w:val="2"/>
    </w:lvl>
  </w:abstractNum>
  <w:abstractNum w:abstractNumId="46">
    <w:nsid w:val="555C55B5"/>
    <w:multiLevelType w:val="hybridMultilevel"/>
    <w:lvl w:ilvl="0">
      <w:lvlJc w:val="left"/>
      <w:lvlText w:val="%1."/>
      <w:numFmt w:val="upperLetter"/>
      <w:start w:val="35"/>
    </w:lvl>
  </w:abstractNum>
  <w:abstractNum w:abstractNumId="47">
    <w:nsid w:val="3FA62ACA"/>
    <w:multiLevelType w:val="hybridMultilevel"/>
    <w:lvl w:ilvl="0">
      <w:lvlJc w:val="left"/>
      <w:lvlText w:val="%1."/>
      <w:numFmt w:val="decimal"/>
      <w:start w:val="1"/>
    </w:lvl>
  </w:abstractNum>
  <w:abstractNum w:abstractNumId="48">
    <w:nsid w:val="14FCE74E"/>
    <w:multiLevelType w:val="hybridMultilevel"/>
    <w:lvl w:ilvl="0">
      <w:lvlJc w:val="left"/>
      <w:lvlText w:val="%1."/>
      <w:numFmt w:val="decimal"/>
      <w:start w:val="4"/>
    </w:lvl>
  </w:abstractNum>
  <w:abstractNum w:abstractNumId="49">
    <w:nsid w:val="6A3DD3E8"/>
    <w:multiLevelType w:val="hybridMultilevel"/>
    <w:lvl w:ilvl="0">
      <w:lvlJc w:val="left"/>
      <w:lvlText w:val="%1."/>
      <w:numFmt w:val="decimal"/>
      <w:start w:val="1"/>
    </w:lvl>
  </w:abstractNum>
  <w:abstractNum w:abstractNumId="50">
    <w:nsid w:val="71C91298"/>
    <w:multiLevelType w:val="hybridMultilevel"/>
    <w:lvl w:ilvl="0">
      <w:lvlJc w:val="left"/>
      <w:lvlText w:val="%1."/>
      <w:numFmt w:val="decimal"/>
      <w:start w:val="1"/>
    </w:lvl>
  </w:abstractNum>
  <w:abstractNum w:abstractNumId="51">
    <w:nsid w:val="9DAF632"/>
    <w:multiLevelType w:val="hybridMultilevel"/>
    <w:lvl w:ilvl="0">
      <w:lvlJc w:val="left"/>
      <w:lvlText w:val="%1."/>
      <w:numFmt w:val="decimal"/>
      <w:start w:val="2"/>
    </w:lvl>
  </w:abstractNum>
  <w:abstractNum w:abstractNumId="52">
    <w:nsid w:val="53299938"/>
    <w:multiLevelType w:val="hybridMultilevel"/>
    <w:lvl w:ilvl="0">
      <w:lvlJc w:val="left"/>
      <w:lvlText w:val="(%1)"/>
      <w:numFmt w:val="decimal"/>
      <w:start w:val="1"/>
    </w:lvl>
  </w:abstractNum>
  <w:abstractNum w:abstractNumId="53">
    <w:nsid w:val="1FBFE8E0"/>
    <w:multiLevelType w:val="hybridMultilevel"/>
    <w:lvl w:ilvl="0">
      <w:lvlJc w:val="left"/>
      <w:lvlText w:val="(%1)"/>
      <w:numFmt w:val="decimal"/>
      <w:start w:val="3"/>
    </w:lvl>
  </w:abstractNum>
  <w:abstractNum w:abstractNumId="54">
    <w:nsid w:val="5092CA79"/>
    <w:multiLevelType w:val="hybridMultilevel"/>
    <w:lvl w:ilvl="0">
      <w:lvlJc w:val="left"/>
      <w:lvlText w:val="%1."/>
      <w:numFmt w:val="decimal"/>
      <w:start w:val="2"/>
    </w:lvl>
  </w:abstractNum>
  <w:abstractNum w:abstractNumId="55">
    <w:nsid w:val="1D545C4D"/>
    <w:multiLevelType w:val="hybridMultilevel"/>
    <w:lvl w:ilvl="0">
      <w:lvlJc w:val="left"/>
      <w:lvlText w:val="(%1)"/>
      <w:numFmt w:val="lowerRoman"/>
      <w:start w:val="6"/>
    </w:lvl>
  </w:abstractNum>
  <w:abstractNum w:abstractNumId="56">
    <w:nsid w:val="59ADEA3D"/>
    <w:multiLevelType w:val="hybridMultilevel"/>
    <w:lvl w:ilvl="0">
      <w:lvlJc w:val="left"/>
      <w:lvlText w:val="%1."/>
      <w:numFmt w:val="upperLetter"/>
      <w:start w:val="35"/>
    </w:lvl>
  </w:abstractNum>
  <w:abstractNum w:abstractNumId="57">
    <w:nsid w:val="288F1A34"/>
    <w:multiLevelType w:val="hybridMultilevel"/>
    <w:lvl w:ilvl="0">
      <w:lvlJc w:val="left"/>
      <w:lvlText w:val="%1."/>
      <w:numFmt w:val="decimal"/>
      <w:start w:val="1"/>
    </w:lvl>
  </w:abstractNum>
  <w:abstractNum w:abstractNumId="58">
    <w:nsid w:val="2A155DBC"/>
    <w:multiLevelType w:val="hybridMultilevel"/>
    <w:lvl w:ilvl="0">
      <w:lvlJc w:val="left"/>
      <w:lvlText w:val="%1."/>
      <w:numFmt w:val="decimal"/>
      <w:start w:val="7"/>
    </w:lvl>
  </w:abstractNum>
  <w:abstractNum w:abstractNumId="59">
    <w:nsid w:val="1D9F6E5F"/>
    <w:multiLevelType w:val="hybridMultilevel"/>
    <w:lvl w:ilvl="0">
      <w:lvlJc w:val="left"/>
      <w:lvlText w:val="%1."/>
      <w:numFmt w:val="decimal"/>
      <w:start w:val="1"/>
    </w:lvl>
  </w:abstractNum>
  <w:abstractNum w:abstractNumId="60">
    <w:nsid w:val="97E1B4E"/>
    <w:multiLevelType w:val="hybridMultilevel"/>
    <w:lvl w:ilvl="0">
      <w:lvlJc w:val="left"/>
      <w:lvlText w:val="%1."/>
      <w:numFmt w:val="decimal"/>
      <w:start w:val="3"/>
    </w:lvl>
  </w:abstractNum>
  <w:abstractNum w:abstractNumId="61">
    <w:nsid w:val="51088277"/>
    <w:multiLevelType w:val="hybridMultilevel"/>
    <w:lvl w:ilvl="0">
      <w:lvlJc w:val="left"/>
      <w:lvlText w:val="%1."/>
      <w:numFmt w:val="decimal"/>
      <w:start w:val="1"/>
    </w:lvl>
  </w:abstractNum>
  <w:abstractNum w:abstractNumId="62">
    <w:nsid w:val="1CA0C5FA"/>
    <w:multiLevelType w:val="hybridMultilevel"/>
    <w:lvl w:ilvl="0">
      <w:lvlJc w:val="left"/>
      <w:lvlText w:val="%1."/>
      <w:numFmt w:val="decimal"/>
      <w:start w:val="3"/>
    </w:lvl>
  </w:abstractNum>
  <w:abstractNum w:abstractNumId="63">
    <w:nsid w:val="53584BCB"/>
    <w:multiLevelType w:val="hybridMultilevel"/>
    <w:lvl w:ilvl="0">
      <w:lvlJc w:val="left"/>
      <w:lvlText w:val="%1."/>
      <w:numFmt w:val="upperLetter"/>
      <w:start w:val="35"/>
    </w:lvl>
  </w:abstractNum>
  <w:abstractNum w:abstractNumId="64">
    <w:nsid w:val="415E286C"/>
    <w:multiLevelType w:val="hybridMultilevel"/>
    <w:lvl w:ilvl="0">
      <w:lvlJc w:val="left"/>
      <w:lvlText w:val="%1."/>
      <w:numFmt w:val="decimal"/>
      <w:start w:val="1"/>
    </w:lvl>
  </w:abstractNum>
  <w:abstractNum w:abstractNumId="65">
    <w:nsid w:val="7C58FD05"/>
    <w:multiLevelType w:val="hybridMultilevel"/>
    <w:lvl w:ilvl="0">
      <w:lvlJc w:val="left"/>
      <w:lvlText w:val="%1."/>
      <w:numFmt w:val="decimal"/>
      <w:start w:val="1"/>
    </w:lvl>
  </w:abstractNum>
  <w:abstractNum w:abstractNumId="66">
    <w:nsid w:val="23D86AAC"/>
    <w:multiLevelType w:val="hybridMultilevel"/>
    <w:lvl w:ilvl="0">
      <w:lvlJc w:val="left"/>
      <w:lvlText w:val="(%1)"/>
      <w:numFmt w:val="decimal"/>
      <w:start w:val="1"/>
    </w:lvl>
  </w:abstractNum>
  <w:abstractNum w:abstractNumId="67">
    <w:nsid w:val="45E6D486"/>
    <w:multiLevelType w:val="hybridMultilevel"/>
    <w:lvl w:ilvl="0">
      <w:lvlJc w:val="left"/>
      <w:lvlText w:val="%1."/>
      <w:numFmt w:val="decimal"/>
      <w:start w:val="1"/>
    </w:lvl>
  </w:abstractNum>
  <w:abstractNum w:abstractNumId="68">
    <w:nsid w:val="5C10FE21"/>
    <w:multiLevelType w:val="hybridMultilevel"/>
    <w:lvl w:ilvl="0">
      <w:lvlJc w:val="left"/>
      <w:lvlText w:val="%1."/>
      <w:numFmt w:val="decimal"/>
      <w:start w:val="1"/>
    </w:lvl>
  </w:abstractNum>
  <w:abstractNum w:abstractNumId="69">
    <w:nsid w:val="E7FFA2B"/>
    <w:multiLevelType w:val="hybridMultilevel"/>
    <w:lvl w:ilvl="0">
      <w:lvlJc w:val="left"/>
      <w:lvlText w:val="%1."/>
      <w:numFmt w:val="decimal"/>
      <w:start w:val="5"/>
    </w:lvl>
  </w:abstractNum>
  <w:abstractNum w:abstractNumId="70">
    <w:nsid w:val="3C5991AA"/>
    <w:multiLevelType w:val="hybridMultilevel"/>
    <w:lvl w:ilvl="0">
      <w:lvlJc w:val="left"/>
      <w:lvlText w:val="%1."/>
      <w:numFmt w:val="decimal"/>
      <w:start w:val="1"/>
    </w:lvl>
  </w:abstractNum>
  <w:abstractNum w:abstractNumId="71">
    <w:nsid w:val="4BD8591A"/>
    <w:multiLevelType w:val="hybridMultilevel"/>
    <w:lvl w:ilvl="0">
      <w:lvlJc w:val="left"/>
      <w:lvlText w:val="%1."/>
      <w:numFmt w:val="decimal"/>
      <w:start w:val="3"/>
    </w:lvl>
  </w:abstractNum>
  <w:abstractNum w:abstractNumId="72">
    <w:nsid w:val="78DF6A55"/>
    <w:multiLevelType w:val="hybridMultilevel"/>
    <w:lvl w:ilvl="0">
      <w:lvlJc w:val="left"/>
      <w:lvlText w:val="%1."/>
      <w:numFmt w:val="upperLetter"/>
      <w:start w:val="35"/>
    </w:lvl>
  </w:abstractNum>
  <w:abstractNum w:abstractNumId="73">
    <w:nsid w:val="39B7AAA2"/>
    <w:multiLevelType w:val="hybridMultilevel"/>
    <w:lvl w:ilvl="0">
      <w:lvlJc w:val="left"/>
      <w:lvlText w:val="%1."/>
      <w:numFmt w:val="decimal"/>
      <w:start w:val="1"/>
    </w:lvl>
  </w:abstractNum>
  <w:abstractNum w:abstractNumId="74">
    <w:nsid w:val="2B0D8DBE"/>
    <w:multiLevelType w:val="hybridMultilevel"/>
    <w:lvl w:ilvl="0">
      <w:lvlJc w:val="left"/>
      <w:lvlText w:val="%1."/>
      <w:numFmt w:val="decimal"/>
      <w:start w:val="1"/>
    </w:lvl>
  </w:abstractNum>
  <w:abstractNum w:abstractNumId="75">
    <w:nsid w:val="6C80EC70"/>
    <w:multiLevelType w:val="hybridMultilevel"/>
    <w:lvl w:ilvl="0">
      <w:lvlJc w:val="left"/>
      <w:lvlText w:val="%1."/>
      <w:numFmt w:val="decimal"/>
      <w:start w:val="6"/>
    </w:lvl>
    <w:lvl w:ilvl="1">
      <w:lvlJc w:val="left"/>
      <w:lvlText w:val="(%2)"/>
      <w:numFmt w:val="decimal"/>
      <w:start w:val="1"/>
    </w:lvl>
  </w:abstractNum>
  <w:abstractNum w:abstractNumId="76">
    <w:nsid w:val="379E21B5"/>
    <w:multiLevelType w:val="hybridMultilevel"/>
    <w:lvl w:ilvl="0">
      <w:lvlJc w:val="left"/>
      <w:lvlText w:val="(%1)"/>
      <w:numFmt w:val="decimal"/>
      <w:start w:val="2"/>
    </w:lvl>
  </w:abstractNum>
  <w:abstractNum w:abstractNumId="77">
    <w:nsid w:val="69E373"/>
    <w:multiLevelType w:val="hybridMultilevel"/>
    <w:lvl w:ilvl="0">
      <w:lvlJc w:val="left"/>
      <w:lvlText w:val="%1."/>
      <w:numFmt w:val="upperLetter"/>
      <w:start w:val="35"/>
    </w:lvl>
  </w:abstractNum>
  <w:abstractNum w:abstractNumId="78">
    <w:nsid w:val="2C27173B"/>
    <w:multiLevelType w:val="hybridMultilevel"/>
    <w:lvl w:ilvl="0">
      <w:lvlJc w:val="left"/>
      <w:lvlText w:val="%1"/>
      <w:numFmt w:val="decimal"/>
      <w:start w:val="1"/>
    </w:lvl>
    <w:lvl w:ilvl="1">
      <w:lvlJc w:val="left"/>
      <w:lvlText w:val="%2."/>
      <w:numFmt w:val="decimal"/>
      <w:start w:val="1"/>
    </w:lvl>
  </w:abstractNum>
  <w:abstractNum w:abstractNumId="79">
    <w:nsid w:val="4C9B0904"/>
    <w:multiLevelType w:val="hybridMultilevel"/>
    <w:lvl w:ilvl="0">
      <w:lvlJc w:val="left"/>
      <w:lvlText w:val="%1)"/>
      <w:numFmt w:val="decimal"/>
      <w:start w:val="22"/>
    </w:lvl>
    <w:lvl w:ilvl="1">
      <w:lvlJc w:val="left"/>
      <w:lvlText w:val="%2"/>
      <w:numFmt w:val="decimal"/>
      <w:start w:val="1"/>
    </w:lvl>
  </w:abstractNum>
  <w:abstractNum w:abstractNumId="80">
    <w:nsid w:val="6AA7B75C"/>
    <w:multiLevelType w:val="hybridMultilevel"/>
    <w:lvl w:ilvl="0">
      <w:lvlJc w:val="left"/>
      <w:lvlText w:val="%1."/>
      <w:numFmt w:val="decimal"/>
      <w:start w:val="2"/>
    </w:lvl>
  </w:abstractNum>
  <w:abstractNum w:abstractNumId="81">
    <w:nsid w:val="1DF029D3"/>
    <w:multiLevelType w:val="hybridMultilevel"/>
    <w:lvl w:ilvl="0">
      <w:lvlJc w:val="left"/>
      <w:lvlText w:val="%1."/>
      <w:numFmt w:val="decimal"/>
      <w:start w:val="7"/>
    </w:lvl>
  </w:abstractNum>
  <w:abstractNum w:abstractNumId="82">
    <w:nsid w:val="5675FF36"/>
    <w:multiLevelType w:val="hybridMultilevel"/>
    <w:lvl w:ilvl="0">
      <w:lvlJc w:val="left"/>
      <w:lvlText w:val="(%1)"/>
      <w:numFmt w:val="decimal"/>
      <w:start w:val="1"/>
    </w:lvl>
  </w:abstractNum>
  <w:abstractNum w:abstractNumId="83">
    <w:nsid w:val="3DD15094"/>
    <w:multiLevelType w:val="hybridMultilevel"/>
    <w:lvl w:ilvl="0">
      <w:lvlJc w:val="left"/>
      <w:lvlText w:val="①"/>
      <w:numFmt w:val="bullet"/>
      <w:start w:val="1"/>
    </w:lvl>
  </w:abstractNum>
  <w:abstractNum w:abstractNumId="84">
    <w:nsid w:val="3DB012B3"/>
    <w:multiLevelType w:val="hybridMultilevel"/>
    <w:lvl w:ilvl="0">
      <w:lvlJc w:val="left"/>
      <w:lvlText w:val="②"/>
      <w:numFmt w:val="bullet"/>
      <w:start w:val="1"/>
    </w:lvl>
  </w:abstractNum>
  <w:abstractNum w:abstractNumId="85">
    <w:nsid w:val="2708C9AF"/>
    <w:multiLevelType w:val="hybridMultilevel"/>
    <w:lvl w:ilvl="0">
      <w:lvlJc w:val="left"/>
      <w:lvlText w:val="%1."/>
      <w:numFmt w:val="decimal"/>
      <w:start w:val="1"/>
    </w:lvl>
  </w:abstractNum>
  <w:abstractNum w:abstractNumId="86">
    <w:nsid w:val="5B25ACE2"/>
    <w:multiLevelType w:val="hybridMultilevel"/>
    <w:lvl w:ilvl="0">
      <w:lvlJc w:val="left"/>
      <w:lvlText w:val="%1."/>
      <w:numFmt w:val="decimal"/>
      <w:start w:val="2"/>
    </w:lvl>
  </w:abstractNum>
  <w:abstractNum w:abstractNumId="87">
    <w:nsid w:val="175DFCF0"/>
    <w:multiLevelType w:val="hybridMultilevel"/>
    <w:lvl w:ilvl="0">
      <w:lvlJc w:val="left"/>
      <w:lvlText w:val="%1."/>
      <w:numFmt w:val="upperLetter"/>
      <w:start w:val="35"/>
    </w:lvl>
  </w:abstractNum>
  <w:abstractNum w:abstractNumId="88">
    <w:nsid w:val="4F97E3E4"/>
    <w:multiLevelType w:val="hybridMultilevel"/>
    <w:lvl w:ilvl="0">
      <w:lvlJc w:val="left"/>
      <w:lvlText w:val="%1."/>
      <w:numFmt w:val="decimal"/>
      <w:start w:val="1"/>
    </w:lvl>
  </w:abstractNum>
  <w:abstractNum w:abstractNumId="89">
    <w:nsid w:val="53B0A9E"/>
    <w:multiLevelType w:val="hybridMultilevel"/>
    <w:lvl w:ilvl="0">
      <w:lvlJc w:val="left"/>
      <w:lvlText w:val="%1."/>
      <w:numFmt w:val="decimal"/>
      <w:start w:val="1"/>
    </w:lvl>
  </w:abstractNum>
  <w:abstractNum w:abstractNumId="90">
    <w:nsid w:val="34FD6B4F"/>
    <w:multiLevelType w:val="hybridMultilevel"/>
    <w:lvl w:ilvl="0">
      <w:lvlJc w:val="left"/>
      <w:lvlText w:val="%1."/>
      <w:numFmt w:val="decimal"/>
      <w:start w:val="1"/>
    </w:lvl>
  </w:abstractNum>
  <w:abstractNum w:abstractNumId="91">
    <w:nsid w:val="5915FF32"/>
    <w:multiLevelType w:val="hybridMultilevel"/>
    <w:lvl w:ilvl="0">
      <w:lvlJc w:val="left"/>
      <w:lvlText w:val="%1."/>
      <w:numFmt w:val="decimal"/>
      <w:start w:val="8"/>
    </w:lvl>
  </w:abstractNum>
  <w:abstractNum w:abstractNumId="92">
    <w:nsid w:val="56438D15"/>
    <w:multiLevelType w:val="hybridMultilevel"/>
    <w:lvl w:ilvl="0">
      <w:lvlJc w:val="left"/>
      <w:lvlText w:val="(%1)"/>
      <w:numFmt w:val="decimal"/>
      <w:start w:val="1"/>
    </w:lvl>
  </w:abstractNum>
  <w:abstractNum w:abstractNumId="93">
    <w:nsid w:val="519E3149"/>
    <w:multiLevelType w:val="hybridMultilevel"/>
    <w:lvl w:ilvl="0">
      <w:lvlJc w:val="left"/>
      <w:lvlText w:val="%1."/>
      <w:numFmt w:val="upperLetter"/>
      <w:start w:val="35"/>
    </w:lvl>
  </w:abstractNum>
  <w:abstractNum w:abstractNumId="94">
    <w:nsid w:val="2C6E4AFD"/>
    <w:multiLevelType w:val="hybridMultilevel"/>
    <w:lvl w:ilvl="0">
      <w:lvlJc w:val="left"/>
      <w:lvlText w:val="%1."/>
      <w:numFmt w:val="decimal"/>
      <w:start w:val="1"/>
    </w:lvl>
  </w:abstractNum>
  <w:abstractNum w:abstractNumId="95">
    <w:nsid w:val="17A1B582"/>
    <w:multiLevelType w:val="hybridMultilevel"/>
    <w:lvl w:ilvl="0">
      <w:lvlJc w:val="left"/>
      <w:lvlText w:val="%1."/>
      <w:numFmt w:val="decimal"/>
      <w:start w:val="3"/>
    </w:lvl>
  </w:abstractNum>
  <w:abstractNum w:abstractNumId="96">
    <w:nsid w:val="4DF72E4E"/>
    <w:multiLevelType w:val="hybridMultilevel"/>
    <w:lvl w:ilvl="0">
      <w:lvlJc w:val="left"/>
      <w:lvlText w:val="%1."/>
      <w:numFmt w:val="decimal"/>
      <w:start w:val="5"/>
    </w:lvl>
  </w:abstractNum>
  <w:abstractNum w:abstractNumId="97">
    <w:nsid w:val="5046B5A9"/>
    <w:multiLevelType w:val="hybridMultilevel"/>
    <w:lvl w:ilvl="0">
      <w:lvlJc w:val="left"/>
      <w:lvlText w:val="%1."/>
      <w:numFmt w:val="decimal"/>
      <w:start w:val="1"/>
    </w:lvl>
  </w:abstractNum>
  <w:abstractNum w:abstractNumId="98">
    <w:nsid w:val="5D888A08"/>
    <w:multiLevelType w:val="hybridMultilevel"/>
    <w:lvl w:ilvl="0">
      <w:lvlJc w:val="left"/>
      <w:lvlText w:val="%1."/>
      <w:numFmt w:val="decimal"/>
      <w:start w:val="9"/>
    </w:lvl>
  </w:abstractNum>
  <w:abstractNum w:abstractNumId="99">
    <w:nsid w:val="2A082C70"/>
    <w:multiLevelType w:val="hybridMultilevel"/>
    <w:lvl w:ilvl="0">
      <w:lvlJc w:val="left"/>
      <w:lvlText w:val="%1."/>
      <w:numFmt w:val="upperLetter"/>
      <w:start w:val="35"/>
    </w:lvl>
  </w:abstractNum>
  <w:abstractNum w:abstractNumId="100">
    <w:nsid w:val="5EC6AFD4"/>
    <w:multiLevelType w:val="hybridMultilevel"/>
    <w:lvl w:ilvl="0">
      <w:lvlJc w:val="left"/>
      <w:lvlText w:val="%1."/>
      <w:numFmt w:val="decimal"/>
      <w:start w:val="1"/>
    </w:lvl>
  </w:abstractNum>
  <w:abstractNum w:abstractNumId="101">
    <w:nsid w:val="19E21BB2"/>
    <w:multiLevelType w:val="hybridMultilevel"/>
    <w:lvl w:ilvl="0">
      <w:lvlJc w:val="left"/>
      <w:lvlText w:val="%1."/>
      <w:numFmt w:val="decimal"/>
      <w:start w:val="1"/>
    </w:lvl>
  </w:abstractNum>
  <w:abstractNum w:abstractNumId="102">
    <w:nsid w:val="75E0858A"/>
    <w:multiLevelType w:val="hybridMultilevel"/>
    <w:lvl w:ilvl="0">
      <w:lvlJc w:val="left"/>
      <w:lvlText w:val="%1."/>
      <w:numFmt w:val="decimal"/>
      <w:start w:val="10"/>
    </w:lvl>
  </w:abstractNum>
  <w:abstractNum w:abstractNumId="103">
    <w:nsid w:val="57A61A29"/>
    <w:multiLevelType w:val="hybridMultilevel"/>
    <w:lvl w:ilvl="0">
      <w:lvlJc w:val="left"/>
      <w:lvlText w:val="%1."/>
      <w:numFmt w:val="upperLetter"/>
      <w:start w:val="35"/>
    </w:lvl>
  </w:abstractNum>
  <w:abstractNum w:abstractNumId="104">
    <w:nsid w:val="5399C654"/>
    <w:multiLevelType w:val="hybridMultilevel"/>
    <w:lvl w:ilvl="0">
      <w:lvlJc w:val="left"/>
      <w:lvlText w:val="%1."/>
      <w:numFmt w:val="decimal"/>
      <w:start w:val="1"/>
    </w:lvl>
  </w:abstractNum>
  <w:abstractNum w:abstractNumId="105">
    <w:nsid w:val="20EE1348"/>
    <w:multiLevelType w:val="hybridMultilevel"/>
    <w:lvl w:ilvl="0">
      <w:lvlJc w:val="left"/>
      <w:lvlText w:val="%1."/>
      <w:numFmt w:val="decimal"/>
      <w:start w:val="4"/>
    </w:lvl>
  </w:abstractNum>
  <w:abstractNum w:abstractNumId="106">
    <w:nsid w:val="4427069A"/>
    <w:multiLevelType w:val="hybridMultilevel"/>
    <w:lvl w:ilvl="0">
      <w:lvlJc w:val="left"/>
      <w:lvlText w:val="%1."/>
      <w:numFmt w:val="decimal"/>
      <w:start w:val="1"/>
    </w:lvl>
  </w:abstractNum>
  <w:abstractNum w:abstractNumId="107">
    <w:nsid w:val="B37E80A"/>
    <w:multiLevelType w:val="hybridMultilevel"/>
    <w:lvl w:ilvl="0">
      <w:lvlJc w:val="left"/>
      <w:lvlText w:val="%1."/>
      <w:numFmt w:val="decimal"/>
      <w:start w:val="3"/>
    </w:lvl>
  </w:abstractNum>
  <w:abstractNum w:abstractNumId="108">
    <w:nsid w:val="2157F6BC"/>
    <w:multiLevelType w:val="hybridMultilevel"/>
    <w:lvl w:ilvl="0">
      <w:lvlJc w:val="left"/>
      <w:lvlText w:val="%1."/>
      <w:numFmt w:val="decimal"/>
      <w:start w:val="11"/>
    </w:lvl>
  </w:abstractNum>
  <w:abstractNum w:abstractNumId="109">
    <w:nsid w:val="704E1DD5"/>
    <w:multiLevelType w:val="hybridMultilevel"/>
    <w:lvl w:ilvl="0">
      <w:lvlJc w:val="left"/>
      <w:lvlText w:val="%1."/>
      <w:numFmt w:val="decimal"/>
      <w:start w:val="1"/>
    </w:lvl>
  </w:abstractNum>
  <w:abstractNum w:abstractNumId="110">
    <w:nsid w:val="57D2F10E"/>
    <w:multiLevelType w:val="hybridMultilevel"/>
    <w:lvl w:ilvl="0">
      <w:lvlJc w:val="left"/>
      <w:lvlText w:val="%1."/>
      <w:numFmt w:val="upperLetter"/>
      <w:start w:val="35"/>
    </w:lvl>
  </w:abstractNum>
  <w:abstractNum w:abstractNumId="111">
    <w:nsid w:val="BFFAE18"/>
    <w:multiLevelType w:val="hybridMultilevel"/>
    <w:lvl w:ilvl="0">
      <w:lvlJc w:val="left"/>
      <w:lvlText w:val="%1."/>
      <w:numFmt w:val="decimal"/>
      <w:start w:val="1"/>
    </w:lvl>
  </w:abstractNum>
  <w:abstractNum w:abstractNumId="112">
    <w:nsid w:val="E3E47A8"/>
    <w:multiLevelType w:val="hybridMultilevel"/>
    <w:lvl w:ilvl="0">
      <w:lvlJc w:val="left"/>
      <w:lvlText w:val="%1."/>
      <w:numFmt w:val="decimal"/>
      <w:start w:val="3"/>
    </w:lvl>
  </w:abstractNum>
  <w:abstractNum w:abstractNumId="113">
    <w:nsid w:val="2E48F044"/>
    <w:multiLevelType w:val="hybridMultilevel"/>
    <w:lvl w:ilvl="0">
      <w:lvlJc w:val="left"/>
      <w:lvlText w:val="%1."/>
      <w:numFmt w:val="decimal"/>
      <w:start w:val="1"/>
    </w:lvl>
  </w:abstractNum>
  <w:abstractNum w:abstractNumId="114">
    <w:nsid w:val="49D0FEAC"/>
    <w:multiLevelType w:val="hybridMultilevel"/>
    <w:lvl w:ilvl="0">
      <w:lvlJc w:val="left"/>
      <w:lvlText w:val="%1."/>
      <w:numFmt w:val="decimal"/>
      <w:start w:val="12"/>
    </w:lvl>
  </w:abstractNum>
  <w:abstractNum w:abstractNumId="115">
    <w:nsid w:val="4BEE5A5B"/>
    <w:multiLevelType w:val="hybridMultilevel"/>
    <w:lvl w:ilvl="0">
      <w:lvlJc w:val="left"/>
      <w:lvlText w:val="%1."/>
      <w:numFmt w:val="upperLetter"/>
      <w:start w:val="35"/>
    </w:lvl>
  </w:abstractNum>
  <w:abstractNum w:abstractNumId="116">
    <w:nsid w:val="5551B9F3"/>
    <w:multiLevelType w:val="hybridMultilevel"/>
    <w:lvl w:ilvl="0">
      <w:lvlJc w:val="left"/>
      <w:lvlText w:val="%1."/>
      <w:numFmt w:val="decimal"/>
      <w:start w:val="1"/>
    </w:lvl>
  </w:abstractNum>
  <w:abstractNum w:abstractNumId="117">
    <w:nsid w:val="24F6AB8E"/>
    <w:multiLevelType w:val="hybridMultilevel"/>
    <w:lvl w:ilvl="0">
      <w:lvlJc w:val="left"/>
      <w:lvlText w:val="%1."/>
      <w:numFmt w:val="decimal"/>
      <w:start w:val="1"/>
    </w:lvl>
  </w:abstractNum>
  <w:abstractNum w:abstractNumId="118">
    <w:nsid w:val="634C574C"/>
    <w:multiLevelType w:val="hybridMultilevel"/>
    <w:lvl w:ilvl="0">
      <w:lvlJc w:val="left"/>
      <w:lvlText w:val="%1."/>
      <w:numFmt w:val="decimal"/>
      <w:start w:val="13"/>
    </w:lvl>
  </w:abstractNum>
  <w:abstractNum w:abstractNumId="119">
    <w:nsid w:val="24E99DD7"/>
    <w:multiLevelType w:val="hybridMultilevel"/>
    <w:lvl w:ilvl="0">
      <w:lvlJc w:val="left"/>
      <w:lvlText w:val="%1."/>
      <w:numFmt w:val="upperLetter"/>
      <w:start w:val="35"/>
    </w:lvl>
  </w:abstractNum>
  <w:abstractNum w:abstractNumId="120">
    <w:nsid w:val="2A31B62D"/>
    <w:multiLevelType w:val="hybridMultilevel"/>
    <w:lvl w:ilvl="0">
      <w:lvlJc w:val="left"/>
      <w:lvlText w:val="%1."/>
      <w:numFmt w:val="decimal"/>
      <w:start w:val="1"/>
    </w:lvl>
  </w:abstractNum>
  <w:abstractNum w:abstractNumId="121">
    <w:nsid w:val="1849C29B"/>
    <w:multiLevelType w:val="hybridMultilevel"/>
    <w:lvl w:ilvl="0">
      <w:lvlJc w:val="left"/>
      <w:lvlText w:val="%1."/>
      <w:numFmt w:val="decimal"/>
      <w:start w:val="1"/>
    </w:lvl>
  </w:abstractNum>
  <w:abstractNum w:abstractNumId="122">
    <w:nsid w:val="7DFF9D09"/>
    <w:multiLevelType w:val="hybridMultilevel"/>
    <w:lvl w:ilvl="0">
      <w:lvlJc w:val="left"/>
      <w:lvlText w:val="%1."/>
      <w:numFmt w:val="decimal"/>
      <w:start w:val="14"/>
    </w:lvl>
  </w:abstractNum>
  <w:abstractNum w:abstractNumId="123">
    <w:nsid w:val="754342"/>
    <w:multiLevelType w:val="hybridMultilevel"/>
    <w:lvl w:ilvl="0">
      <w:lvlJc w:val="left"/>
      <w:lvlText w:val="%1."/>
      <w:numFmt w:val="upperLetter"/>
      <w:start w:val="35"/>
    </w:lvl>
  </w:abstractNum>
  <w:abstractNum w:abstractNumId="124">
    <w:nsid w:val="69E7F3E5"/>
    <w:multiLevelType w:val="hybridMultilevel"/>
    <w:lvl w:ilvl="0">
      <w:lvlJc w:val="left"/>
      <w:lvlText w:val="%1."/>
      <w:numFmt w:val="decimal"/>
      <w:start w:val="1"/>
    </w:lvl>
  </w:abstractNum>
  <w:abstractNum w:abstractNumId="125">
    <w:nsid w:val="2A6DE806"/>
    <w:multiLevelType w:val="hybridMultilevel"/>
    <w:lvl w:ilvl="0">
      <w:lvlJc w:val="left"/>
      <w:lvlText w:val="%1."/>
      <w:numFmt w:val="decimal"/>
      <w:start w:val="3"/>
    </w:lvl>
  </w:abstractNum>
  <w:abstractNum w:abstractNumId="126">
    <w:nsid w:val="1816F8C4"/>
    <w:multiLevelType w:val="hybridMultilevel"/>
    <w:lvl w:ilvl="0">
      <w:lvlJc w:val="left"/>
      <w:lvlText w:val="%1."/>
      <w:numFmt w:val="decimal"/>
      <w:start w:val="1"/>
    </w:lvl>
  </w:abstractNum>
  <w:abstractNum w:abstractNumId="127">
    <w:nsid w:val="37DF2233"/>
    <w:multiLevelType w:val="hybridMultilevel"/>
    <w:lvl w:ilvl="0">
      <w:lvlJc w:val="left"/>
      <w:lvlText w:val="%1."/>
      <w:numFmt w:val="decimal"/>
      <w:start w:val="15"/>
    </w:lvl>
  </w:abstractNum>
  <w:abstractNum w:abstractNumId="128">
    <w:nsid w:val="7AB49DAF"/>
    <w:multiLevelType w:val="hybridMultilevel"/>
    <w:lvl w:ilvl="0">
      <w:lvlJc w:val="left"/>
      <w:lvlText w:val="%1."/>
      <w:numFmt w:val="upperLetter"/>
      <w:start w:val="35"/>
    </w:lvl>
  </w:abstractNum>
  <w:abstractNum w:abstractNumId="129">
    <w:nsid w:val="759F82CD"/>
    <w:multiLevelType w:val="hybridMultilevel"/>
    <w:lvl w:ilvl="0">
      <w:lvlJc w:val="left"/>
      <w:lvlText w:val="%1."/>
      <w:numFmt w:val="decimal"/>
      <w:start w:val="1"/>
    </w:lvl>
  </w:abstractNum>
  <w:abstractNum w:abstractNumId="130">
    <w:nsid w:val="61E74EA3"/>
    <w:multiLevelType w:val="hybridMultilevel"/>
    <w:lvl w:ilvl="0">
      <w:lvlJc w:val="left"/>
      <w:lvlText w:val="%1."/>
      <w:numFmt w:val="decimal"/>
      <w:start w:val="3"/>
    </w:lvl>
  </w:abstractNum>
  <w:abstractNum w:abstractNumId="131">
    <w:nsid w:val="597B4D84"/>
    <w:multiLevelType w:val="hybridMultilevel"/>
    <w:lvl w:ilvl="0">
      <w:lvlJc w:val="left"/>
      <w:lvlText w:val="%1."/>
      <w:numFmt w:val="decimal"/>
      <w:start w:val="16"/>
    </w:lvl>
  </w:abstractNum>
  <w:abstractNum w:abstractNumId="132">
    <w:nsid w:val="F819E7F"/>
    <w:multiLevelType w:val="hybridMultilevel"/>
    <w:lvl w:ilvl="0">
      <w:lvlJc w:val="left"/>
      <w:lvlText w:val="%1."/>
      <w:numFmt w:val="decimal"/>
      <w:start w:val="2"/>
    </w:lvl>
  </w:abstractNum>
  <w:abstractNum w:abstractNumId="133">
    <w:nsid w:val="57C7D42D"/>
    <w:multiLevelType w:val="hybridMultilevel"/>
    <w:lvl w:ilvl="0">
      <w:lvlJc w:val="left"/>
      <w:lvlText w:val="%1."/>
      <w:numFmt w:val="decimal"/>
      <w:start w:val="1"/>
    </w:lvl>
  </w:abstractNum>
  <w:abstractNum w:abstractNumId="134">
    <w:nsid w:val="312167AD"/>
    <w:multiLevelType w:val="hybridMultilevel"/>
    <w:lvl w:ilvl="0">
      <w:lvlJc w:val="left"/>
      <w:lvlText w:val="%1."/>
      <w:numFmt w:val="decimal"/>
      <w:start w:val="1"/>
    </w:lvl>
  </w:abstractNum>
  <w:abstractNum w:abstractNumId="135">
    <w:nsid w:val="631B64D4"/>
    <w:multiLevelType w:val="hybridMultilevel"/>
    <w:lvl w:ilvl="0">
      <w:lvlJc w:val="left"/>
      <w:lvlText w:val="%1."/>
      <w:numFmt w:val="decimal"/>
      <w:start w:val="3"/>
    </w:lvl>
  </w:abstractNum>
  <w:abstractNum w:abstractNumId="136">
    <w:nsid w:val="78B5E776"/>
    <w:multiLevelType w:val="hybridMultilevel"/>
    <w:lvl w:ilvl="0">
      <w:lvlJc w:val="left"/>
      <w:lvlText w:val="%1."/>
      <w:numFmt w:val="upperLetter"/>
      <w:start w:val="35"/>
    </w:lvl>
  </w:abstractNum>
  <w:abstractNum w:abstractNumId="137">
    <w:nsid w:val="75486E47"/>
    <w:multiLevelType w:val="hybridMultilevel"/>
    <w:lvl w:ilvl="0">
      <w:lvlJc w:val="left"/>
      <w:lvlText w:val="%1."/>
      <w:numFmt w:val="decimal"/>
      <w:start w:val="1"/>
    </w:lvl>
  </w:abstractNum>
  <w:abstractNum w:abstractNumId="138">
    <w:nsid w:val="6E534CDE"/>
    <w:multiLevelType w:val="hybridMultilevel"/>
    <w:lvl w:ilvl="0">
      <w:lvlJc w:val="left"/>
      <w:lvlText w:val="%1."/>
      <w:numFmt w:val="decimal"/>
      <w:start w:val="1"/>
    </w:lvl>
  </w:abstractNum>
  <w:abstractNum w:abstractNumId="139">
    <w:nsid w:val="1A0DDE32"/>
    <w:multiLevelType w:val="hybridMultilevel"/>
    <w:lvl w:ilvl="0">
      <w:lvlJc w:val="left"/>
      <w:lvlText w:val="%1."/>
      <w:numFmt w:val="decimal"/>
      <w:start w:val="1"/>
    </w:lvl>
  </w:abstractNum>
  <w:abstractNum w:abstractNumId="140">
    <w:nsid w:val="65968C1C"/>
    <w:multiLevelType w:val="hybridMultilevel"/>
    <w:lvl w:ilvl="0">
      <w:lvlJc w:val="left"/>
      <w:lvlText w:val="%1."/>
      <w:numFmt w:val="decimal"/>
      <w:start w:val="17"/>
    </w:lvl>
  </w:abstractNum>
  <w:abstractNum w:abstractNumId="141">
    <w:nsid w:val="46263DEC"/>
    <w:multiLevelType w:val="hybridMultilevel"/>
    <w:lvl w:ilvl="0">
      <w:lvlJc w:val="left"/>
      <w:lvlText w:val="%1."/>
      <w:numFmt w:val="decimal"/>
      <w:start w:val="1"/>
    </w:lvl>
  </w:abstractNum>
  <w:abstractNum w:abstractNumId="142">
    <w:nsid w:val="260D8C4A"/>
    <w:multiLevelType w:val="hybridMultilevel"/>
    <w:lvl w:ilvl="0">
      <w:lvlJc w:val="left"/>
      <w:lvlText w:val="%1."/>
      <w:numFmt w:val="decimal"/>
      <w:start w:val="2"/>
    </w:lvl>
  </w:abstractNum>
  <w:abstractNum w:abstractNumId="143">
    <w:nsid w:val="73D4D3C4"/>
    <w:multiLevelType w:val="hybridMultilevel"/>
    <w:lvl w:ilvl="0">
      <w:lvlJc w:val="left"/>
      <w:lvlText w:val="%1."/>
      <w:numFmt w:val="decimal"/>
      <w:start w:val="1"/>
    </w:lvl>
  </w:abstractNum>
  <w:abstractNum w:abstractNumId="144">
    <w:nsid w:val="746F2E30"/>
    <w:multiLevelType w:val="hybridMultilevel"/>
    <w:lvl w:ilvl="0">
      <w:lvlJc w:val="left"/>
      <w:lvlText w:val="%1."/>
      <w:numFmt w:val="decimal"/>
      <w:start w:val="2"/>
    </w:lvl>
  </w:abstractNum>
  <w:abstractNum w:abstractNumId="145">
    <w:nsid w:val="6FDE8AF6"/>
    <w:multiLevelType w:val="hybridMultilevel"/>
    <w:lvl w:ilvl="0">
      <w:lvlJc w:val="left"/>
      <w:lvlText w:val="%1."/>
      <w:numFmt w:val="decimal"/>
      <w:start w:val="3"/>
    </w:lvl>
  </w:abstractNum>
  <w:abstractNum w:abstractNumId="146">
    <w:nsid w:val="3FC32E20"/>
    <w:multiLevelType w:val="hybridMultilevel"/>
    <w:lvl w:ilvl="0">
      <w:lvlJc w:val="left"/>
      <w:lvlText w:val="%1."/>
      <w:numFmt w:val="upperLetter"/>
      <w:start w:val="35"/>
    </w:lvl>
  </w:abstractNum>
  <w:abstractNum w:abstractNumId="147">
    <w:nsid w:val="49C0E823"/>
    <w:multiLevelType w:val="hybridMultilevel"/>
    <w:lvl w:ilvl="0">
      <w:lvlJc w:val="left"/>
      <w:lvlText w:val="%1."/>
      <w:numFmt w:val="decimal"/>
      <w:start w:val="2"/>
    </w:lvl>
  </w:abstractNum>
  <w:abstractNum w:abstractNumId="148">
    <w:nsid w:val="14D53685"/>
    <w:multiLevelType w:val="hybridMultilevel"/>
    <w:lvl w:ilvl="0">
      <w:lvlJc w:val="left"/>
      <w:lvlText w:val="%1."/>
      <w:numFmt w:val="decimal"/>
      <w:start w:val="1"/>
    </w:lvl>
  </w:abstractNum>
  <w:abstractNum w:abstractNumId="149">
    <w:nsid w:val="230F856C"/>
    <w:multiLevelType w:val="hybridMultilevel"/>
    <w:lvl w:ilvl="0">
      <w:lvlJc w:val="left"/>
      <w:lvlText w:val="%1."/>
      <w:numFmt w:val="decimal"/>
      <w:start w:val="3"/>
    </w:lvl>
  </w:abstractNum>
  <w:abstractNum w:abstractNumId="150">
    <w:nsid w:val="6EAA85FB"/>
    <w:multiLevelType w:val="hybridMultilevel"/>
    <w:lvl w:ilvl="0">
      <w:lvlJc w:val="left"/>
      <w:lvlText w:val="%1."/>
      <w:numFmt w:val="decimal"/>
      <w:start w:val="1"/>
    </w:lvl>
  </w:abstractNum>
  <w:abstractNum w:abstractNumId="151">
    <w:nsid w:val="3F06ECB2"/>
    <w:multiLevelType w:val="hybridMultilevel"/>
    <w:lvl w:ilvl="0">
      <w:lvlJc w:val="left"/>
      <w:lvlText w:val="%1."/>
      <w:numFmt w:val="decimal"/>
      <w:start w:val="18"/>
    </w:lvl>
  </w:abstractNum>
  <w:abstractNum w:abstractNumId="152">
    <w:nsid w:val="3B594807"/>
    <w:multiLevelType w:val="hybridMultilevel"/>
    <w:lvl w:ilvl="0">
      <w:lvlJc w:val="left"/>
      <w:lvlText w:val="(%1)"/>
      <w:numFmt w:val="lowerRoman"/>
      <w:start w:val="2"/>
    </w:lvl>
  </w:abstractNum>
  <w:abstractNum w:abstractNumId="153">
    <w:nsid w:val="6CAA2304"/>
    <w:multiLevelType w:val="hybridMultilevel"/>
    <w:lvl w:ilvl="0">
      <w:lvlJc w:val="left"/>
      <w:lvlText w:val="%1."/>
      <w:numFmt w:val="upperLetter"/>
      <w:start w:val="35"/>
    </w:lvl>
  </w:abstractNum>
  <w:abstractNum w:abstractNumId="154">
    <w:nsid w:val="3F7C2FF4"/>
    <w:multiLevelType w:val="hybridMultilevel"/>
    <w:lvl w:ilvl="0">
      <w:lvlJc w:val="left"/>
      <w:lvlText w:val="%1."/>
      <w:numFmt w:val="decimal"/>
      <w:start w:val="1"/>
    </w:lvl>
  </w:abstractNum>
  <w:abstractNum w:abstractNumId="155">
    <w:nsid w:val="25413BEC"/>
    <w:multiLevelType w:val="hybridMultilevel"/>
    <w:lvl w:ilvl="0">
      <w:lvlJc w:val="left"/>
      <w:lvlText w:val="%1."/>
      <w:numFmt w:val="decimal"/>
      <w:start w:val="6"/>
    </w:lvl>
  </w:abstractNum>
  <w:abstractNum w:abstractNumId="156">
    <w:nsid w:val="17180B0B"/>
    <w:multiLevelType w:val="hybridMultilevel"/>
    <w:lvl w:ilvl="0">
      <w:lvlJc w:val="left"/>
      <w:lvlText w:val="%1."/>
      <w:numFmt w:val="decimal"/>
      <w:start w:val="1"/>
    </w:lvl>
  </w:abstractNum>
  <w:abstractNum w:abstractNumId="157">
    <w:nsid w:val="579328B9"/>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jpeg"/><Relationship Id="rId63" Type="http://schemas.openxmlformats.org/officeDocument/2006/relationships/image" Target="media/image56.jpe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jpeg"/><Relationship Id="rId83" Type="http://schemas.openxmlformats.org/officeDocument/2006/relationships/image" Target="media/image76.png"/><Relationship Id="rId84" Type="http://schemas.openxmlformats.org/officeDocument/2006/relationships/image" Target="media/image77.jpe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jpe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jpeg"/><Relationship Id="rId124" Type="http://schemas.openxmlformats.org/officeDocument/2006/relationships/image" Target="media/image117.jpeg"/><Relationship Id="rId125" Type="http://schemas.openxmlformats.org/officeDocument/2006/relationships/image" Target="media/image118.png"/><Relationship Id="rId126" Type="http://schemas.openxmlformats.org/officeDocument/2006/relationships/image" Target="media/image119.jpeg"/><Relationship Id="rId127" Type="http://schemas.openxmlformats.org/officeDocument/2006/relationships/image" Target="media/image120.png"/><Relationship Id="rId128" Type="http://schemas.openxmlformats.org/officeDocument/2006/relationships/image" Target="media/image121.jpeg"/><Relationship Id="rId129" Type="http://schemas.openxmlformats.org/officeDocument/2006/relationships/image" Target="media/image122.jpeg"/><Relationship Id="rId130" Type="http://schemas.openxmlformats.org/officeDocument/2006/relationships/image" Target="media/image123.jpeg"/><Relationship Id="rId131" Type="http://schemas.openxmlformats.org/officeDocument/2006/relationships/image" Target="media/image124.png"/><Relationship Id="rId132" Type="http://schemas.openxmlformats.org/officeDocument/2006/relationships/image" Target="media/image125.jpeg"/><Relationship Id="rId133" Type="http://schemas.openxmlformats.org/officeDocument/2006/relationships/image" Target="media/image12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2020-12-15T15:39:02Z</dcterms:created>
  <dcterms:modified xsi:type="dcterms:W3CDTF">2020-12-15T15:39:02Z</dcterms:modified>
</cp:coreProperties>
</file>