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444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447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Chen Fuping</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760"/>
        <w:spacing w:after="0" w:line="316"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ACM Research,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12/30/2022</w:t>
      </w:r>
    </w:p>
    <w:p>
      <w:pPr>
        <w:spacing w:after="0" w:line="20" w:lineRule="exact"/>
        <w:rPr>
          <w:sz w:val="24"/>
          <w:szCs w:val="24"/>
          <w:color w:val="auto"/>
        </w:rPr>
      </w:pPr>
      <w:r>
        <w:rPr>
          <w:sz w:val="24"/>
          <w:szCs w:val="24"/>
          <w:color w:val="auto"/>
        </w:rPr>
        <w:br w:type="column"/>
      </w: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0"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7"/>
          <w:szCs w:val="17"/>
          <w:color w:val="0000FF"/>
        </w:rPr>
        <w:t>See remarks</w:t>
      </w:r>
    </w:p>
    <w:p>
      <w:pPr>
        <w:spacing w:after="0" w:line="417"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700" w:type="dxa"/>
            <w:vAlign w:val="bottom"/>
            <w:gridSpan w:val="7"/>
          </w:tcPr>
          <w:p>
            <w:pPr>
              <w:ind w:left="16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7"/>
                <w:szCs w:val="17"/>
                <w:color w:val="0000FF"/>
              </w:rPr>
              <w:t>01/04/2023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1"/>
                <w:szCs w:val="11"/>
                <w:color w:val="auto"/>
              </w:rPr>
            </w:pPr>
          </w:p>
        </w:tc>
        <w:tc>
          <w:tcPr>
            <w:tcW w:w="264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  Disposed Of (D) (Instr. 3, 4 and</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ind w:left="14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3,000</w:t>
            </w:r>
            <w:r>
              <w:rPr>
                <w:rFonts w:ascii="Times New Roman" w:cs="Times New Roman" w:eastAsia="Times New Roman" w:hAnsi="Times New Roman"/>
                <w:sz w:val="21"/>
                <w:szCs w:val="21"/>
                <w:color w:val="008000"/>
                <w:w w:val="98"/>
                <w:vertAlign w:val="superscript"/>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5"/>
                <w:szCs w:val="25"/>
                <w:color w:val="0000FF"/>
                <w:vertAlign w:val="subscript"/>
              </w:rPr>
              <w:t>3,000</w:t>
            </w:r>
            <w:r>
              <w:rPr>
                <w:rFonts w:ascii="Times New Roman" w:cs="Times New Roman" w:eastAsia="Times New Roman" w:hAnsi="Times New Roman"/>
                <w:sz w:val="11"/>
                <w:szCs w:val="11"/>
                <w:color w:val="008000"/>
              </w:rPr>
              <w:t>(1)(2)</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25.45</w:t>
            </w: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12/30/2022</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03/03/2032</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-1829435</wp:posOffset>
            </wp:positionV>
            <wp:extent cx="29210" cy="1834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345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has been filed solely to correct the number of derivative securities acquired, the amount of underlying securities, and the number of derivative securities beneficially owned following the reported transaction in connection with a previously issued stock option to purchase shares of Class A Common Stock of the Issuer reported in a Form 4 filed on January 4, 2023 (the "Form 4"). Such numbers were inadvertently stated as 13,500 in the Form 4. Such numbers should have been stated as 3,000 in the Form 4.</w:t>
      </w:r>
    </w:p>
    <w:p>
      <w:pPr>
        <w:spacing w:after="0" w:line="26" w:lineRule="exact"/>
        <w:rPr>
          <w:rFonts w:ascii="Times New Roman" w:cs="Times New Roman" w:eastAsia="Times New Roman" w:hAnsi="Times New Roman"/>
          <w:sz w:val="13"/>
          <w:szCs w:val="13"/>
          <w:color w:val="008000"/>
        </w:rPr>
      </w:pPr>
    </w:p>
    <w:p>
      <w:pPr>
        <w:ind w:left="40" w:right="2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2022, the reporting person was granted an option to purchase 30,000 shares of Class A Common Stock of the Issuer. The option vests and becomes exercisable based on the Issuer's satisfaction of certain performance criteria. On December 30, 2022, the Issuer confirmed that certain of the performance criteria were met, resulting in vesting of the option as to 3,000 shares.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Vice President, Sales-China of ACM Research (Shanghai), Inc., a subsidiary of the Issuer</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02/14/2023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Fuping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022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23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9184"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2023-02-14T18:15:39Z</dcterms:created>
  <dcterms:modified xsi:type="dcterms:W3CDTF">2023-02-14T18:15:39Z</dcterms:modified>
</cp:coreProperties>
</file>