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7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Wang Jian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08/01/2018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13.85</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08/01/2018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40,000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07/31/2028</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10,000 shares on August 1, 2019 and the remaining 30,000 shares will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Research and Development of ACM Research (Shanghai), Inc., a subsidiary of the Issuer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10/23/2018</w:t>
            </w:r>
          </w:p>
        </w:tc>
        <w:tc>
          <w:tcPr>
            <w:tcW w:w="0" w:type="dxa"/>
            <w:vAlign w:val="bottom"/>
          </w:tcPr>
          <w:p>
            <w:pPr>
              <w:spacing w:after="0"/>
              <w:rPr>
                <w:sz w:val="1"/>
                <w:szCs w:val="1"/>
                <w:color w:val="auto"/>
              </w:rPr>
            </w:pPr>
          </w:p>
        </w:tc>
      </w:tr>
      <w:tr>
        <w:trPr>
          <w:trHeight w:val="92"/>
        </w:trPr>
        <w:tc>
          <w:tcPr>
            <w:tcW w:w="1520" w:type="dxa"/>
            <w:vAlign w:val="bottom"/>
            <w:vMerge w:val="restart"/>
          </w:tcPr>
          <w:p>
            <w:pPr>
              <w:spacing w:after="0"/>
              <w:rPr>
                <w:sz w:val="20"/>
                <w:szCs w:val="20"/>
                <w:color w:val="auto"/>
              </w:rPr>
            </w:pPr>
            <w:r>
              <w:rPr>
                <w:rFonts w:ascii="Arial" w:cs="Arial" w:eastAsia="Arial" w:hAnsi="Arial"/>
                <w:sz w:val="17"/>
                <w:szCs w:val="17"/>
                <w:color w:val="0000FF"/>
                <w:w w:val="92"/>
              </w:rPr>
              <w:t>in-Fact for Jian Wang</w:t>
            </w:r>
          </w:p>
        </w:tc>
        <w:tc>
          <w:tcPr>
            <w:tcW w:w="7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6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2019-12-24T09:10:32Z</dcterms:created>
  <dcterms:modified xsi:type="dcterms:W3CDTF">2019-12-24T09:10:32Z</dcterms:modified>
</cp:coreProperties>
</file>