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3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3"/>
                </w:rPr>
                <w:t>Hu Chenming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ACM Research,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ACMR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42307 OSGOOD ROAD, SUITE I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31,102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03/08/2027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23,334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119.98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3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02/21/2031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-3405505</wp:posOffset>
            </wp:positionV>
            <wp:extent cx="7033895" cy="34474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447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2, 2021, the reporting person exercised a previously issued stock option to purchase 10,000 shares of Class A Common Stock of the Issuer.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 and exercisable.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will vest and become exercisable immediately prior to the 2022 Annual Meeting of Stockholders of the Issuer, subject to continued service through the vesting date.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Mark L. Johnson,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 for Chenming Hu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6320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2021-03-03T16:42:52Z</dcterms:created>
  <dcterms:modified xsi:type="dcterms:W3CDTF">2021-03-03T16:42:52Z</dcterms:modified>
</cp:coreProperties>
</file>