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24,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60" w:space="720"/>
            <w:col w:w="2840" w:space="720"/>
            <w:col w:w="300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rPr>
          <w:sz w:val="20"/>
          <w:szCs w:val="20"/>
          <w:color w:val="auto"/>
        </w:rPr>
      </w:pPr>
      <w:r>
        <w:rPr>
          <w:rFonts w:ascii="Times New Roman" w:cs="Times New Roman" w:eastAsia="Times New Roman" w:hAnsi="Times New Roman"/>
          <w:sz w:val="18"/>
          <w:szCs w:val="18"/>
          <w:color w:val="auto"/>
        </w:rPr>
        <w:t>share</w:t>
      </w:r>
    </w:p>
    <w:p>
      <w:pPr>
        <w:spacing w:after="0" w:line="7" w:lineRule="exact"/>
        <w:rPr>
          <w:sz w:val="24"/>
          <w:szCs w:val="24"/>
          <w:color w:val="auto"/>
        </w:rPr>
      </w:pPr>
    </w:p>
    <w:p>
      <w:pPr>
        <w:ind w:right="28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24, 2023, we issued a press release announcing financial results for the fourth quarter and fiscal year ended December 31, 2022. The full text of the press release is furnished as Exhibit 99.01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7"/>
          <w:szCs w:val="17"/>
          <w:color w:val="auto"/>
        </w:rPr>
        <w:t>Press Release of ACM Research, Inc. dated February 24, 2023</w:t>
      </w:r>
    </w:p>
    <w:p>
      <w:pPr>
        <w:spacing w:after="0" w:line="22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1375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Fourth Quarter and Fiscal Year 2022 Results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FREMONT, Calif., Feb. 24, 2023 (Globe Newswire) – ACM Research, Inc. (“ACM” or the “Company”) (NASDAQ: ACMR), a leading supplier of wafer processing solutions for semiconductor and advanced wafer-level packaging applications, today reported financial results for its fourth quarter and fiscal year ended December 31, 2022.</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“2022 marks another year of progress on our mission to become a major supplier to the global semiconductor industry,” said ACM’s President and Chief Executive Officer, Dr. David Wang. “We delivered solid growth amidst COVID-related restrictions, supply-chain disruptions, and increased trade regulations. We believe that the pandemic is largely behind us, and we have returned to more normal operations.”</w:t>
      </w:r>
    </w:p>
    <w:p>
      <w:pPr>
        <w:spacing w:after="0" w:line="176"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Dr. Wang continued, “Our results demonstrate the strength of ACM’s multi-product portfolio and our expanding customer base. We took share with our core cleaning products, more than doubled our revenue from ECP tools, and are achieving good traction with our furnace products. We also entered two new product categories with the introduction of the Ultra Pmax</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PECVD and Ultra Lith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Track Coater/Developer tools, which we believe doubles our served addressable market. The evaluation of two cleaning tools at the U.S. facility of a major U.S.-based semiconductor manufacturer is going well, and we are pleased to announce an order for an evaluation tool to a major potential customer in Europe for delivery later this year.”</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Dr. Wang concluded, “As we look ahead to 2023, we expect another year of growth driven by continued share gains, new products and new customers. We are on track to begin initial production at our new facility in Lingang, Shanghai in the second half of 2023, and we plan to increase our investments in Korea to support our international growth initiatives.”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gridSpan w:val="9"/>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108,542</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95,142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108,542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95,142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16,670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19,164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20,420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15,565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12,596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388,832</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259,751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388,832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259,751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59,035</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66,765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43,819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39,263</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37,757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54,848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0.73</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 (2)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0.65</w:t>
            </w:r>
          </w:p>
        </w:tc>
      </w:tr>
      <w:tr>
        <w:trPr>
          <w:trHeight w:val="380"/>
        </w:trPr>
        <w:tc>
          <w:tcPr>
            <w:tcW w:w="5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4" w:name="page5"/>
    <w:bookmarkEnd w:id="4"/>
    <w:p>
      <w:pPr>
        <w:ind w:left="340" w:hanging="332"/>
        <w:spacing w:after="0" w:line="241"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loss on trading securities.</w:t>
      </w:r>
    </w:p>
    <w:p>
      <w:pPr>
        <w:spacing w:after="0" w:line="17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results have been adjusted to reflect the three-for-one stock split effected in the form of a stock dividend in March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maintaining its revenue guidance range of $515 million to $585 million for fiscal year 2023. This expectation is based on ACM management’s current assessment of the potential impact from current US-China trade policy and together with various expected spending scenarios of key customers, supply chain constraints, and the timing of acceptances for first tools under evaluation in the field, among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ind w:left="340" w:right="6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2022 were $539 million, versus $372 million in 2021. Total shipments in the fourth quarter of 2022 were $197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versus $117 million in the fourth quarter of 2021. Total shipments include deliveries for revenue in the quarter and deliveries of first tool systems awaiting customer acceptance for potential revenue in future quarters.</w:t>
      </w:r>
    </w:p>
    <w:p>
      <w:pPr>
        <w:spacing w:after="0" w:line="170" w:lineRule="exact"/>
        <w:rPr>
          <w:rFonts w:ascii="Times New Roman" w:cs="Times New Roman" w:eastAsia="Times New Roman" w:hAnsi="Times New Roman"/>
          <w:sz w:val="18"/>
          <w:szCs w:val="18"/>
          <w:color w:val="auto"/>
        </w:rPr>
      </w:pPr>
    </w:p>
    <w:p>
      <w:pPr>
        <w:ind w:left="340" w:right="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Purchase Order for SAPS Tool from Major European Global Semiconductor Manufacturer. </w:t>
      </w:r>
      <w:r>
        <w:rPr>
          <w:rFonts w:ascii="Times New Roman" w:cs="Times New Roman" w:eastAsia="Times New Roman" w:hAnsi="Times New Roman"/>
          <w:sz w:val="18"/>
          <w:szCs w:val="18"/>
          <w:color w:val="auto"/>
        </w:rPr>
        <w:t>ACM announced the receipt of a first tool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for its Ultra C SAPS-V cleaning tool from a major Europe-based global semiconductor manufacturer. The tool is expected to be shipped to the prospective customer’s European facility in the fourth quarter of 2023.</w:t>
      </w:r>
    </w:p>
    <w:p>
      <w:pPr>
        <w:spacing w:after="0" w:line="170" w:lineRule="exact"/>
        <w:rPr>
          <w:rFonts w:ascii="Times New Roman" w:cs="Times New Roman" w:eastAsia="Times New Roman" w:hAnsi="Times New Roman"/>
          <w:sz w:val="18"/>
          <w:szCs w:val="18"/>
          <w:color w:val="auto"/>
        </w:rPr>
      </w:pPr>
    </w:p>
    <w:p>
      <w:pPr>
        <w:ind w:left="340" w:right="30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MLO-capable Ultra C pr Tool Qualified and in Mass Production at Power Semiconductor Manufacturer in China. </w:t>
      </w:r>
      <w:r>
        <w:rPr>
          <w:rFonts w:ascii="Times New Roman" w:cs="Times New Roman" w:eastAsia="Times New Roman" w:hAnsi="Times New Roman"/>
          <w:sz w:val="18"/>
          <w:szCs w:val="18"/>
          <w:color w:val="auto"/>
        </w:rPr>
        <w:t>ACM expanded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Ultra C pr product offering to include metal lift-off (MLO) capabilities for power semiconductor manufacturing and wafer level packaging (WLP) applications. MLO can be used to save an etch process step, reducing cost, optimizing cycle times and sharply reducing chemical demand at high temperatures. The first MLO-capable Ultra C pr tool has been qualified and released to mass production at a power semiconductor manufacturer in China.</w:t>
      </w:r>
    </w:p>
    <w:p>
      <w:pPr>
        <w:spacing w:after="0" w:line="173" w:lineRule="exact"/>
        <w:rPr>
          <w:rFonts w:ascii="Times New Roman" w:cs="Times New Roman" w:eastAsia="Times New Roman" w:hAnsi="Times New Roman"/>
          <w:sz w:val="18"/>
          <w:szCs w:val="18"/>
          <w:color w:val="auto"/>
        </w:rPr>
      </w:pPr>
    </w:p>
    <w:p>
      <w:pPr>
        <w:ind w:left="340" w:right="40" w:hanging="332"/>
        <w:spacing w:after="0" w:line="19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Introduced Track Tool to Support Lithography for Semiconductor IC Manufacturing. </w:t>
      </w:r>
      <w:r>
        <w:rPr>
          <w:rFonts w:ascii="Times New Roman" w:cs="Times New Roman" w:eastAsia="Times New Roman" w:hAnsi="Times New Roman"/>
          <w:sz w:val="18"/>
          <w:szCs w:val="18"/>
          <w:color w:val="auto"/>
        </w:rPr>
        <w:t>ACM introduced its Ultra Lith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Track tool, marking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entry into the track market. ACM’s participation in this new product category is a natural evolution of its expertise in cleaning, coating and developing systems. The first Ultra Lith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Track Coater/Developer ArF tool was delivered to a domestic Chinese customer in the fourth quarter of 2022, an i-line model is planned for delivery in 2023, and ACM also has begun development of a KrF model.</w:t>
      </w:r>
    </w:p>
    <w:p>
      <w:pPr>
        <w:spacing w:after="0" w:line="188" w:lineRule="exact"/>
        <w:rPr>
          <w:rFonts w:ascii="Times New Roman" w:cs="Times New Roman" w:eastAsia="Times New Roman" w:hAnsi="Times New Roman"/>
          <w:sz w:val="18"/>
          <w:szCs w:val="18"/>
          <w:color w:val="auto"/>
        </w:rPr>
      </w:pPr>
    </w:p>
    <w:p>
      <w:pPr>
        <w:ind w:left="340" w:right="380" w:hanging="332"/>
        <w:spacing w:after="0" w:line="20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Introduced PECVD Tool to Support Logic &amp; Memory Manufacturing. </w:t>
      </w:r>
      <w:r>
        <w:rPr>
          <w:rFonts w:ascii="Times New Roman" w:cs="Times New Roman" w:eastAsia="Times New Roman" w:hAnsi="Times New Roman"/>
          <w:sz w:val="18"/>
          <w:szCs w:val="18"/>
          <w:color w:val="auto"/>
        </w:rPr>
        <w:t>ACM introduced its Ultra Pmax</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Plasma-Enhanced Chemical Vapor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Deposition (PECVD) tool as another major new product category, marking its entry into chemical vapor deposition (CVD) market.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2022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full year of 2022 and comparisons are with the full year of 2021.</w:t>
      </w:r>
    </w:p>
    <w:p>
      <w:pPr>
        <w:spacing w:after="0" w:line="223" w:lineRule="exact"/>
        <w:rPr>
          <w:sz w:val="20"/>
          <w:szCs w:val="20"/>
          <w:color w:val="auto"/>
        </w:rPr>
      </w:pPr>
    </w:p>
    <w:p>
      <w:pPr>
        <w:ind w:left="340" w:right="10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$388.8 million, up 49.7%, reflecting continued share gains by our flagship cleaning products and strong growth from our new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particularly ECP tools.</w:t>
      </w:r>
    </w:p>
    <w:p>
      <w:pPr>
        <w:spacing w:after="0" w:line="154" w:lineRule="exact"/>
        <w:rPr>
          <w:rFonts w:ascii="Times New Roman" w:cs="Times New Roman" w:eastAsia="Times New Roman" w:hAnsi="Times New Roman"/>
          <w:sz w:val="18"/>
          <w:szCs w:val="18"/>
          <w:color w:val="auto"/>
        </w:rPr>
      </w:pPr>
    </w:p>
    <w:p>
      <w:pPr>
        <w:ind w:left="340" w:right="20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47.2%, up from 44.2%. Non-GAAP gross margin, which excludes stock-based compensation, was 47.4%, up from 44.4%.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the range of 40% to 45% reflected in the Company’s long-term business model. The Company expects gross margin to vary from period to period due to a variety of factors, such as sales volume, product mix and favorable currency impacts from a stronger dollar versus the Chinese RMB.</w:t>
      </w:r>
    </w:p>
    <w:p>
      <w:pPr>
        <w:spacing w:after="0" w:line="176" w:lineRule="exact"/>
        <w:rPr>
          <w:rFonts w:ascii="Times New Roman" w:cs="Times New Roman" w:eastAsia="Times New Roman" w:hAnsi="Times New Roman"/>
          <w:sz w:val="18"/>
          <w:szCs w:val="18"/>
          <w:color w:val="auto"/>
        </w:rPr>
      </w:pPr>
    </w:p>
    <w:p>
      <w:pPr>
        <w:ind w:left="340" w:right="28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$124.6 million, an increase of 63.6%. Non-GAAP operating expenses, which exclude the effect of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were $117.4 million, up 64.3%. Operating expenses as a percent of revenue increased to 32.0% from 29.3%. Non-GAAP operating expenses as a percent of revenue increased to 30.2% from 27.5%.</w:t>
      </w:r>
    </w:p>
    <w:p>
      <w:pPr>
        <w:spacing w:after="0" w:line="170" w:lineRule="exact"/>
        <w:rPr>
          <w:rFonts w:ascii="Times New Roman" w:cs="Times New Roman" w:eastAsia="Times New Roman" w:hAnsi="Times New Roman"/>
          <w:sz w:val="18"/>
          <w:szCs w:val="18"/>
          <w:color w:val="auto"/>
        </w:rPr>
      </w:pPr>
    </w:p>
    <w:p>
      <w:pPr>
        <w:ind w:left="340" w:right="10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$59.0 million, up from $38.7 million. Non-GAAP operating income, which excludes the effect of stock-based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$66.8 million, up from $43.8 million.</w:t>
      </w:r>
    </w:p>
    <w:p>
      <w:pPr>
        <w:spacing w:after="0" w:line="32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ind w:left="340" w:right="1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trading securities </w:t>
      </w:r>
      <w:r>
        <w:rPr>
          <w:rFonts w:ascii="Times New Roman" w:cs="Times New Roman" w:eastAsia="Times New Roman" w:hAnsi="Times New Roman"/>
          <w:sz w:val="18"/>
          <w:szCs w:val="18"/>
          <w:color w:val="auto"/>
        </w:rPr>
        <w:t>was $7.9 million. The loss reflects the change in market value of the indirect investment by ACM Shanghai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STAR Market IPO shares of Semiconductor Manufacturing International Corporation (“SMIC”). The value is marked-to-market quarterly and is excluded in the non-GAAP financial metrics.</w:t>
      </w:r>
    </w:p>
    <w:p>
      <w:pPr>
        <w:spacing w:after="0" w:line="170" w:lineRule="exact"/>
        <w:rPr>
          <w:rFonts w:ascii="Times New Roman" w:cs="Times New Roman" w:eastAsia="Times New Roman" w:hAnsi="Times New Roman"/>
          <w:sz w:val="18"/>
          <w:szCs w:val="18"/>
          <w:color w:val="auto"/>
        </w:rPr>
      </w:pPr>
    </w:p>
    <w:p>
      <w:pPr>
        <w:ind w:left="340" w:right="1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Realized gain from sale of trading securities </w:t>
      </w:r>
      <w:r>
        <w:rPr>
          <w:rFonts w:ascii="Times New Roman" w:cs="Times New Roman" w:eastAsia="Times New Roman" w:hAnsi="Times New Roman"/>
          <w:sz w:val="18"/>
          <w:szCs w:val="18"/>
          <w:color w:val="auto"/>
        </w:rPr>
        <w:t>was $1.1 million due to the sale of a portion of ACM Shanghai’s shares of SMIC, which generated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$4.5 million.</w:t>
      </w:r>
    </w:p>
    <w:p>
      <w:pPr>
        <w:spacing w:after="0" w:line="154" w:lineRule="exact"/>
        <w:rPr>
          <w:rFonts w:ascii="Times New Roman" w:cs="Times New Roman" w:eastAsia="Times New Roman" w:hAnsi="Times New Roman"/>
          <w:sz w:val="18"/>
          <w:szCs w:val="18"/>
          <w:color w:val="auto"/>
        </w:rPr>
      </w:pPr>
    </w:p>
    <w:p>
      <w:pPr>
        <w:ind w:left="340" w:right="20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$16.8 million, up from $0.1 million. As a result of a change in Section 174 of the U.S. Internal Revenue Code of 1986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became effective on January 1, 2022, the effective tax rate for 2022 has increased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primarily due to a new requirement to capitalize and amortize previously deductible research and experimental expenses.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$39.3 million, compared to net income of $37.8 million. Non-GAAP net income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Research, Inc., which excludes the effect of stock-based compensation and unrealized loss on trading securities, was $54.8 million, as compared to non-GAAP net income of $42.3 million.</w:t>
      </w:r>
    </w:p>
    <w:p>
      <w:pPr>
        <w:spacing w:after="0" w:line="170"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$0.59, compared to $0.58.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loss on trading securities, was $0.83, compared to $0.65.</w:t>
      </w:r>
    </w:p>
    <w:p>
      <w:pPr>
        <w:spacing w:after="0" w:line="154" w:lineRule="exact"/>
        <w:rPr>
          <w:rFonts w:ascii="Times New Roman" w:cs="Times New Roman" w:eastAsia="Times New Roman" w:hAnsi="Times New Roman"/>
          <w:sz w:val="18"/>
          <w:szCs w:val="18"/>
          <w:color w:val="auto"/>
        </w:rPr>
      </w:pPr>
    </w:p>
    <w:p>
      <w:pPr>
        <w:ind w:left="340" w:right="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$248.0 million at December 31, 2022, versus $336.3 million at September 30, 2022. Cash and cash equivalents,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cash and time deposits were $420.9 million at December 31, 2022, versus $473.2 million at September 30,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2022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fourth quarter of 2022 and comparisons are with the fourth quarter of 2021.</w:t>
      </w:r>
    </w:p>
    <w:p>
      <w:pPr>
        <w:spacing w:after="0" w:line="223" w:lineRule="exact"/>
        <w:rPr>
          <w:sz w:val="20"/>
          <w:szCs w:val="20"/>
          <w:color w:val="auto"/>
        </w:rPr>
      </w:pPr>
    </w:p>
    <w:p>
      <w:pPr>
        <w:ind w:left="340" w:right="2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$108.5 million, up 14.1%, reflecting continued share gains by our flagship cleaning products and contribution from our new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particularly ECP tools.</w:t>
      </w:r>
    </w:p>
    <w:p>
      <w:pPr>
        <w:spacing w:after="0" w:line="154" w:lineRule="exact"/>
        <w:rPr>
          <w:rFonts w:ascii="Times New Roman" w:cs="Times New Roman" w:eastAsia="Times New Roman" w:hAnsi="Times New Roman"/>
          <w:sz w:val="18"/>
          <w:szCs w:val="18"/>
          <w:color w:val="auto"/>
        </w:rPr>
      </w:pPr>
    </w:p>
    <w:p>
      <w:pPr>
        <w:ind w:left="340" w:right="200" w:hanging="332"/>
        <w:spacing w:after="0" w:line="26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49.6%, up from 47.8%. Non-GAAP gross margin, which excludes stock-based compensation, was 49.7%, up from 47.9%.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the range of 40% to 45% reflected in the Company’s long-term business model. The Company expects gross margin to vary from period to period due to a variety of factors, such as sales volume, product mix and favorable currency impacts from a stronger dollar versus the Chinese RMB.</w:t>
      </w:r>
    </w:p>
    <w:p>
      <w:pPr>
        <w:spacing w:after="0" w:line="176" w:lineRule="exact"/>
        <w:rPr>
          <w:rFonts w:ascii="Times New Roman" w:cs="Times New Roman" w:eastAsia="Times New Roman" w:hAnsi="Times New Roman"/>
          <w:sz w:val="18"/>
          <w:szCs w:val="18"/>
          <w:color w:val="auto"/>
        </w:rPr>
      </w:pPr>
    </w:p>
    <w:p>
      <w:pPr>
        <w:ind w:left="340" w:right="36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$37.1 million, an increase of 41.1%. Non-GAAP operating expenses, which exclude the effect of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were $34.8 million, up 38.4%. Operating expenses as a percent of revenue increased to 34.2% from 27.7%. Non-GAAP operating expenses as a percent of revenue increased to 32.0% from 26.4%.</w:t>
      </w:r>
    </w:p>
    <w:p>
      <w:pPr>
        <w:spacing w:after="0" w:line="170" w:lineRule="exact"/>
        <w:rPr>
          <w:rFonts w:ascii="Times New Roman" w:cs="Times New Roman" w:eastAsia="Times New Roman" w:hAnsi="Times New Roman"/>
          <w:sz w:val="18"/>
          <w:szCs w:val="18"/>
          <w:color w:val="auto"/>
        </w:rPr>
      </w:pPr>
    </w:p>
    <w:p>
      <w:pPr>
        <w:ind w:left="340" w:right="96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$16.7 million, down from $19.1 million. Non-GAAP operating income, which excludes the effect of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was $19.2 million, down from $20.4 million.</w:t>
      </w:r>
    </w:p>
    <w:p>
      <w:pPr>
        <w:spacing w:after="0" w:line="154" w:lineRule="exact"/>
        <w:rPr>
          <w:rFonts w:ascii="Times New Roman" w:cs="Times New Roman" w:eastAsia="Times New Roman" w:hAnsi="Times New Roman"/>
          <w:sz w:val="18"/>
          <w:szCs w:val="18"/>
          <w:color w:val="auto"/>
        </w:rPr>
      </w:pPr>
    </w:p>
    <w:p>
      <w:pPr>
        <w:ind w:left="340" w:right="1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loss on trading securities </w:t>
      </w:r>
      <w:r>
        <w:rPr>
          <w:rFonts w:ascii="Times New Roman" w:cs="Times New Roman" w:eastAsia="Times New Roman" w:hAnsi="Times New Roman"/>
          <w:sz w:val="18"/>
          <w:szCs w:val="18"/>
          <w:color w:val="auto"/>
        </w:rPr>
        <w:t>was $1.7 million. The loss reflects the change in market value of the indirect investment by ACM Shanghai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STAR Market IPO shares of SMIC. The value is marked-to-market quarterly and is excluded in the non-GAAP financial metrics.</w:t>
      </w:r>
    </w:p>
    <w:p>
      <w:pPr>
        <w:spacing w:after="0" w:line="154" w:lineRule="exact"/>
        <w:rPr>
          <w:rFonts w:ascii="Times New Roman" w:cs="Times New Roman" w:eastAsia="Times New Roman" w:hAnsi="Times New Roman"/>
          <w:sz w:val="18"/>
          <w:szCs w:val="18"/>
          <w:color w:val="auto"/>
        </w:rPr>
      </w:pPr>
    </w:p>
    <w:p>
      <w:pPr>
        <w:ind w:left="340" w:right="18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$2.7 million, compared to $3.2 million. As a result of a change in Section 174 of the U.S. Internal Revenue Code of 1986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became effective on January 1, 2022, the effective tax rate for 2022 has increased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primarily due to a new requirement to capitalize and amortize previously deductible research and experimental expenses.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$11.8 million, compared to net income of $15.6 million. Non-GAAP net income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ACM Research, Inc., which excludes the effect of stock-based compensation and unrealized loss on trading securities, was $12.6 million, as compared to non-GAAP net income of $18.1 million.</w:t>
      </w:r>
    </w:p>
    <w:p>
      <w:pPr>
        <w:spacing w:after="0" w:line="170"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$0.18, compared to $0.23.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loss on trading securities, was $0.19, compared to $0.27.</w:t>
      </w:r>
    </w:p>
    <w:p>
      <w:pPr>
        <w:spacing w:after="0" w:line="32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Friday, February 24, 2023,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https://register.vevent.com/register/BI8d1b21abbce04178b356565439642c73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ind w:firstLine="8"/>
        <w:spacing w:after="0" w:line="266" w:lineRule="auto"/>
        <w:tabs>
          <w:tab w:leader="none" w:pos="1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Yujia Zhai</w:t>
            </w:r>
          </w:p>
        </w:tc>
      </w:tr>
      <w:tr>
        <w:trPr>
          <w:trHeight w:val="214"/>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 (860) 214-0809</w:t>
            </w:r>
          </w:p>
        </w:tc>
      </w:tr>
      <w:tr>
        <w:trPr>
          <w:trHeight w:val="236"/>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w w:val="98"/>
              </w:rPr>
              <w:t>yujia@blueshirtgroup.com</w:t>
            </w:r>
          </w:p>
        </w:tc>
      </w:tr>
      <w:tr>
        <w:trPr>
          <w:trHeight w:val="391"/>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bl>
    <w:p>
      <w:pPr>
        <w:spacing w:after="0" w:line="3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2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5"/>
          </w:tcPr>
          <w:p>
            <w:pPr>
              <w:jc w:val="center"/>
              <w:ind w:left="6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304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(In thousands, except for par value)</w:t>
            </w:r>
          </w:p>
        </w:tc>
        <w:tc>
          <w:tcPr>
            <w:tcW w:w="0" w:type="dxa"/>
            <w:vAlign w:val="bottom"/>
          </w:tcPr>
          <w:p>
            <w:pPr>
              <w:spacing w:after="0"/>
              <w:rPr>
                <w:sz w:val="1"/>
                <w:szCs w:val="1"/>
                <w:color w:val="auto"/>
              </w:rPr>
            </w:pPr>
          </w:p>
        </w:tc>
      </w:tr>
      <w:tr>
        <w:trPr>
          <w:trHeight w:val="198"/>
        </w:trPr>
        <w:tc>
          <w:tcPr>
            <w:tcW w:w="8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247,951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29,498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393,172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218,116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14,256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963,806</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45,017</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1,235,500</w:t>
            </w:r>
          </w:p>
        </w:tc>
        <w:tc>
          <w:tcPr>
            <w:tcW w:w="10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56,004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93,451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52,824</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FIN-48 payable</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31,735</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396,214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423,329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604,089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63,732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(40,546)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ACM Research, Inc. stockholders’ equity</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676,204</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812,171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811,665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1,052,179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060" w:type="dxa"/>
            <w:vAlign w:val="bottom"/>
            <w:gridSpan w:val="4"/>
          </w:tcPr>
          <w:p>
            <w:pPr>
              <w:ind w:left="4660"/>
              <w:spacing w:after="0"/>
              <w:rPr>
                <w:sz w:val="20"/>
                <w:szCs w:val="20"/>
                <w:color w:val="auto"/>
              </w:rPr>
            </w:pPr>
            <w:r>
              <w:rPr>
                <w:rFonts w:ascii="Times New Roman" w:cs="Times New Roman" w:eastAsia="Times New Roman" w:hAnsi="Times New Roman"/>
                <w:sz w:val="18"/>
                <w:szCs w:val="18"/>
                <w:b w:val="1"/>
                <w:bCs w:val="1"/>
                <w:color w:val="auto"/>
              </w:rPr>
              <w:t>ACM RESEARCH, INC.</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80" w:type="dxa"/>
            <w:vAlign w:val="bottom"/>
            <w:gridSpan w:val="11"/>
          </w:tcPr>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66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4"/>
                <w:szCs w:val="24"/>
                <w:color w:val="auto"/>
              </w:rPr>
            </w:pPr>
          </w:p>
        </w:tc>
        <w:tc>
          <w:tcPr>
            <w:tcW w:w="24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23"/>
        </w:trPr>
        <w:tc>
          <w:tcPr>
            <w:tcW w:w="56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4"/>
          </w:tcPr>
          <w:p>
            <w:pPr>
              <w:jc w:val="center"/>
              <w:ind w:left="49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tcPr>
          <w:p>
            <w:pPr>
              <w:jc w:val="center"/>
              <w:ind w:left="530"/>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tcPr>
          <w:p>
            <w:pPr>
              <w:spacing w:after="0"/>
              <w:rPr>
                <w:sz w:val="18"/>
                <w:szCs w:val="18"/>
                <w:color w:val="auto"/>
              </w:rPr>
            </w:pPr>
          </w:p>
        </w:tc>
        <w:tc>
          <w:tcPr>
            <w:tcW w:w="29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 In thousands, except share and per</w:t>
            </w: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In thousands, except share and per</w:t>
            </w:r>
          </w:p>
        </w:tc>
      </w:tr>
      <w:tr>
        <w:trPr>
          <w:trHeight w:val="236"/>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share data)</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share data)</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108,542</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95,142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388,832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259,751</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49,696</w:t>
            </w:r>
          </w:p>
        </w:tc>
        <w:tc>
          <w:tcPr>
            <w:tcW w:w="1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205,217</w:t>
            </w: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144,895</w:t>
            </w:r>
          </w:p>
        </w:tc>
      </w:tr>
      <w:tr>
        <w:trPr>
          <w:trHeight w:val="223"/>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183,615</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9,273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26,733</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12,914</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62,226</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34,207</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15,214</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76,154</w:t>
            </w:r>
          </w:p>
        </w:tc>
      </w:tr>
      <w:tr>
        <w:trPr>
          <w:trHeight w:val="21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38,702</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8,740</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trading securities</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trading securities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3,315</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4,637</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43,055</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(16,798)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5,164</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39,263</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37,757</w:t>
            </w:r>
          </w:p>
        </w:tc>
      </w:tr>
      <w:tr>
        <w:trPr>
          <w:trHeight w:val="20"/>
        </w:trPr>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50,564</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42,921</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(59,102)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4,695</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(8,538)</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47,616</w:t>
            </w:r>
          </w:p>
        </w:tc>
      </w:tr>
      <w:tr>
        <w:trPr>
          <w:trHeight w:val="198"/>
        </w:trPr>
        <w:tc>
          <w:tcPr>
            <w:tcW w:w="5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redeemable non-controlling interests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5,607</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42,009</w:t>
            </w:r>
          </w:p>
        </w:tc>
      </w:tr>
      <w:tr>
        <w:trPr>
          <w:trHeight w:val="21"/>
        </w:trPr>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59,268,562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58,588,386</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59,235,975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57,654,708</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64,198,325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66,325,821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65,341,771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65,356,716</w:t>
            </w:r>
          </w:p>
        </w:tc>
      </w:tr>
      <w:tr>
        <w:trPr>
          <w:trHeight w:val="27"/>
        </w:trPr>
        <w:tc>
          <w:tcPr>
            <w:tcW w:w="3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557"/>
        </w:trPr>
        <w:tc>
          <w:tcPr>
            <w:tcW w:w="3100" w:type="dxa"/>
            <w:vAlign w:val="bottom"/>
          </w:tcPr>
          <w:p>
            <w:pPr>
              <w:spacing w:after="0"/>
              <w:rPr>
                <w:sz w:val="24"/>
                <w:szCs w:val="24"/>
                <w:color w:val="auto"/>
              </w:rPr>
            </w:pPr>
          </w:p>
        </w:tc>
        <w:tc>
          <w:tcPr>
            <w:tcW w:w="3800" w:type="dxa"/>
            <w:vAlign w:val="bottom"/>
            <w:gridSpan w:val="2"/>
          </w:tcPr>
          <w:p>
            <w:pPr>
              <w:jc w:val="right"/>
              <w:ind w:right="1070"/>
              <w:spacing w:after="0"/>
              <w:rPr>
                <w:sz w:val="20"/>
                <w:szCs w:val="20"/>
                <w:color w:val="auto"/>
              </w:rPr>
            </w:pPr>
            <w:r>
              <w:rPr>
                <w:rFonts w:ascii="Times New Roman" w:cs="Times New Roman" w:eastAsia="Times New Roman" w:hAnsi="Times New Roman"/>
                <w:sz w:val="14"/>
                <w:szCs w:val="14"/>
                <w:color w:val="auto"/>
              </w:rPr>
              <w:t>- 7 -</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by Equipment Type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1"/>
                <w:szCs w:val="21"/>
                <w:color w:val="auto"/>
              </w:rPr>
            </w:pPr>
          </w:p>
        </w:tc>
        <w:tc>
          <w:tcPr>
            <w:tcW w:w="2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74,603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272,939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189,208</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20,213</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77,482</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33,210</w:t>
            </w: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6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13,726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38,411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108,542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95,142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388,832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259,751</w:t>
            </w:r>
          </w:p>
        </w:tc>
      </w:tr>
      <w:tr>
        <w:trPr>
          <w:trHeight w:val="21"/>
        </w:trPr>
        <w:tc>
          <w:tcPr>
            <w:tcW w:w="5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Wet cleaning and other front-end processing tools</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79,333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74,946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308,528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202,268</w:t>
            </w: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other processing tools, services and spares</w:t>
            </w:r>
          </w:p>
        </w:tc>
        <w:tc>
          <w:tcPr>
            <w:tcW w:w="6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29,209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80,304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Front-end and Back-End</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108,542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95,142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388,832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259,751</w:t>
            </w:r>
          </w:p>
        </w:tc>
      </w:tr>
      <w:tr>
        <w:trPr>
          <w:trHeight w:val="21"/>
        </w:trPr>
        <w:tc>
          <w:tcPr>
            <w:tcW w:w="5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4"/>
                <w:szCs w:val="24"/>
                <w:color w:val="auto"/>
              </w:rPr>
            </w:pPr>
          </w:p>
        </w:tc>
        <w:tc>
          <w:tcPr>
            <w:tcW w:w="23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104,167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377,752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258,615</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4,375</w:t>
            </w:r>
          </w:p>
        </w:tc>
        <w:tc>
          <w:tcPr>
            <w:tcW w:w="3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11,080</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23"/>
        </w:trPr>
        <w:tc>
          <w:tcPr>
            <w:tcW w:w="5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108,542</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95,142</w:t>
            </w: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388,832</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259,751</w:t>
            </w:r>
          </w:p>
        </w:tc>
        <w:tc>
          <w:tcPr>
            <w:tcW w:w="100" w:type="dxa"/>
            <w:vAlign w:val="bottom"/>
            <w:shd w:val="clear" w:color="auto" w:fill="CCEEFF"/>
          </w:tcPr>
          <w:p>
            <w:pPr>
              <w:spacing w:after="0"/>
              <w:rPr>
                <w:sz w:val="19"/>
                <w:szCs w:val="19"/>
                <w:color w:val="auto"/>
              </w:rPr>
            </w:pPr>
          </w:p>
        </w:tc>
      </w:tr>
      <w:tr>
        <w:trPr>
          <w:trHeight w:val="557"/>
        </w:trPr>
        <w:tc>
          <w:tcPr>
            <w:tcW w:w="51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- 8 -</w:t>
            </w: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Pr>
          <w:p>
            <w:pPr>
              <w:spacing w:after="0"/>
              <w:rPr>
                <w:sz w:val="17"/>
                <w:szCs w:val="17"/>
                <w:color w:val="auto"/>
              </w:rPr>
            </w:pPr>
          </w:p>
        </w:tc>
        <w:tc>
          <w:tcPr>
            <w:tcW w:w="8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1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Other non-</w:t>
            </w:r>
          </w:p>
        </w:tc>
        <w:tc>
          <w:tcPr>
            <w:tcW w:w="180" w:type="dxa"/>
            <w:vAlign w:val="bottom"/>
          </w:tcPr>
          <w:p>
            <w:pPr>
              <w:spacing w:after="0"/>
              <w:rPr>
                <w:sz w:val="17"/>
                <w:szCs w:val="17"/>
                <w:color w:val="auto"/>
              </w:rPr>
            </w:pPr>
          </w:p>
        </w:tc>
        <w:tc>
          <w:tcPr>
            <w:tcW w:w="104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80" w:type="dxa"/>
            <w:vAlign w:val="bottom"/>
          </w:tcPr>
          <w:p>
            <w:pPr>
              <w:spacing w:after="0"/>
              <w:rPr>
                <w:sz w:val="17"/>
                <w:szCs w:val="17"/>
                <w:color w:val="auto"/>
              </w:rPr>
            </w:pPr>
          </w:p>
        </w:tc>
        <w:tc>
          <w:tcPr>
            <w:tcW w:w="9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Actual</w:t>
            </w:r>
          </w:p>
        </w:tc>
        <w:tc>
          <w:tcPr>
            <w:tcW w:w="280" w:type="dxa"/>
            <w:vAlign w:val="bottom"/>
          </w:tcPr>
          <w:p>
            <w:pPr>
              <w:spacing w:after="0"/>
              <w:rPr>
                <w:sz w:val="17"/>
                <w:szCs w:val="17"/>
                <w:color w:val="auto"/>
              </w:rPr>
            </w:pPr>
          </w:p>
        </w:tc>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1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20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tcPr>
          <w:p>
            <w:pPr>
              <w:spacing w:after="0"/>
              <w:rPr>
                <w:sz w:val="18"/>
                <w:szCs w:val="18"/>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1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108,542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95,142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(49,588)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53,805</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53,942</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45,446</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(8,871)</w:t>
            </w:r>
          </w:p>
        </w:tc>
        <w:tc>
          <w:tcPr>
            <w:tcW w:w="0" w:type="dxa"/>
            <w:vAlign w:val="bottom"/>
          </w:tcPr>
          <w:p>
            <w:pPr>
              <w:spacing w:after="0"/>
              <w:rPr>
                <w:sz w:val="1"/>
                <w:szCs w:val="1"/>
                <w:color w:val="auto"/>
              </w:rPr>
            </w:pPr>
          </w:p>
        </w:tc>
      </w:tr>
      <w:tr>
        <w:trPr>
          <w:trHeight w:val="198"/>
        </w:trPr>
        <w:tc>
          <w:tcPr>
            <w:tcW w:w="224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development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administrative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198"/>
        </w:trPr>
        <w:tc>
          <w:tcPr>
            <w:tcW w:w="224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8"/>
              </w:rPr>
              <w:t>operations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19,126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Unrealized gain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on trading securities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40" w:type="dxa"/>
            <w:vAlign w:val="bottom"/>
            <w:tcBorders>
              <w:top w:val="single" w:sz="8" w:color="CCEEFF"/>
            </w:tcBorders>
          </w:tcPr>
          <w:p>
            <w:pPr>
              <w:jc w:val="center"/>
              <w:ind w:right="83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11,809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1,707</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12,596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15,565</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jc w:val="center"/>
              <w:ind w:right="790"/>
              <w:spacing w:after="0" w:line="164" w:lineRule="exact"/>
              <w:rPr>
                <w:sz w:val="20"/>
                <w:szCs w:val="20"/>
                <w:color w:val="auto"/>
              </w:rPr>
            </w:pPr>
            <w:r>
              <w:rPr>
                <w:rFonts w:ascii="Times New Roman" w:cs="Times New Roman" w:eastAsia="Times New Roman" w:hAnsi="Times New Roman"/>
                <w:sz w:val="18"/>
                <w:szCs w:val="18"/>
                <w:b w:val="1"/>
                <w:bCs w:val="1"/>
                <w:color w:val="auto"/>
                <w:w w:val="98"/>
              </w:rPr>
              <w:t>Research, Inc.</w:t>
            </w:r>
          </w:p>
        </w:tc>
        <w:tc>
          <w:tcPr>
            <w:tcW w:w="12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240" w:type="dxa"/>
            <w:vAlign w:val="bottom"/>
          </w:tcPr>
          <w:p>
            <w:pPr>
              <w:spacing w:after="0"/>
              <w:rPr>
                <w:sz w:val="18"/>
                <w:szCs w:val="18"/>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SBC</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8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280" w:type="dxa"/>
            <w:vAlign w:val="bottom"/>
          </w:tcPr>
          <w:p>
            <w:pPr>
              <w:spacing w:after="0"/>
              <w:rPr>
                <w:sz w:val="18"/>
                <w:szCs w:val="18"/>
                <w:color w:val="auto"/>
              </w:rPr>
            </w:pPr>
          </w:p>
        </w:tc>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SBC</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2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operating</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tcPr>
          <w:p>
            <w:pPr>
              <w:spacing w:after="0"/>
              <w:rPr>
                <w:sz w:val="16"/>
                <w:szCs w:val="16"/>
                <w:color w:val="auto"/>
              </w:rPr>
            </w:pPr>
          </w:p>
        </w:tc>
        <w:tc>
          <w:tcPr>
            <w:tcW w:w="9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operating</w:t>
            </w:r>
          </w:p>
        </w:tc>
        <w:tc>
          <w:tcPr>
            <w:tcW w:w="11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388,832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388,832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259,751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(205,217)</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(204,697)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(144,498)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183,615</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184,135</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114,856</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(39,889)</w:t>
            </w: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w:t>
            </w:r>
          </w:p>
        </w:tc>
        <w:tc>
          <w:tcPr>
            <w:tcW w:w="38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(38,012)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(24,931)</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development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(62,226)</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(59,661)</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(33,092)</w:t>
            </w:r>
          </w:p>
        </w:tc>
        <w:tc>
          <w:tcPr>
            <w:tcW w:w="0" w:type="dxa"/>
            <w:vAlign w:val="bottom"/>
          </w:tcPr>
          <w:p>
            <w:pPr>
              <w:spacing w:after="0"/>
              <w:rPr>
                <w:sz w:val="1"/>
                <w:szCs w:val="1"/>
                <w:color w:val="auto"/>
              </w:rPr>
            </w:pPr>
          </w:p>
        </w:tc>
      </w:tr>
      <w:tr>
        <w:trPr>
          <w:trHeight w:val="198"/>
        </w:trPr>
        <w:tc>
          <w:tcPr>
            <w:tcW w:w="224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administrative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(22,465)</w:t>
            </w:r>
          </w:p>
        </w:tc>
        <w:tc>
          <w:tcPr>
            <w:tcW w:w="2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(2,768)</w:t>
            </w:r>
          </w:p>
        </w:tc>
        <w:tc>
          <w:tcPr>
            <w:tcW w:w="3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(19,697)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(13,411)</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59,035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(7,730)</w:t>
            </w: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66,765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38,702</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40" w:type="dxa"/>
            <w:vAlign w:val="bottom"/>
            <w:tcBorders>
              <w:top w:val="single" w:sz="8" w:color="CCEEFF"/>
            </w:tcBorders>
          </w:tcPr>
          <w:p>
            <w:pPr>
              <w:ind w:left="500"/>
              <w:spacing w:after="0" w:line="198" w:lineRule="exact"/>
              <w:rPr>
                <w:sz w:val="20"/>
                <w:szCs w:val="20"/>
                <w:color w:val="auto"/>
              </w:rPr>
            </w:pPr>
            <w:r>
              <w:rPr>
                <w:rFonts w:ascii="Times New Roman" w:cs="Times New Roman" w:eastAsia="Times New Roman" w:hAnsi="Times New Roman"/>
                <w:sz w:val="18"/>
                <w:szCs w:val="18"/>
                <w:color w:val="auto"/>
              </w:rPr>
              <w:t>Unrealized gain (loss)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on trading securities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(7,855)</w:t>
            </w:r>
          </w:p>
        </w:tc>
        <w:tc>
          <w:tcPr>
            <w:tcW w:w="24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8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jc w:val="center"/>
              <w:ind w:right="83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39,263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(7,730)</w:t>
            </w: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(7,855)</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54,848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37,757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(5,117)</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607</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42,267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0.65</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2023-02-24T06:51:19Z</dcterms:created>
  <dcterms:modified xsi:type="dcterms:W3CDTF">2023-02-24T06:51:19Z</dcterms:modified>
</cp:coreProperties>
</file>