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4D4D4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4D4D4F"/>
        </w:rPr>
        <w:t>SCHEDULE 14A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Proxy Statement Pursuant to</w:t>
      </w:r>
    </w:p>
    <w:p>
      <w:pPr>
        <w:jc w:val="center"/>
        <w:spacing w:after="0"/>
        <w:rPr>
          <w:sz w:val="20"/>
          <w:szCs w:val="20"/>
          <w:color w:val="auto"/>
        </w:rPr>
      </w:pPr>
      <w:r>
        <w:rPr>
          <w:rFonts w:ascii="Arial" w:cs="Arial" w:eastAsia="Arial" w:hAnsi="Arial"/>
          <w:sz w:val="22"/>
          <w:szCs w:val="22"/>
          <w:b w:val="1"/>
          <w:bCs w:val="1"/>
          <w:color w:val="4D4D4F"/>
        </w:rPr>
        <w:t>Section 14(a) of the Securities Exchange Act of 1934</w:t>
      </w:r>
    </w:p>
    <w:p>
      <w:pPr>
        <w:spacing w:after="0" w:line="166" w:lineRule="exact"/>
        <w:rPr>
          <w:sz w:val="24"/>
          <w:szCs w:val="24"/>
          <w:color w:val="auto"/>
        </w:rPr>
      </w:pPr>
    </w:p>
    <w:p>
      <w:pPr>
        <w:spacing w:after="0" w:line="207" w:lineRule="exact"/>
        <w:tabs>
          <w:tab w:leader="none" w:pos="7720" w:val="left"/>
        </w:tabs>
        <w:rPr>
          <w:sz w:val="20"/>
          <w:szCs w:val="20"/>
          <w:color w:val="auto"/>
        </w:rPr>
      </w:pPr>
      <w:r>
        <w:rPr>
          <w:rFonts w:ascii="Arial" w:cs="Arial" w:eastAsia="Arial" w:hAnsi="Arial"/>
          <w:sz w:val="18"/>
          <w:szCs w:val="18"/>
          <w:color w:val="4D4D4F"/>
        </w:rPr>
        <w:t xml:space="preserve">Filed by the Registrant </w:t>
      </w:r>
      <w:r>
        <w:rPr>
          <w:rFonts w:ascii="MS PGothic" w:cs="MS PGothic" w:eastAsia="MS PGothic" w:hAnsi="MS PGothic"/>
          <w:sz w:val="18"/>
          <w:szCs w:val="18"/>
          <w:color w:val="4D4D4F"/>
        </w:rPr>
        <w:t>☒</w:t>
      </w:r>
      <w:r>
        <w:rPr>
          <w:sz w:val="20"/>
          <w:szCs w:val="20"/>
          <w:color w:val="auto"/>
        </w:rPr>
        <w:tab/>
      </w:r>
      <w:r>
        <w:rPr>
          <w:rFonts w:ascii="Arial" w:cs="Arial" w:eastAsia="Arial" w:hAnsi="Arial"/>
          <w:sz w:val="17"/>
          <w:szCs w:val="17"/>
          <w:color w:val="4D4D4F"/>
        </w:rPr>
        <w:t xml:space="preserve">Filed by a Party other than the Registrant </w:t>
      </w:r>
      <w:r>
        <w:rPr>
          <w:rFonts w:ascii="MS PGothic" w:cs="MS PGothic" w:eastAsia="MS PGothic" w:hAnsi="MS PGothic"/>
          <w:sz w:val="17"/>
          <w:szCs w:val="17"/>
          <w:color w:val="4D4D4F"/>
        </w:rPr>
        <w:t>☐</w:t>
      </w:r>
    </w:p>
    <w:p>
      <w:pPr>
        <w:spacing w:after="0" w:line="136" w:lineRule="exact"/>
        <w:rPr>
          <w:sz w:val="24"/>
          <w:szCs w:val="24"/>
          <w:color w:val="auto"/>
        </w:rPr>
      </w:pPr>
    </w:p>
    <w:p>
      <w:pPr>
        <w:spacing w:after="0"/>
        <w:rPr>
          <w:sz w:val="20"/>
          <w:szCs w:val="20"/>
          <w:color w:val="auto"/>
        </w:rPr>
      </w:pPr>
      <w:r>
        <w:rPr>
          <w:rFonts w:ascii="Arial" w:cs="Arial" w:eastAsia="Arial" w:hAnsi="Arial"/>
          <w:sz w:val="22"/>
          <w:szCs w:val="22"/>
          <w:color w:val="4D4D4F"/>
        </w:rPr>
        <w:t>Check the appropriate box:</w:t>
      </w:r>
    </w:p>
    <w:p>
      <w:pPr>
        <w:ind w:left="340" w:hanging="332"/>
        <w:spacing w:after="0"/>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Preliminary Proxy Statement</w:t>
      </w:r>
    </w:p>
    <w:p>
      <w:pPr>
        <w:ind w:left="340" w:hanging="332"/>
        <w:spacing w:after="0" w:line="234"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b w:val="1"/>
          <w:bCs w:val="1"/>
          <w:color w:val="4D4D4F"/>
        </w:rPr>
        <w:t>Confidential, for Use of the Commission Only (as permitted by Rule 14a-6(e)(2))</w:t>
      </w:r>
    </w:p>
    <w:p>
      <w:pPr>
        <w:ind w:left="340" w:hanging="332"/>
        <w:spacing w:after="0" w:line="230" w:lineRule="auto"/>
        <w:tabs>
          <w:tab w:leader="none" w:pos="340" w:val="left"/>
        </w:tabs>
        <w:numPr>
          <w:ilvl w:val="0"/>
          <w:numId w:val="1"/>
        </w:numPr>
        <w:rPr>
          <w:rFonts w:ascii="MS PGothic" w:cs="MS PGothic" w:eastAsia="MS PGothic" w:hAnsi="MS PGothic"/>
          <w:sz w:val="18"/>
          <w:szCs w:val="18"/>
          <w:color w:val="4D4D4F"/>
        </w:rPr>
      </w:pPr>
      <w:r>
        <w:rPr>
          <w:rFonts w:ascii="Arial" w:cs="Arial" w:eastAsia="Arial" w:hAnsi="Arial"/>
          <w:sz w:val="18"/>
          <w:szCs w:val="18"/>
          <w:color w:val="4D4D4F"/>
        </w:rPr>
        <w:t>Definitive Proxy Statement</w:t>
      </w:r>
    </w:p>
    <w:p>
      <w:pPr>
        <w:ind w:left="340" w:hanging="332"/>
        <w:spacing w:after="0" w:line="234" w:lineRule="auto"/>
        <w:tabs>
          <w:tab w:leader="none" w:pos="340" w:val="left"/>
        </w:tabs>
        <w:numPr>
          <w:ilvl w:val="0"/>
          <w:numId w:val="2"/>
        </w:numPr>
        <w:rPr>
          <w:rFonts w:ascii="MS PGothic" w:cs="MS PGothic" w:eastAsia="MS PGothic" w:hAnsi="MS PGothic"/>
          <w:sz w:val="18"/>
          <w:szCs w:val="18"/>
          <w:color w:val="4D4D4F"/>
        </w:rPr>
      </w:pPr>
      <w:r>
        <w:rPr>
          <w:rFonts w:ascii="Arial" w:cs="Arial" w:eastAsia="Arial" w:hAnsi="Arial"/>
          <w:sz w:val="18"/>
          <w:szCs w:val="18"/>
          <w:color w:val="4D4D4F"/>
        </w:rPr>
        <w:t>Definitive Additional Materials</w:t>
      </w:r>
    </w:p>
    <w:p>
      <w:pPr>
        <w:spacing w:after="0" w:line="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4D4D4F"/>
        </w:rPr>
      </w:pPr>
      <w:r>
        <w:rPr>
          <w:rFonts w:ascii="Arial" w:cs="Arial" w:eastAsia="Arial" w:hAnsi="Arial"/>
          <w:sz w:val="18"/>
          <w:szCs w:val="18"/>
          <w:color w:val="4D4D4F"/>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134620</wp:posOffset>
            </wp:positionV>
            <wp:extent cx="78867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4D4D4F"/>
        </w:rPr>
        <w:t>ACM Research, Inc.</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4D4D4F"/>
        </w:rPr>
        <w:t>(Name of Registrant as Specified In Its Charter)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4D4D4F"/>
        </w:rPr>
        <w:t>Payment of Filing Fee (Check the appropriate box):</w:t>
      </w:r>
    </w:p>
    <w:p>
      <w:pPr>
        <w:spacing w:after="0" w:line="63"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4D4D4F"/>
        </w:rPr>
        <w:t>No fee required.</w:t>
      </w:r>
    </w:p>
    <w:p>
      <w:pPr>
        <w:spacing w:after="0" w:line="59"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4D4D4F"/>
        </w:rPr>
        <w:t>Fee computed on table below per Exchange Act Rules 14a-6(i)(1) and 0-11.</w:t>
      </w: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Title of each class of securities to which transaction applies:</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Aggregate number of securities to which transaction applies:</w:t>
      </w:r>
    </w:p>
    <w:p>
      <w:pPr>
        <w:spacing w:after="0" w:line="225" w:lineRule="exact"/>
        <w:rPr>
          <w:rFonts w:ascii="Arial" w:cs="Arial" w:eastAsia="Arial" w:hAnsi="Arial"/>
          <w:sz w:val="18"/>
          <w:szCs w:val="18"/>
          <w:color w:val="4D4D4F"/>
        </w:rPr>
      </w:pPr>
    </w:p>
    <w:p>
      <w:pPr>
        <w:ind w:left="980" w:hanging="540"/>
        <w:spacing w:after="0" w:line="246" w:lineRule="auto"/>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Proposed maximum aggregate value of transaction:</w:t>
      </w:r>
    </w:p>
    <w:p>
      <w:pPr>
        <w:spacing w:after="0" w:line="225"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Total fee paid:</w:t>
      </w:r>
    </w:p>
    <w:p>
      <w:pPr>
        <w:spacing w:after="0" w:line="121" w:lineRule="exact"/>
        <w:rPr>
          <w:rFonts w:ascii="Arial" w:cs="Arial" w:eastAsia="Arial" w:hAnsi="Arial"/>
          <w:sz w:val="18"/>
          <w:szCs w:val="18"/>
          <w:color w:val="4D4D4F"/>
        </w:rPr>
      </w:pPr>
    </w:p>
    <w:p>
      <w:pPr>
        <w:ind w:left="440" w:hanging="432"/>
        <w:spacing w:after="0"/>
        <w:tabs>
          <w:tab w:leader="none" w:pos="440" w:val="left"/>
        </w:tabs>
        <w:numPr>
          <w:ilvl w:val="0"/>
          <w:numId w:val="5"/>
        </w:numPr>
        <w:rPr>
          <w:rFonts w:ascii="MS PGothic" w:cs="MS PGothic" w:eastAsia="MS PGothic" w:hAnsi="MS PGothic"/>
          <w:sz w:val="36"/>
          <w:szCs w:val="36"/>
          <w:color w:val="auto"/>
          <w:vertAlign w:val="superscript"/>
        </w:rPr>
      </w:pPr>
      <w:r>
        <w:rPr>
          <w:rFonts w:ascii="Arial" w:cs="Arial" w:eastAsia="Arial" w:hAnsi="Arial"/>
          <w:sz w:val="18"/>
          <w:szCs w:val="18"/>
          <w:color w:val="4D4D4F"/>
        </w:rPr>
        <w:t>Fee paid previously with preliminary materials.</w:t>
      </w:r>
    </w:p>
    <w:p>
      <w:pPr>
        <w:ind w:left="440" w:hanging="432"/>
        <w:spacing w:after="0" w:line="234" w:lineRule="auto"/>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4D4D4F"/>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Amount Previously Paid:</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Form, Schedule or Registration Statement No.:</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Filing Party:</w:t>
      </w:r>
    </w:p>
    <w:p>
      <w:pPr>
        <w:spacing w:after="0" w:line="238" w:lineRule="exact"/>
        <w:rPr>
          <w:rFonts w:ascii="Arial" w:cs="Arial" w:eastAsia="Arial" w:hAnsi="Arial"/>
          <w:sz w:val="18"/>
          <w:szCs w:val="18"/>
          <w:color w:val="4D4D4F"/>
        </w:rPr>
      </w:pPr>
    </w:p>
    <w:p>
      <w:pPr>
        <w:ind w:left="980" w:hanging="540"/>
        <w:spacing w:after="0"/>
        <w:tabs>
          <w:tab w:leader="none" w:pos="980" w:val="left"/>
        </w:tabs>
        <w:numPr>
          <w:ilvl w:val="1"/>
          <w:numId w:val="5"/>
        </w:numPr>
        <w:rPr>
          <w:rFonts w:ascii="Arial" w:cs="Arial" w:eastAsia="Arial" w:hAnsi="Arial"/>
          <w:sz w:val="18"/>
          <w:szCs w:val="18"/>
          <w:color w:val="4D4D4F"/>
        </w:rPr>
      </w:pPr>
      <w:r>
        <w:rPr>
          <w:rFonts w:ascii="Arial" w:cs="Arial" w:eastAsia="Arial" w:hAnsi="Arial"/>
          <w:sz w:val="18"/>
          <w:szCs w:val="18"/>
          <w:color w:val="4D4D4F"/>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126365</wp:posOffset>
            </wp:positionV>
            <wp:extent cx="65151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-147320</wp:posOffset>
            </wp:positionV>
            <wp:extent cx="65151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-430530</wp:posOffset>
            </wp:positionV>
            <wp:extent cx="65151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-713105</wp:posOffset>
            </wp:positionV>
            <wp:extent cx="65151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-1416050</wp:posOffset>
            </wp:positionV>
            <wp:extent cx="6515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-1690370</wp:posOffset>
            </wp:positionV>
            <wp:extent cx="65151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-1964690</wp:posOffset>
            </wp:positionV>
            <wp:extent cx="65151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-2367915</wp:posOffset>
            </wp:positionV>
            <wp:extent cx="65151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-2642235</wp:posOffset>
            </wp:positionV>
            <wp:extent cx="65151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3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93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89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89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2021-04-23T16:30:37Z</dcterms:created>
  <dcterms:modified xsi:type="dcterms:W3CDTF">2021-04-23T16:30:37Z</dcterms:modified>
</cp:coreProperties>
</file>