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3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3"/>
                </w:rPr>
                <w:t>Hu Chenming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8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ACM Research,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ACMR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42307 OSGOOD ROAD, SUITE I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960" w:type="dxa"/>
            <w:vAlign w:val="bottom"/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7.5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42,102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03/08/2021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12,334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7.5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54,436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03/08/2027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12,334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12,334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03/08/2021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12,334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03/08/2027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9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2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0"/>
              </w:rPr>
              <w:t>1. On March 4, 2021, the reporting person exercised a previously issued stock option to purchase 11,000 shares of Class A Common Stock of the Issuer.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2. The option is fully vested and exercisable.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2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0"/>
              </w:rPr>
              <w:t>3. On March 8, 2021, the reporting person exercised a previously issued stock option to purchase 12,334 shares of Class A Common Stock of the Issuer.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Mark L. Johnson,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03/08/2021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 for Chenming Hu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-4829810</wp:posOffset>
            </wp:positionV>
            <wp:extent cx="7033895" cy="36601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660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16320" TargetMode="External"/><Relationship Id="rId14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2021-03-08T18:14:06Z</dcterms:created>
  <dcterms:modified xsi:type="dcterms:W3CDTF">2021-03-08T18:14:06Z</dcterms:modified>
</cp:coreProperties>
</file>