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firstLine="72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 SECURITIES AND EXCHANGE COMMISSION</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88" w:before="24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Section 13 or 15(d) of the Securities Exchange Act of 1934</w:t>
      </w:r>
    </w:p>
    <w:p>
      <w:pPr>
        <w:pStyle w:val="TextBody"/>
        <w:bidi w:val="0"/>
        <w:spacing w:lineRule="auto" w:line="288" w:before="240" w:after="283"/>
        <w:jc w:val="center"/>
        <w:rPr/>
      </w:pPr>
      <w:r>
        <w:rPr>
          <w:rFonts w:ascii="Times New Roman;serif" w:hAnsi="Times New Roman;serif"/>
          <w:b w:val="false"/>
          <w:color w:val="000000"/>
          <w:sz w:val="20"/>
          <w:shd w:fill="FFFFFF" w:val="clear"/>
        </w:rPr>
        <w:t xml:space="preserve">Date of Report (Date of earliest event reported): </w:t>
      </w:r>
      <w:r>
        <w:rPr>
          <w:rFonts w:ascii="Times New Roman;serif" w:hAnsi="Times New Roman;serif"/>
          <w:b w:val="false"/>
          <w:color w:val="000000"/>
          <w:sz w:val="20"/>
        </w:rPr>
        <w:t>September 30, 2026</w:t>
      </w:r>
    </w:p>
    <w:p>
      <w:pPr>
        <w:pStyle w:val="TextBody"/>
        <w:bidi w:val="0"/>
        <w:spacing w:lineRule="auto" w:line="288" w:before="24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ACM Research, Inc.</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(Exact Name of Registrant as Specified in its Charter)</w:t>
      </w:r>
    </w:p>
    <w:tbl>
      <w:tblPr>
        <w:tblW w:w="8999" w:type="dxa"/>
        <w:jc w:val="left"/>
        <w:tblInd w:w="0" w:type="dxa"/>
        <w:tblLayout w:type="fixed"/>
        <w:tblCellMar>
          <w:top w:w="28" w:type="dxa"/>
          <w:left w:w="28" w:type="dxa"/>
          <w:bottom w:w="28" w:type="dxa"/>
          <w:right w:w="28" w:type="dxa"/>
        </w:tblCellMar>
      </w:tblPr>
      <w:tblGrid>
        <w:gridCol w:w="1387"/>
        <w:gridCol w:w="1219"/>
        <w:gridCol w:w="1234"/>
        <w:gridCol w:w="757"/>
        <w:gridCol w:w="757"/>
        <w:gridCol w:w="765"/>
        <w:gridCol w:w="842"/>
        <w:gridCol w:w="842"/>
        <w:gridCol w:w="1196"/>
      </w:tblGrid>
      <w:tr>
        <w:trPr/>
        <w:tc>
          <w:tcPr>
            <w:tcW w:w="1387"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7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001-38273</w:t>
            </w:r>
          </w:p>
        </w:tc>
        <w:tc>
          <w:tcPr>
            <w:tcW w:w="288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94-3290283</w:t>
            </w:r>
          </w:p>
        </w:tc>
      </w:tr>
      <w:tr>
        <w:trPr/>
        <w:tc>
          <w:tcPr>
            <w:tcW w:w="38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(State or Other Jurisdiction of Incorporation)</w:t>
            </w:r>
          </w:p>
        </w:tc>
        <w:tc>
          <w:tcPr>
            <w:tcW w:w="22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(Commission File Number)</w:t>
            </w:r>
          </w:p>
        </w:tc>
        <w:tc>
          <w:tcPr>
            <w:tcW w:w="28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(IRS Employer Identification No.)</w:t>
            </w:r>
          </w:p>
        </w:tc>
      </w:tr>
    </w:tbl>
    <w:tbl>
      <w:tblPr>
        <w:tblW w:w="4394" w:type="dxa"/>
        <w:jc w:val="left"/>
        <w:tblInd w:w="0" w:type="dxa"/>
        <w:tblLayout w:type="fixed"/>
        <w:tblCellMar>
          <w:top w:w="28" w:type="dxa"/>
          <w:left w:w="28" w:type="dxa"/>
          <w:bottom w:w="28" w:type="dxa"/>
          <w:right w:w="28" w:type="dxa"/>
        </w:tblCellMar>
      </w:tblPr>
      <w:tblGrid>
        <w:gridCol w:w="1221"/>
        <w:gridCol w:w="1074"/>
        <w:gridCol w:w="1079"/>
        <w:gridCol w:w="299"/>
        <w:gridCol w:w="299"/>
        <w:gridCol w:w="422"/>
      </w:tblGrid>
      <w:tr>
        <w:trPr/>
        <w:tc>
          <w:tcPr>
            <w:tcW w:w="122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42307 Osgood Road, Suite I</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Fremont, California</w:t>
            </w:r>
          </w:p>
        </w:tc>
        <w:tc>
          <w:tcPr>
            <w:tcW w:w="102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94539</w:t>
            </w:r>
          </w:p>
        </w:tc>
      </w:tr>
      <w:tr>
        <w:trPr/>
        <w:tc>
          <w:tcPr>
            <w:tcW w:w="33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(Address of Principal Executive Offices)</w:t>
            </w:r>
          </w:p>
        </w:tc>
        <w:tc>
          <w:tcPr>
            <w:tcW w:w="10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(Zip Code)</w:t>
            </w:r>
          </w:p>
        </w:tc>
      </w:tr>
    </w:tbl>
    <w:p>
      <w:pPr>
        <w:pStyle w:val="TextBody"/>
        <w:bidi w:val="0"/>
        <w:spacing w:lineRule="auto" w:line="288" w:before="240" w:after="283"/>
        <w:jc w:val="center"/>
        <w:rPr/>
      </w:pPr>
      <w:r>
        <w:rPr>
          <w:rFonts w:ascii="Times New Roman;serif" w:hAnsi="Times New Roman;serif"/>
          <w:b w:val="false"/>
          <w:color w:val="000000"/>
          <w:sz w:val="20"/>
          <w:shd w:fill="FFFFFF" w:val="clear"/>
        </w:rPr>
        <w:t xml:space="preserve">Registrant’s telephone number, including area code: </w:t>
      </w:r>
      <w:r>
        <w:rPr>
          <w:rFonts w:ascii="Times New Roman;serif" w:hAnsi="Times New Roman;serif"/>
          <w:b/>
          <w:color w:val="000000"/>
          <w:sz w:val="20"/>
          <w:shd w:fill="FFFFFF" w:val="clear"/>
        </w:rPr>
        <w:t>(510) 445-3700</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560"/>
        <w:gridCol w:w="1367"/>
        <w:gridCol w:w="1382"/>
        <w:gridCol w:w="109"/>
        <w:gridCol w:w="109"/>
        <w:gridCol w:w="109"/>
        <w:gridCol w:w="485"/>
        <w:gridCol w:w="485"/>
        <w:gridCol w:w="487"/>
        <w:gridCol w:w="109"/>
        <w:gridCol w:w="109"/>
        <w:gridCol w:w="109"/>
        <w:gridCol w:w="1105"/>
        <w:gridCol w:w="1105"/>
        <w:gridCol w:w="1575"/>
      </w:tblGrid>
      <w:tr>
        <w:trPr/>
        <w:tc>
          <w:tcPr>
            <w:tcW w:w="1560"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r>
      <w:tr>
        <w:trPr/>
        <w:tc>
          <w:tcPr>
            <w:tcW w:w="43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30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ACMR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Indicate by check mark whether the registrant is an emerging growth company as defined in Rule 405 of the Securities Act of 1933 or Rule 12b-2 of the Securities Exchange Act of 1934:Emerging growth company </w:t>
      </w:r>
      <w:r>
        <w:rPr>
          <w:rFonts w:ascii="Wingdings;sans-serif" w:hAnsi="Wingdings;sans-serif"/>
          <w:b w:val="false"/>
          <w:color w:val="000000"/>
          <w:sz w:val="20"/>
          <w:shd w:fill="FFFFFF" w:val="clear"/>
        </w:rPr>
        <w:t>o</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shd w:fill="FFFFFF" w:val="clear"/>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30, 2026, we issued a press release entitled “ACM Research’s Operating Subsidiary ACM Research (Shanghai) Provides Backlog Data.” The full text of the press release is furnished as Exhibit 99.1 hereto and is incorporated herein by reference..</w:t>
      </w:r>
    </w:p>
    <w:p>
      <w:pPr>
        <w:pStyle w:val="TextBody"/>
        <w:bidi w:val="0"/>
        <w:spacing w:before="0" w:after="0"/>
        <w:jc w:val="both"/>
        <w:rPr/>
      </w:pPr>
      <w:r>
        <w:rPr/>
      </w:r>
    </w:p>
    <w:p>
      <w:pPr>
        <w:pStyle w:val="TextBody"/>
        <w:bidi w:val="0"/>
        <w:spacing w:lineRule="auto" w:line="240" w:before="0" w:after="20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76" w:before="0" w:after="200"/>
        <w:jc w:val="both"/>
        <w:rPr>
          <w:rFonts w:ascii="Times New Roman;serif" w:hAnsi="Times New Roman;serif"/>
          <w:b/>
          <w:color w:val="000000"/>
          <w:sz w:val="20"/>
        </w:rPr>
      </w:pPr>
      <w:r>
        <w:rPr>
          <w:rFonts w:ascii="Times New Roman;serif" w:hAnsi="Times New Roman;serif"/>
          <w:b/>
          <w:color w:val="000000"/>
          <w:sz w:val="20"/>
        </w:rPr>
        <w:t>(d)    Exhibits.</w:t>
      </w:r>
    </w:p>
    <w:tbl>
      <w:tblPr>
        <w:tblW w:w="7048"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1769"/>
        <w:gridCol w:w="1769"/>
        <w:gridCol w:w="2537"/>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6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120" w:after="120"/>
              <w:jc w:val="center"/>
              <w:rPr/>
            </w:pPr>
            <w:hyperlink w:anchor="acmr-acmshbacklogdata_9302.htm">
              <w:r>
                <w:rPr>
                  <w:rStyle w:val="InternetLink"/>
                  <w:rFonts w:ascii="Times New Roman;serif" w:hAnsi="Times New Roman;serif"/>
                  <w:b w:val="false"/>
                  <w:color w:val="0000FF"/>
                  <w:sz w:val="20"/>
                  <w:u w:val="single"/>
                </w:rPr>
                <w:t>99.1</w:t>
              </w:r>
            </w:hyperlink>
          </w:p>
          <w:p>
            <w:pPr>
              <w:pStyle w:val="TableContents"/>
              <w:bidi w:val="0"/>
              <w:spacing w:lineRule="auto" w:line="276" w:before="120" w:after="120"/>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Press Release of ACM Research, Inc. dated September 30, 2026</w:t>
            </w:r>
          </w:p>
          <w:p>
            <w:pPr>
              <w:pStyle w:val="TableContents"/>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Cover Page Interactive Data File (embedded within the XBRL document)</w:t>
            </w:r>
          </w:p>
          <w:p>
            <w:pPr>
              <w:pStyle w:val="TableContents"/>
              <w:bidi w:val="0"/>
              <w:spacing w:before="0" w:after="0"/>
              <w:jc w:val="both"/>
              <w:rPr/>
            </w:pPr>
            <w:r>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0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40" w:before="0" w:after="480"/>
        <w:jc w:val="left"/>
        <w:rPr>
          <w:rFonts w:ascii="Times New Roman;serif" w:hAnsi="Times New Roman;serif"/>
          <w:b w:val="false"/>
          <w:color w:val="000000"/>
          <w:sz w:val="20"/>
        </w:rPr>
      </w:pPr>
      <w:r>
        <w:rPr>
          <w:rFonts w:ascii="Times New Roman;serif" w:hAnsi="Times New Roman;serif"/>
          <w:b w:val="false"/>
          <w:color w:val="000000"/>
          <w:sz w:val="20"/>
        </w:rPr>
        <w:t>ACM RESEARCH, INC.</w:t>
      </w:r>
    </w:p>
    <w:p>
      <w:pPr>
        <w:pStyle w:val="TextBody"/>
        <w:bidi w:val="0"/>
        <w:spacing w:lineRule="auto" w:line="240" w:before="0" w:after="0"/>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Mark McKechnie</w:t>
      </w:r>
      <w:r>
        <w:rPr>
          <w:rFonts w:ascii="Times New Roman;serif" w:hAnsi="Times New Roman;serif"/>
          <w:b w:val="false"/>
          <w:color w:val="000000"/>
          <w:sz w:val="20"/>
        </w:rPr>
        <w:t>________________________</w:t>
      </w:r>
    </w:p>
    <w:p>
      <w:pPr>
        <w:pStyle w:val="TextBody"/>
        <w:bidi w:val="0"/>
        <w:spacing w:lineRule="auto" w:line="240" w:before="0" w:after="0"/>
        <w:jc w:val="left"/>
        <w:rPr>
          <w:color w:val="000000"/>
        </w:rPr>
      </w:pPr>
      <w:r>
        <w:rPr>
          <w:color w:val="000000"/>
        </w:rPr>
        <w:t>    </w:t>
      </w:r>
      <w:r>
        <w:rPr>
          <w:rFonts w:ascii="Times New Roman;serif" w:hAnsi="Times New Roman;serif"/>
          <w:b w:val="false"/>
          <w:color w:val="000000"/>
          <w:sz w:val="20"/>
        </w:rPr>
        <w:t>Mark McKechnie</w:t>
      </w:r>
    </w:p>
    <w:p>
      <w:pPr>
        <w:pStyle w:val="TextBody"/>
        <w:bidi w:val="0"/>
        <w:spacing w:lineRule="auto" w:line="240" w:before="0" w:after="20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Dated: September 30,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00" w:after="100"/>
        <w:jc w:val="center"/>
        <w:rPr>
          <w:rFonts w:ascii="Times New Roman;serif" w:hAnsi="Times New Roman;serif"/>
          <w:b/>
          <w:color w:val="000000"/>
          <w:sz w:val="32"/>
        </w:rPr>
      </w:pPr>
      <w:r>
        <w:rPr>
          <w:rFonts w:ascii="Times New Roman;serif" w:hAnsi="Times New Roman;serif"/>
          <w:b/>
          <w:color w:val="000000"/>
          <w:sz w:val="32"/>
        </w:rPr>
        <w:t>ACM Research’s Operating Subsidiary ACM Research (Shanghai) Provides Backlog Data</w:t>
      </w:r>
    </w:p>
    <w:p>
      <w:pPr>
        <w:pStyle w:val="TextBody"/>
        <w:bidi w:val="0"/>
        <w:spacing w:lineRule="auto" w:line="319" w:before="0" w:after="0"/>
        <w:jc w:val="left"/>
        <w:rPr/>
      </w:pPr>
      <w:r>
        <w:rPr>
          <w:rFonts w:ascii="Times New Roman;serif" w:hAnsi="Times New Roman;serif"/>
          <w:b/>
          <w:color w:val="000000"/>
          <w:sz w:val="24"/>
        </w:rPr>
        <w:t>Fremont, Calif., September 30, 2026</w:t>
      </w:r>
      <w:r>
        <w:rPr>
          <w:color w:val="000000"/>
        </w:rPr>
        <w:t xml:space="preserve"> – </w:t>
      </w:r>
      <w:r>
        <w:rPr>
          <w:rFonts w:ascii="Times New Roman;serif" w:hAnsi="Times New Roman;serif"/>
          <w:b w:val="false"/>
          <w:color w:val="0563C1"/>
          <w:sz w:val="24"/>
          <w:u w:val="single"/>
        </w:rPr>
        <w:t>ACM Research, Inc.</w:t>
      </w:r>
      <w:r>
        <w:rPr>
          <w:color w:val="000000"/>
        </w:rPr>
        <w:t xml:space="preserve"> </w:t>
      </w:r>
      <w:r>
        <w:rPr>
          <w:rFonts w:ascii="Times New Roman;serif" w:hAnsi="Times New Roman;serif"/>
          <w:b w:val="false"/>
          <w:color w:val="000000"/>
          <w:sz w:val="24"/>
        </w:rPr>
        <w:t>(“ACM”) (NASDAQ: ACMR), a leading supplier of wafer and panel processing solutions for semiconductor and advanced packaging applications, today announced that its operating subsidiary, ACM Research (Shanghai), Inc. (“ACM Shanghai”) posted backlog figures for ACM Shanghai as of September 29, 2026 on the Shanghai Stock Exchange website [</w:t>
      </w:r>
      <w:r>
        <w:rPr>
          <w:rFonts w:ascii="Times New Roman;serif" w:hAnsi="Times New Roman;serif"/>
          <w:b w:val="false"/>
          <w:color w:val="0563C1"/>
          <w:sz w:val="24"/>
          <w:u w:val="single"/>
        </w:rPr>
        <w:t>link to China Disclosure</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4"/>
        </w:rPr>
      </w:pPr>
      <w:r>
        <w:rPr>
          <w:rFonts w:ascii="Times New Roman;serif" w:hAnsi="Times New Roman;serif"/>
          <w:b/>
          <w:color w:val="000000"/>
          <w:sz w:val="24"/>
        </w:rPr>
        <w:t>Backlog</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As of September 29, 2026, ACM Shanghai’s total backlog amounted to RMB 17.1 billion (USD $2.5 billion), an 88.2% year-over-year increase compared with the prior year’s disclosed backlog. The total backlog figures include a mix of orders for tools that have been shipped but not yet recognized as revenue under Chinese generally accepted accounting principles (“Chinese GAAP”), and orders for tools expected to be shipped at a future date. </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4"/>
        </w:rPr>
      </w:pPr>
      <w:r>
        <w:rPr>
          <w:rFonts w:ascii="Times New Roman;serif" w:hAnsi="Times New Roman;serif"/>
          <w:b w:val="false"/>
          <w:color w:val="000000"/>
          <w:sz w:val="24"/>
        </w:rPr>
        <w:t>Backlog is not a financial measure that is defined or recognized by Chinese GAAP or U.S. generally accepted accounting principles, and ACM Shanghai’s method for determining and calculating backlog, and the underlying assumptions, may not be comparable to the methodologies and assumptions used by other companies. Orders included in backlog may not actually generate the amounts of revenue estimated above.</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4"/>
        </w:rPr>
      </w:pPr>
      <w:r>
        <w:rPr>
          <w:rFonts w:ascii="Times New Roman;serif" w:hAnsi="Times New Roman;serif"/>
          <w:b w:val="false"/>
          <w:color w:val="000000"/>
          <w:sz w:val="24"/>
        </w:rPr>
        <w:t>All USD amounts above are for reference only and are translated using the September 29, 2026 Wall Street Journal closing exchange rate.</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4"/>
        </w:rPr>
      </w:pPr>
      <w:r>
        <w:rPr>
          <w:rFonts w:ascii="Times New Roman;serif" w:hAnsi="Times New Roman;serif"/>
          <w:b/>
          <w:color w:val="000000"/>
          <w:sz w:val="24"/>
        </w:rPr>
        <w:t>Reporting Dates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4"/>
        </w:rPr>
      </w:pPr>
      <w:r>
        <w:rPr>
          <w:rFonts w:ascii="Times New Roman;serif" w:hAnsi="Times New Roman;serif"/>
          <w:b w:val="false"/>
          <w:color w:val="000000"/>
          <w:sz w:val="24"/>
        </w:rPr>
        <w:t>ACM Shanghai will release its full financial results for the nine months ended September 30, 2026 on October 28, 2026 after the market close in China, and on the same day ACM will report preliminary financial results for the nine months ended September 30, 2026 before the market open in the U.S.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4"/>
        </w:rPr>
      </w:pPr>
      <w:r>
        <w:rPr>
          <w:rFonts w:ascii="Times New Roman;serif" w:hAnsi="Times New Roman;serif"/>
          <w:b w:val="false"/>
          <w:color w:val="000000"/>
          <w:sz w:val="24"/>
        </w:rPr>
        <w:t>ACM will release its full financial results for the third quarter of 2026 and conduct a corresponding conference call to discuss the results in early November 2026. The specific reporting date and details of the conference call will be released at a later date.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721995"/>
                <wp:effectExtent l="0" t="0" r="0" b="0"/>
                <wp:wrapNone/>
                <wp:docPr id="4" name="Frame4"/>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1244" w:type="dxa"/>
                              <w:jc w:val="left"/>
                              <w:tblInd w:w="0" w:type="dxa"/>
                              <w:tblLayout w:type="fixed"/>
                              <w:tblCellMar>
                                <w:top w:w="28" w:type="dxa"/>
                                <w:left w:w="28" w:type="dxa"/>
                                <w:bottom w:w="28" w:type="dxa"/>
                                <w:right w:w="28" w:type="dxa"/>
                              </w:tblCellMar>
                            </w:tblPr>
                            <w:tblGrid>
                              <w:gridCol w:w="398"/>
                              <w:gridCol w:w="350"/>
                              <w:gridCol w:w="496"/>
                            </w:tblGrid>
                            <w:tr>
                              <w:trPr/>
                              <w:tc>
                                <w:tcPr>
                                  <w:tcW w:w="398" w:type="dxa"/>
                                  <w:tcBorders/>
                                  <w:vAlign w:val="center"/>
                                </w:tcPr>
                                <w:p>
                                  <w:pPr>
                                    <w:pStyle w:val="TableContents"/>
                                    <w:bidi w:val="0"/>
                                    <w:spacing w:before="0" w:after="283"/>
                                    <w:jc w:val="left"/>
                                    <w:rPr>
                                      <w:sz w:val="4"/>
                                      <w:szCs w:val="4"/>
                                    </w:rPr>
                                  </w:pPr>
                                  <w:r>
                                    <w:rPr>
                                      <w:sz w:val="4"/>
                                      <w:szCs w:val="4"/>
                                    </w:rPr>
                                  </w:r>
                                  <w:r>
                                    <w:br w:type="page"/>
                                  </w:r>
                                </w:p>
                              </w:tc>
                              <w:tc>
                                <w:tcPr>
                                  <w:tcW w:w="35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5"/>
                                    </w:rPr>
                                  </w:pPr>
                                  <w:r>
                                    <w:rPr>
                                      <w:rFonts w:ascii="Arial;sans-serif" w:hAnsi="Arial;sans-serif"/>
                                      <w:b w:val="false"/>
                                      <w:color w:val="000000"/>
                                      <w:sz w:val="15"/>
                                    </w:rPr>
                                    <w:t xml:space="preserve">1616263254.2 </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1244" w:type="dxa"/>
                        <w:jc w:val="left"/>
                        <w:tblInd w:w="0" w:type="dxa"/>
                        <w:tblLayout w:type="fixed"/>
                        <w:tblCellMar>
                          <w:top w:w="28" w:type="dxa"/>
                          <w:left w:w="28" w:type="dxa"/>
                          <w:bottom w:w="28" w:type="dxa"/>
                          <w:right w:w="28" w:type="dxa"/>
                        </w:tblCellMar>
                      </w:tblPr>
                      <w:tblGrid>
                        <w:gridCol w:w="398"/>
                        <w:gridCol w:w="350"/>
                        <w:gridCol w:w="496"/>
                      </w:tblGrid>
                      <w:tr>
                        <w:trPr/>
                        <w:tc>
                          <w:tcPr>
                            <w:tcW w:w="39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5"/>
                              </w:rPr>
                            </w:pPr>
                            <w:r>
                              <w:rPr>
                                <w:rFonts w:ascii="Arial;sans-serif" w:hAnsi="Arial;sans-serif"/>
                                <w:b w:val="false"/>
                                <w:color w:val="000000"/>
                                <w:sz w:val="15"/>
                              </w:rPr>
                              <w:t xml:space="preserve">1616263254.2 </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9" w:before="0" w:after="0"/>
        <w:jc w:val="left"/>
        <w:rPr>
          <w:rFonts w:ascii="Times New Roman;serif" w:hAnsi="Times New Roman;serif"/>
          <w:b w:val="false"/>
          <w:color w:val="000000"/>
          <w:sz w:val="24"/>
        </w:rPr>
      </w:pPr>
      <w:r>
        <w:rPr>
          <w:rFonts w:ascii="Times New Roman;serif" w:hAnsi="Times New Roman;serif"/>
          <w:b w:val="false"/>
          <w:color w:val="000000"/>
          <w:sz w:val="24"/>
        </w:rPr>
        <w:t>Certain statements contained in this press release are not historical facts and may be forward-looking statements within the meaning of the Private Securities Litigation Reform Act of 1995. Words such as “plans,” “expects,” “believes,” “anticipates,” “designed,” and similar words are intended to identify forward-looking statements. Forward-looking statements are based on ACM management’s current expectations and beliefs and involve a number of risks and uncertainties that are difficult to predict and that could cause actual results to differ materially from those stated or implied by the forward-looking statements. A description of certain of these risks, uncertainties and other matters can be found in filings ACM makes with the U.S. Securities and Exchange Commission, all of which are available at www.sec.gov. Because forward-looking statements involve risks and uncertainties, actual results and events may differ materially from results and events currently expected by ACM. Readers are cautioned not to place undue reliance on these forward-looking statements, which speak only as of the date hereof. ACM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About ACM Research, Inc.</w:t>
      </w:r>
    </w:p>
    <w:p>
      <w:pPr>
        <w:pStyle w:val="TextBody"/>
        <w:bidi w:val="0"/>
        <w:spacing w:lineRule="auto" w:line="288" w:before="0" w:after="0"/>
        <w:jc w:val="left"/>
        <w:rPr/>
      </w:pPr>
      <w:r>
        <w:rPr>
          <w:rFonts w:ascii="Times New Roman;serif" w:hAnsi="Times New Roman;serif"/>
          <w:b w:val="false"/>
          <w:color w:val="000000"/>
          <w:sz w:val="24"/>
        </w:rPr>
        <w:br/>
        <w:t xml:space="preserve">ACM develops, manufactures and sells semiconductor process equipment spanning cleaning, electroplating, stress-free polishing, vertical furnace processes, track, PECVD, and wafer- and panel-level packaging tools, enabling advanced and semi-critical semiconductor device manufacturing. ACM is committed to delivering customized, high-performance, cost-effective process solutions that semiconductor manufacturers can use in numerous manufacturing steps to improve productivity and product yield. For more information, visit </w:t>
      </w:r>
      <w:r>
        <w:rPr>
          <w:rFonts w:ascii="Times New Roman;serif" w:hAnsi="Times New Roman;serif"/>
          <w:b w:val="false"/>
          <w:color w:val="0563C1"/>
          <w:sz w:val="24"/>
          <w:u w:val="single"/>
        </w:rPr>
        <w:t>www.acmr.com</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ACM Research, Inc. ACM Research logo is a trademark of ACM Research, Inc. For convenience, these trademarks appear in this press release without ™ symbols, but that practice does not mean ACM will not assert, to the fullest extent under applicable law, its rights to such trademarks. All other trademarks are the property of their respective owners.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color w:val="555555"/>
          <w:sz w:val="24"/>
          <w:shd w:fill="FFFFFF" w:val="clear"/>
        </w:rPr>
      </w:pPr>
      <w:r>
        <w:rPr>
          <w:rFonts w:ascii="Times New Roman;serif" w:hAnsi="Times New Roman;serif"/>
          <w:b/>
          <w:color w:val="555555"/>
          <w:sz w:val="24"/>
          <w:shd w:fill="FFFFFF" w:val="clear"/>
        </w:rPr>
        <w:t>For investor and media inquiries, please contact:</w:t>
      </w:r>
    </w:p>
    <w:p>
      <w:pPr>
        <w:pStyle w:val="TextBody"/>
        <w:bidi w:val="0"/>
        <w:spacing w:before="0" w:after="0"/>
        <w:jc w:val="left"/>
        <w:rPr/>
      </w:pPr>
      <w:r>
        <w:rPr/>
      </w:r>
    </w:p>
    <w:tbl>
      <w:tblPr>
        <w:tblW w:w="4681" w:type="dxa"/>
        <w:jc w:val="left"/>
        <w:tblInd w:w="0" w:type="dxa"/>
        <w:tblLayout w:type="fixed"/>
        <w:tblCellMar>
          <w:top w:w="28" w:type="dxa"/>
          <w:left w:w="28" w:type="dxa"/>
          <w:bottom w:w="28" w:type="dxa"/>
          <w:right w:w="28" w:type="dxa"/>
        </w:tblCellMar>
      </w:tblPr>
      <w:tblGrid>
        <w:gridCol w:w="738"/>
        <w:gridCol w:w="650"/>
        <w:gridCol w:w="652"/>
        <w:gridCol w:w="773"/>
        <w:gridCol w:w="773"/>
        <w:gridCol w:w="1095"/>
      </w:tblGrid>
      <w:tr>
        <w:trPr/>
        <w:tc>
          <w:tcPr>
            <w:tcW w:w="7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4"/>
                <w:u w:val="single"/>
              </w:rPr>
              <w:t>In the United States</w:t>
            </w:r>
            <w:r>
              <w:rPr>
                <w:rFonts w:ascii="Times New Roman;serif" w:hAnsi="Times New Roman;serif"/>
                <w:b w:val="false"/>
                <w:color w:val="000000"/>
                <w:sz w:val="24"/>
              </w:rPr>
              <w:t>:</w:t>
            </w:r>
          </w:p>
        </w:tc>
        <w:tc>
          <w:tcPr>
            <w:tcW w:w="2641"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4"/>
              </w:rPr>
              <w:t>The Blueshirt Group</w:t>
              <w:br/>
              <w:t>Steven C. Pelayo, CFA</w:t>
              <w:br/>
              <w:t>+1 (360) 808-5154</w:t>
              <w:br/>
            </w:r>
            <w:r>
              <w:rPr>
                <w:rFonts w:ascii="Times New Roman;serif" w:hAnsi="Times New Roman;serif"/>
                <w:b w:val="false"/>
                <w:i/>
                <w:color w:val="000000"/>
                <w:sz w:val="24"/>
              </w:rPr>
              <w:t>steven@blueshirtgroup.co</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4"/>
                <w:u w:val="single"/>
              </w:rPr>
              <w:t>In China</w:t>
            </w:r>
            <w:r>
              <w:rPr>
                <w:rFonts w:ascii="Times New Roman;serif" w:hAnsi="Times New Roman;serif"/>
                <w:b w:val="false"/>
                <w:color w:val="000000"/>
                <w:sz w:val="24"/>
              </w:rPr>
              <w:t>:</w:t>
            </w:r>
          </w:p>
        </w:tc>
        <w:tc>
          <w:tcPr>
            <w:tcW w:w="2641"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4"/>
              </w:rPr>
              <w:t>The Blueshirt Group Asia</w:t>
              <w:br/>
              <w:t>Gary Dvorchak, CFA</w:t>
              <w:br/>
            </w:r>
            <w:r>
              <w:rPr>
                <w:rFonts w:ascii="Times New Roman;serif" w:hAnsi="Times New Roman;serif"/>
                <w:b w:val="false"/>
                <w:i/>
                <w:color w:val="000000"/>
                <w:sz w:val="24"/>
              </w:rPr>
              <w:t>gary@blueshirtgroup.co</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21995"/>
                <wp:effectExtent l="0" t="0" r="0" b="0"/>
                <wp:wrapNone/>
                <wp:docPr id="5" name="Frame5"/>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1244" w:type="dxa"/>
                              <w:jc w:val="left"/>
                              <w:tblInd w:w="0" w:type="dxa"/>
                              <w:tblLayout w:type="fixed"/>
                              <w:tblCellMar>
                                <w:top w:w="28" w:type="dxa"/>
                                <w:left w:w="28" w:type="dxa"/>
                                <w:bottom w:w="28" w:type="dxa"/>
                                <w:right w:w="28" w:type="dxa"/>
                              </w:tblCellMar>
                            </w:tblPr>
                            <w:tblGrid>
                              <w:gridCol w:w="398"/>
                              <w:gridCol w:w="350"/>
                              <w:gridCol w:w="496"/>
                            </w:tblGrid>
                            <w:tr>
                              <w:trPr/>
                              <w:tc>
                                <w:tcPr>
                                  <w:tcW w:w="398" w:type="dxa"/>
                                  <w:tcBorders/>
                                  <w:vAlign w:val="center"/>
                                </w:tcPr>
                                <w:p>
                                  <w:pPr>
                                    <w:pStyle w:val="TableContents"/>
                                    <w:bidi w:val="0"/>
                                    <w:spacing w:before="0" w:after="283"/>
                                    <w:jc w:val="left"/>
                                    <w:rPr>
                                      <w:sz w:val="4"/>
                                      <w:szCs w:val="4"/>
                                    </w:rPr>
                                  </w:pPr>
                                  <w:r>
                                    <w:rPr>
                                      <w:sz w:val="4"/>
                                      <w:szCs w:val="4"/>
                                    </w:rPr>
                                  </w:r>
                                  <w:r>
                                    <w:br w:type="page"/>
                                  </w:r>
                                </w:p>
                              </w:tc>
                              <w:tc>
                                <w:tcPr>
                                  <w:tcW w:w="35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5"/>
                                    </w:rPr>
                                  </w:pPr>
                                  <w:r>
                                    <w:rPr>
                                      <w:rFonts w:ascii="Arial;sans-serif" w:hAnsi="Arial;sans-serif"/>
                                      <w:b w:val="false"/>
                                      <w:color w:val="000000"/>
                                      <w:sz w:val="15"/>
                                    </w:rPr>
                                    <w:t xml:space="preserve">1616263254.2 </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1244" w:type="dxa"/>
                        <w:jc w:val="left"/>
                        <w:tblInd w:w="0" w:type="dxa"/>
                        <w:tblLayout w:type="fixed"/>
                        <w:tblCellMar>
                          <w:top w:w="28" w:type="dxa"/>
                          <w:left w:w="28" w:type="dxa"/>
                          <w:bottom w:w="28" w:type="dxa"/>
                          <w:right w:w="28" w:type="dxa"/>
                        </w:tblCellMar>
                      </w:tblPr>
                      <w:tblGrid>
                        <w:gridCol w:w="398"/>
                        <w:gridCol w:w="350"/>
                        <w:gridCol w:w="496"/>
                      </w:tblGrid>
                      <w:tr>
                        <w:trPr/>
                        <w:tc>
                          <w:tcPr>
                            <w:tcW w:w="39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5"/>
                              </w:rPr>
                            </w:pPr>
                            <w:r>
                              <w:rPr>
                                <w:rFonts w:ascii="Arial;sans-serif" w:hAnsi="Arial;sans-serif"/>
                                <w:b w:val="false"/>
                                <w:color w:val="000000"/>
                                <w:sz w:val="15"/>
                              </w:rPr>
                              <w:t xml:space="preserve">1616263254.2 </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1091</Words>
  <Characters>6279</Characters>
  <CharactersWithSpaces>7310</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