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5, 2026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9"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70"/>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85"/>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70"/>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3"/>
                <w:szCs w:val="23"/>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20"/>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5"/>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November 5, 2026, we issued a press release announcing financial results for the third quarter of 2026. The full text of the press release is furnished as Exhibit 99.1 hereto and is incorporated herein by reference</w:t>
      </w:r>
      <w:r>
        <w:rPr>
          <w:rFonts w:ascii="Times New Roman" w:cs="Times New Roman" w:eastAsia="Times New Roman" w:hAnsi="Times New Roman"/>
          <w:sz w:val="21"/>
          <w:szCs w:val="21"/>
          <w:i w:val="1"/>
          <w:iCs w:val="1"/>
          <w:color w:val="auto"/>
        </w:rPr>
        <w:t>.</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18"/>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of ACM Research, Inc. dated November 5, 2026</w:t>
            </w:r>
          </w:p>
        </w:tc>
      </w:t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20" w:hanging="922"/>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388620</wp:posOffset>
            </wp:positionV>
            <wp:extent cx="72009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Third Quarter 2026 Results</w:t>
      </w:r>
    </w:p>
    <w:p>
      <w:pPr>
        <w:spacing w:after="0" w:line="2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FREMONT, Calif., November 05, 2026(Globe Newswire) – ACM Research, Inc. (“ACM”) (NASDAQ: ACMR), a leading supplier of wafer processing solutions for semiconductor and advanced wafer-level packaging applications, today reported financial results for its third quarter ended September 30, 2026.</w:t>
      </w:r>
    </w:p>
    <w:p>
      <w:pPr>
        <w:spacing w:after="0" w:line="16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delivered another strong quarter, with revenue increasing 37% and shipments growing 31% year over year,” said Dr. David Wang, President and Chief Executive Officer of ACM. “Demand for our differentiated technologies remains robust across our expanding product portfolio, with ECP and advanced packaging leading our growth, and our cleaning category returning to year-over-year growth. The second building of our Lingang manufacturing facility is coming online in the fourth quarter, doubling our manufacturing floor space to support future growth.”</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seeing increased traction for our high-temperature SPM systems. In October, we introduced an enhanced Single-Wafer Hot SPM system with sulfuric acid recycling, further expanding our cleaning technology portfolio. In advanced packaging, we achieved an important milestone with the shipment last month to a customer in Asia of our first 310×310 mm Ultra ECP ap-p panel-level horizontal electroplating production tool. We see a significant opportunity to play an enabling role as large size AI chips drive increasingly complex 2.5D and 3D packaging requirements.”</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global customer engagements are progressing, with growing engagements and equipment installations outside mainland China. To support this momentum, we are investing in global sales, engineering, and customer support to serve leading semiconductor manufacturers worldwide. Our expanding capabilities in Asia and continued investment in our Oregon operations facility represent important steps to build a more localized and responsive global operating platform.”</w:t>
      </w:r>
    </w:p>
    <w:p>
      <w:pPr>
        <w:spacing w:after="0" w:line="20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Dr. Wang concluded, "We are raising our 2026 revenue outlook, and now expect revenue above the upper end of our prior range. Looking ahead, we believe our broadening and differentiated product portfolio, our global footprint, and our customer relationships position us to capture new market opportunities and deliver sustainable long-term growth.”</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6"/>
          </w:tcPr>
          <w:p>
            <w:pPr>
              <w:jc w:val="right"/>
              <w:ind w:right="698"/>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1820" w:type="dxa"/>
            <w:vAlign w:val="bottom"/>
            <w:tcBorders>
              <w:bottom w:val="single" w:sz="8" w:color="auto"/>
            </w:tcBorders>
            <w:gridSpan w:val="2"/>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4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1098"/>
              <w:spacing w:after="0"/>
              <w:rPr>
                <w:sz w:val="20"/>
                <w:szCs w:val="20"/>
                <w:color w:val="auto"/>
              </w:rPr>
            </w:pPr>
            <w:r>
              <w:rPr>
                <w:rFonts w:ascii="Times New Roman" w:cs="Times New Roman" w:eastAsia="Times New Roman" w:hAnsi="Times New Roman"/>
                <w:sz w:val="18"/>
                <w:szCs w:val="18"/>
                <w:b w:val="1"/>
                <w:bCs w:val="1"/>
                <w:color w:val="auto"/>
              </w:rPr>
              <w:t>2026</w:t>
            </w:r>
          </w:p>
        </w:tc>
        <w:tc>
          <w:tcPr>
            <w:tcW w:w="96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40" w:type="dxa"/>
            <w:vAlign w:val="bottom"/>
            <w:gridSpan w:val="5"/>
          </w:tcPr>
          <w:p>
            <w:pPr>
              <w:jc w:val="right"/>
              <w:ind w:right="818"/>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6"/>
                <w:szCs w:val="16"/>
                <w:color w:val="auto"/>
              </w:rPr>
              <w:t>$  367,687</w:t>
            </w:r>
          </w:p>
        </w:tc>
        <w:tc>
          <w:tcPr>
            <w:tcW w:w="1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  269,160</w:t>
            </w:r>
          </w:p>
        </w:tc>
        <w:tc>
          <w:tcPr>
            <w:tcW w:w="10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6"/>
                <w:szCs w:val="16"/>
                <w:color w:val="auto"/>
              </w:rPr>
              <w:t>$  367,687</w:t>
            </w:r>
          </w:p>
        </w:tc>
        <w:tc>
          <w:tcPr>
            <w:tcW w:w="9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  269,160</w:t>
            </w:r>
          </w:p>
        </w:tc>
      </w:tr>
      <w:tr>
        <w:trPr>
          <w:trHeight w:val="3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24"/>
                <w:szCs w:val="24"/>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6"/>
                <w:szCs w:val="16"/>
                <w:color w:val="auto"/>
              </w:rPr>
              <w:t>41.5  %</w:t>
            </w: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41.6  %</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42.1  %</w:t>
            </w:r>
          </w:p>
        </w:tc>
      </w:tr>
      <w:tr>
        <w:trPr>
          <w:trHeight w:val="3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6"/>
                <w:szCs w:val="16"/>
                <w:color w:val="auto"/>
                <w:w w:val="95"/>
              </w:rPr>
              <w:t>55,527</w:t>
            </w:r>
          </w:p>
        </w:tc>
        <w:tc>
          <w:tcPr>
            <w:tcW w:w="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5"/>
              </w:rPr>
              <w:t>28,923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6"/>
                <w:szCs w:val="16"/>
                <w:color w:val="auto"/>
                <w:w w:val="95"/>
              </w:rPr>
              <w:t>66,229</w:t>
            </w:r>
          </w:p>
        </w:tc>
        <w:tc>
          <w:tcPr>
            <w:tcW w:w="3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5"/>
              </w:rPr>
              <w:t>36,485</w:t>
            </w:r>
          </w:p>
        </w:tc>
      </w:tr>
      <w:tr>
        <w:trPr>
          <w:trHeight w:val="3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6"/>
                <w:szCs w:val="16"/>
                <w:color w:val="auto"/>
              </w:rPr>
              <w:t>1,544</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35,889</w:t>
            </w:r>
          </w:p>
        </w:tc>
        <w:tc>
          <w:tcPr>
            <w:tcW w:w="100" w:type="dxa"/>
            <w:vAlign w:val="bottom"/>
          </w:tcPr>
          <w:p>
            <w:pPr>
              <w:spacing w:after="0"/>
              <w:rPr>
                <w:sz w:val="24"/>
                <w:szCs w:val="24"/>
                <w:color w:val="auto"/>
              </w:rPr>
            </w:pPr>
          </w:p>
        </w:tc>
        <w:tc>
          <w:tcPr>
            <w:tcW w:w="8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95"/>
              </w:rPr>
              <w:t>40,496</w:t>
            </w:r>
          </w:p>
        </w:tc>
        <w:tc>
          <w:tcPr>
            <w:tcW w:w="3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28,381</w:t>
            </w:r>
          </w:p>
        </w:tc>
      </w:tr>
      <w:tr>
        <w:trPr>
          <w:trHeight w:val="3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6"/>
                <w:szCs w:val="16"/>
                <w:color w:val="auto"/>
              </w:rPr>
              <w:t>0.02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6"/>
                <w:szCs w:val="16"/>
                <w:color w:val="auto"/>
              </w:rPr>
              <w:t>0.58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0.44</w:t>
            </w:r>
          </w:p>
        </w:tc>
      </w:tr>
      <w:tr>
        <w:trPr>
          <w:trHeight w:val="3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6"/>
                <w:szCs w:val="16"/>
                <w:color w:val="auto"/>
              </w:rPr>
              <w:t>0.02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rPr>
              <w:t>0.55</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0.41</w:t>
            </w:r>
          </w:p>
        </w:tc>
      </w:tr>
    </w:tbl>
    <w:p>
      <w:pPr>
        <w:sectPr>
          <w:pgSz w:w="11900" w:h="16838" w:orient="portrait"/>
          <w:cols w:equalWidth="0" w:num="1">
            <w:col w:w="11240"/>
          </w:cols>
          <w:pgMar w:left="320" w:top="13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right"/>
              <w:ind w:right="737"/>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797"/>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6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097"/>
              <w:spacing w:after="0"/>
              <w:rPr>
                <w:sz w:val="20"/>
                <w:szCs w:val="20"/>
                <w:color w:val="auto"/>
              </w:rPr>
            </w:pPr>
            <w:r>
              <w:rPr>
                <w:rFonts w:ascii="Times New Roman" w:cs="Times New Roman" w:eastAsia="Times New Roman" w:hAnsi="Times New Roman"/>
                <w:sz w:val="18"/>
                <w:szCs w:val="18"/>
                <w:b w:val="1"/>
                <w:bCs w:val="1"/>
                <w:color w:val="auto"/>
              </w:rPr>
              <w:t>2026</w:t>
            </w:r>
          </w:p>
        </w:tc>
        <w:tc>
          <w:tcPr>
            <w:tcW w:w="96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gridSpan w:val="6"/>
          </w:tcPr>
          <w:p>
            <w:pPr>
              <w:jc w:val="right"/>
              <w:ind w:right="817"/>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6"/>
                <w:szCs w:val="16"/>
                <w:color w:val="auto"/>
              </w:rPr>
              <w:t>891,869</w:t>
            </w:r>
          </w:p>
        </w:tc>
        <w:tc>
          <w:tcPr>
            <w:tcW w:w="12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  656,879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717"/>
              <w:spacing w:after="0"/>
              <w:rPr>
                <w:sz w:val="20"/>
                <w:szCs w:val="20"/>
                <w:color w:val="auto"/>
              </w:rPr>
            </w:pPr>
            <w:r>
              <w:rPr>
                <w:rFonts w:ascii="Times New Roman" w:cs="Times New Roman" w:eastAsia="Times New Roman" w:hAnsi="Times New Roman"/>
                <w:sz w:val="16"/>
                <w:szCs w:val="16"/>
                <w:color w:val="auto"/>
              </w:rPr>
              <w:t>891,869</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656,879</w:t>
            </w:r>
          </w:p>
        </w:tc>
      </w:tr>
      <w:tr>
        <w:trPr>
          <w:trHeight w:val="3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6"/>
                <w:szCs w:val="16"/>
                <w:color w:val="auto"/>
              </w:rPr>
              <w:t>44.2  %</w:t>
            </w: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557"/>
              <w:spacing w:after="0"/>
              <w:rPr>
                <w:sz w:val="20"/>
                <w:szCs w:val="20"/>
                <w:color w:val="auto"/>
              </w:rPr>
            </w:pPr>
            <w:r>
              <w:rPr>
                <w:rFonts w:ascii="Times New Roman" w:cs="Times New Roman" w:eastAsia="Times New Roman" w:hAnsi="Times New Roman"/>
                <w:sz w:val="16"/>
                <w:szCs w:val="16"/>
                <w:color w:val="auto"/>
              </w:rPr>
              <w:t>44.3  %</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45.9  %</w:t>
            </w:r>
          </w:p>
        </w:tc>
      </w:tr>
      <w:tr>
        <w:trPr>
          <w:trHeight w:val="3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6"/>
                <w:szCs w:val="16"/>
                <w:color w:val="auto"/>
              </w:rPr>
              <w:t>141,447</w:t>
            </w: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5"/>
              </w:rPr>
              <w:t>86,394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717"/>
              <w:spacing w:after="0"/>
              <w:rPr>
                <w:sz w:val="20"/>
                <w:szCs w:val="20"/>
                <w:color w:val="auto"/>
              </w:rPr>
            </w:pPr>
            <w:r>
              <w:rPr>
                <w:rFonts w:ascii="Times New Roman" w:cs="Times New Roman" w:eastAsia="Times New Roman" w:hAnsi="Times New Roman"/>
                <w:sz w:val="16"/>
                <w:szCs w:val="16"/>
                <w:color w:val="auto"/>
              </w:rPr>
              <w:t>164,353</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113,543</w:t>
            </w:r>
          </w:p>
        </w:tc>
      </w:tr>
      <w:tr>
        <w:trPr>
          <w:trHeight w:val="3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17"/>
              <w:spacing w:after="0"/>
              <w:rPr>
                <w:sz w:val="20"/>
                <w:szCs w:val="20"/>
                <w:color w:val="auto"/>
              </w:rPr>
            </w:pPr>
            <w:r>
              <w:rPr>
                <w:rFonts w:ascii="Times New Roman" w:cs="Times New Roman" w:eastAsia="Times New Roman" w:hAnsi="Times New Roman"/>
                <w:sz w:val="16"/>
                <w:szCs w:val="16"/>
                <w:color w:val="auto"/>
              </w:rPr>
              <w:t>107,835</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86,029</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717"/>
              <w:spacing w:after="0"/>
              <w:rPr>
                <w:sz w:val="20"/>
                <w:szCs w:val="20"/>
                <w:color w:val="auto"/>
              </w:rPr>
            </w:pPr>
            <w:r>
              <w:rPr>
                <w:rFonts w:ascii="Times New Roman" w:cs="Times New Roman" w:eastAsia="Times New Roman" w:hAnsi="Times New Roman"/>
                <w:sz w:val="16"/>
                <w:szCs w:val="16"/>
                <w:color w:val="auto"/>
              </w:rPr>
              <w:t>109,346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96,776</w:t>
            </w:r>
          </w:p>
        </w:tc>
      </w:tr>
      <w:tr>
        <w:trPr>
          <w:trHeight w:val="3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6"/>
                <w:szCs w:val="16"/>
                <w:color w:val="auto"/>
              </w:rPr>
              <w:t>1.59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1.52</w:t>
            </w:r>
          </w:p>
        </w:tc>
      </w:tr>
      <w:tr>
        <w:trPr>
          <w:trHeight w:val="3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7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17"/>
              <w:spacing w:after="0"/>
              <w:rPr>
                <w:sz w:val="20"/>
                <w:szCs w:val="20"/>
                <w:color w:val="auto"/>
              </w:rPr>
            </w:pPr>
            <w:r>
              <w:rPr>
                <w:rFonts w:ascii="Times New Roman" w:cs="Times New Roman" w:eastAsia="Times New Roman" w:hAnsi="Times New Roman"/>
                <w:sz w:val="16"/>
                <w:szCs w:val="16"/>
                <w:color w:val="auto"/>
              </w:rPr>
              <w:t>1.49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717"/>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1.42</w:t>
            </w:r>
          </w:p>
        </w:tc>
      </w:tr>
    </w:tbl>
    <w:p>
      <w:pPr>
        <w:spacing w:after="0" w:line="301" w:lineRule="exact"/>
        <w:rPr>
          <w:sz w:val="20"/>
          <w:szCs w:val="20"/>
          <w:color w:val="auto"/>
        </w:rPr>
      </w:pPr>
    </w:p>
    <w:p>
      <w:pPr>
        <w:ind w:left="340" w:right="100" w:hanging="332"/>
        <w:spacing w:after="0" w:line="315"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attributable to ACM Research, Inc. and basic and diluted earnings per share, also exclude unrealized gain on short-term investments and, beginning in the three months ended June 30, 2026, its impact to net income attributable to non-controlling interests.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ACM is raising its revenue guidance range for fiscal year 2026 to $1.24 billion to $1.28 billion, which would represent 38% to 42% growth, compared to its previous guidance range of $1.125 billion to $1.175 billion. The revised outlook reflects continued strong customer demand and expectations for robust shipment growth in the fourth quarter. This expectation is based on ACM management’s current assessment of the continuing impact of international trade policy, various expected spending scenarios of key customers, supply chain constraints, and the timing of acceptances for first tools under evaluation in the field, among other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52" w:lineRule="exact"/>
        <w:rPr>
          <w:sz w:val="20"/>
          <w:szCs w:val="20"/>
          <w:color w:val="auto"/>
        </w:rPr>
      </w:pPr>
    </w:p>
    <w:p>
      <w:pPr>
        <w:ind w:left="340" w:hanging="332"/>
        <w:spacing w:after="0" w:line="333"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third quarter of 2026 were $343.5 million, up 30.6% when compared to the third quarter of 2025. Total shipments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deliveries for revenue in the quarter and deliveries of first tools awaiting customer acceptance for potential revenue in future quarters.</w:t>
      </w:r>
    </w:p>
    <w:p>
      <w:pPr>
        <w:spacing w:after="0" w:line="14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Shipped First 310 × 310 mm Panel-Level Horizontal ECP Production Tool. </w:t>
      </w:r>
      <w:r>
        <w:rPr>
          <w:rFonts w:ascii="Times New Roman" w:cs="Times New Roman" w:eastAsia="Times New Roman" w:hAnsi="Times New Roman"/>
          <w:sz w:val="18"/>
          <w:szCs w:val="18"/>
          <w:color w:val="auto"/>
        </w:rPr>
        <w:t>In October, ACM announced the shipment of its first 310 × 310 mm</w:t>
      </w:r>
    </w:p>
    <w:p>
      <w:pPr>
        <w:spacing w:after="0" w:line="53" w:lineRule="exact"/>
        <w:rPr>
          <w:rFonts w:ascii="Times New Roman" w:cs="Times New Roman" w:eastAsia="Times New Roman" w:hAnsi="Times New Roman"/>
          <w:sz w:val="18"/>
          <w:szCs w:val="18"/>
          <w:color w:val="auto"/>
        </w:rPr>
      </w:pPr>
    </w:p>
    <w:p>
      <w:pPr>
        <w:jc w:val="both"/>
        <w:ind w:left="3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 ECP ap-p panel-level horizontal electroplating production tool to a customer in Asia. The shipment demonstrates ACM's ability to quickly advance product development per customer requirements and follows last year's shipment of its first 515 × 510 mm R&amp;D tool, highlighting ACM's ability to rapidly commercialize technology breakthroughs into scale production.</w:t>
      </w:r>
    </w:p>
    <w:p>
      <w:pPr>
        <w:spacing w:after="0" w:line="16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Enhanced Single-Wafer Hot SPM System with Sulfuric Acid Recycle Capability</w:t>
      </w:r>
      <w:r>
        <w:rPr>
          <w:rFonts w:ascii="Times New Roman" w:cs="Times New Roman" w:eastAsia="Times New Roman" w:hAnsi="Times New Roman"/>
          <w:sz w:val="18"/>
          <w:szCs w:val="18"/>
          <w:color w:val="auto"/>
        </w:rPr>
        <w:t>. In October, ACM introduced an enhanced version of its Single-</w:t>
      </w:r>
    </w:p>
    <w:p>
      <w:pPr>
        <w:spacing w:after="0" w:line="53"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Wafer Hot SPM system featuring a new sulfuric acid recycle capability that achieves a 70% recycle rate while maintaining stringent particle control. The system is expected to save approximately 400 tons of sulfuric acid per tool annually, reducing chemical consumption and operating costs.</w:t>
      </w:r>
    </w:p>
    <w:p>
      <w:pPr>
        <w:spacing w:after="0" w:line="171" w:lineRule="exact"/>
        <w:rPr>
          <w:rFonts w:ascii="Times New Roman" w:cs="Times New Roman" w:eastAsia="Times New Roman" w:hAnsi="Times New Roman"/>
          <w:sz w:val="18"/>
          <w:szCs w:val="18"/>
          <w:color w:val="auto"/>
        </w:rPr>
      </w:pPr>
    </w:p>
    <w:p>
      <w:pPr>
        <w:ind w:left="340" w:hanging="332"/>
        <w:spacing w:after="0" w:line="318"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High-Temperature SPM Innovation Award. </w:t>
      </w:r>
      <w:r>
        <w:rPr>
          <w:rFonts w:ascii="Times New Roman" w:cs="Times New Roman" w:eastAsia="Times New Roman" w:hAnsi="Times New Roman"/>
          <w:sz w:val="18"/>
          <w:szCs w:val="18"/>
          <w:color w:val="auto"/>
        </w:rPr>
        <w:t>In October, ACM Research (Shanghai), Inc. (“ACM Shanghai”) ACM’s principal operating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an Innovation Achievement Award at the China International Industry Fair for its single-wafer high-temperature SPM cleaning equipment.</w:t>
      </w:r>
    </w:p>
    <w:p>
      <w:pPr>
        <w:spacing w:after="0" w:line="39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11240"/>
          </w:cols>
          <w:pgMar w:left="320" w:top="131"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2026 Financial Summary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third quarter of 2026 and comparisons are with the third quarter of 2025.</w:t>
      </w:r>
    </w:p>
    <w:p>
      <w:pPr>
        <w:spacing w:after="0" w:line="88" w:lineRule="exact"/>
        <w:rPr>
          <w:sz w:val="20"/>
          <w:szCs w:val="20"/>
          <w:color w:val="auto"/>
        </w:rPr>
      </w:pPr>
    </w:p>
    <w:p>
      <w:pPr>
        <w:ind w:left="340" w:hanging="332"/>
        <w:spacing w:after="0" w:line="280" w:lineRule="auto"/>
        <w:tabs>
          <w:tab w:leader="none" w:pos="33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$367.7 million, up 36.6%, primarily driven by higher sales of ECP (front-end and packaging), furnace and other technologies,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sales of single-wafer cleaning, Tahoe and semi-critical cleaning equipment, and advanced packaging (excluding ECP), services and spares.</w:t>
      </w:r>
    </w:p>
    <w:p>
      <w:pPr>
        <w:spacing w:after="0" w:line="178" w:lineRule="exact"/>
        <w:rPr>
          <w:rFonts w:ascii="Arial" w:cs="Arial" w:eastAsia="Arial" w:hAnsi="Arial"/>
          <w:sz w:val="22"/>
          <w:szCs w:val="22"/>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41.5% versus 42.0%. Non-GAAP gross margin, which excludes stock-based compensation, was 41.6% versus 42.1%. Gross</w:t>
      </w:r>
    </w:p>
    <w:p>
      <w:pPr>
        <w:spacing w:after="0" w:line="53"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was slightly below ACM’s long-term business model target range of 42% to 48%. ACM expects gross margin to vary from period to period due to a variety of factors, such as product mix, currency impacts and sales volume.</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31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$96.9 million, an increase of 15.0%. Operating expenses as a percentage of revenue decreased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color w:val="auto"/>
        </w:rPr>
        <w:t>26.3%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31.3%. Non-GAAP operating expenses, which exclude the effect of stock-based compensation, were $86.7 million, up 12.7%. Non-GAAP operating expenses as a percentage of revenue decreased to 23.6% from 28.6%</w:t>
      </w:r>
      <w:r>
        <w:rPr>
          <w:rFonts w:ascii="Arial" w:cs="Arial" w:eastAsia="Arial" w:hAnsi="Arial"/>
          <w:sz w:val="21"/>
          <w:szCs w:val="21"/>
          <w:color w:val="auto"/>
        </w:rPr>
        <w:t>.</w:t>
      </w:r>
    </w:p>
    <w:p>
      <w:pPr>
        <w:spacing w:after="0" w:line="199" w:lineRule="exact"/>
        <w:rPr>
          <w:rFonts w:ascii="Times New Roman" w:cs="Times New Roman" w:eastAsia="Times New Roman" w:hAnsi="Times New Roman"/>
          <w:sz w:val="18"/>
          <w:szCs w:val="18"/>
          <w:color w:val="auto"/>
        </w:rPr>
      </w:pPr>
    </w:p>
    <w:p>
      <w:pPr>
        <w:jc w:val="both"/>
        <w:ind w:left="340" w:hanging="332"/>
        <w:spacing w:after="0" w:line="315"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$55.5 million, compared to $28.9 million. Operating margin was 15.1% compared to 10.7%. Non-GAAP operating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excludes the effect of stock-based compensation, was $66.2 million, compared to $36.5 million. Non-GAAP operating margin, which excludes stock-based compensation, was 18.0% compared to 13.6%.</w:t>
      </w:r>
    </w:p>
    <w:p>
      <w:pPr>
        <w:spacing w:after="0" w:line="19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short-term investments </w:t>
      </w:r>
      <w:r>
        <w:rPr>
          <w:rFonts w:ascii="Times New Roman" w:cs="Times New Roman" w:eastAsia="Times New Roman" w:hAnsi="Times New Roman"/>
          <w:sz w:val="18"/>
          <w:szCs w:val="18"/>
          <w:color w:val="auto"/>
        </w:rPr>
        <w:t>was $39.1 million, compared to an unrealized gain of $18.7 million. Unrealized gain (loss) reflects the</w:t>
      </w:r>
    </w:p>
    <w:p>
      <w:pPr>
        <w:spacing w:after="0" w:line="67"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market value of investments by ACM Shanghai. The value is marked-to-market quarterly and is excluded in the non-GAAP financial metrics.</w:t>
      </w:r>
    </w:p>
    <w:p>
      <w:pPr>
        <w:spacing w:after="0" w:line="198" w:lineRule="exact"/>
        <w:rPr>
          <w:rFonts w:ascii="Times New Roman" w:cs="Times New Roman" w:eastAsia="Times New Roman" w:hAnsi="Times New Roman"/>
          <w:sz w:val="18"/>
          <w:szCs w:val="18"/>
          <w:color w:val="auto"/>
        </w:rPr>
      </w:pPr>
    </w:p>
    <w:p>
      <w:pPr>
        <w:ind w:left="340" w:hanging="332"/>
        <w:spacing w:after="0" w:line="333"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$1.9 million, compared to $2.7 million. The change in tax expense primarily resulted from the tax effect of a decrease in pre-tax income for the period.</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315"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$1.5 million, compared to $35.9 million. Non-GAAP net income attributable to ACM,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gain (loss) on short-term investments, and its impact to net income attributable to non-controlling interests, was $40.5 million, compared to $28.4 million.</w:t>
      </w:r>
    </w:p>
    <w:p>
      <w:pPr>
        <w:spacing w:after="0" w:line="197" w:lineRule="exact"/>
        <w:rPr>
          <w:rFonts w:ascii="Times New Roman" w:cs="Times New Roman" w:eastAsia="Times New Roman" w:hAnsi="Times New Roman"/>
          <w:sz w:val="18"/>
          <w:szCs w:val="18"/>
          <w:color w:val="auto"/>
        </w:rPr>
      </w:pPr>
    </w:p>
    <w:p>
      <w:pPr>
        <w:ind w:left="340" w:right="60" w:hanging="332"/>
        <w:spacing w:after="0" w:line="284"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$0.02, compared to $0.52.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gain (loss) on short-term investments, and its impact to net income attributable to non-controlling interests, was $0.55, compared to $0.41.</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307"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plus restricted cash and short-term time deposits </w:t>
      </w:r>
      <w:r>
        <w:rPr>
          <w:rFonts w:ascii="Times New Roman" w:cs="Times New Roman" w:eastAsia="Times New Roman" w:hAnsi="Times New Roman"/>
          <w:sz w:val="18"/>
          <w:szCs w:val="18"/>
          <w:color w:val="auto"/>
        </w:rPr>
        <w:t>were $1.28 billion at September 30, 2026, compared to $1.36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June 30, 2026. Net cash, which excludes short-term and long-term borrowings, was $0.9 billion at September 30, 2026, compared to $1.0 billion at June 30,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9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 conference call to discuss results will be held on Thursday, November 5, 2026, at 8:00 a.m. Eastern Time (9:00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11240"/>
          </w:cols>
          <w:pgMar w:left="320" w:top="13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0000FF"/>
        </w:rPr>
        <w:t>https://register-conf.media-server.com/register/BIc282607074af4b0895b2ed37fb7d0eb9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Participants who have not pre-registered may join the webcast by accessing the link at </w:t>
      </w:r>
      <w:r>
        <w:rPr>
          <w:rFonts w:ascii="Times New Roman" w:cs="Times New Roman" w:eastAsia="Times New Roman" w:hAnsi="Times New Roman"/>
          <w:sz w:val="18"/>
          <w:szCs w:val="18"/>
          <w:u w:val="single" w:color="auto"/>
          <w:color w:val="0000FF"/>
        </w:rPr>
        <w:t>ir.acmr.com/news-events/events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0000FF"/>
        </w:rPr>
        <w:t>www.acmr.com</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5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attributable to ACM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and basic and diluted earnings per share exclude the effect of stock-based compensation and unrealized gain (loss) on short-term investments and, beginning in the three months ended June 30, 2026, its impact to net income attributable to non-controlling interests,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9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11240"/>
          </w:cols>
          <w:pgMar w:left="320" w:top="13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effective process solutions that semiconductor manufacturers can use in numerous manufacturing steps to improve productivity and product yield. For more information, visit www.acmr.com.</w:t>
      </w:r>
    </w:p>
    <w:p>
      <w:pPr>
        <w:spacing w:after="0" w:line="162" w:lineRule="exact"/>
        <w:rPr>
          <w:sz w:val="20"/>
          <w:szCs w:val="20"/>
          <w:color w:val="auto"/>
        </w:rPr>
      </w:pPr>
    </w:p>
    <w:p>
      <w:pPr>
        <w:ind w:firstLine="8"/>
        <w:spacing w:after="0" w:line="297" w:lineRule="auto"/>
        <w:tabs>
          <w:tab w:leader="none" w:pos="2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Research logo is trademark of ACM Research, Inc. For convenience, these trademarks appear in this press release without ™ symbols, but that practice does not mean that ACM will not assert, to the fullest extent under applicable law, its rights to the trademarks.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378" w:lineRule="exact"/>
        <w:rPr>
          <w:sz w:val="20"/>
          <w:szCs w:val="20"/>
          <w:color w:val="auto"/>
        </w:rPr>
      </w:pPr>
    </w:p>
    <w:p>
      <w:pPr>
        <w:ind w:left="360"/>
        <w:spacing w:after="0"/>
        <w:tabs>
          <w:tab w:leader="none" w:pos="3620" w:val="left"/>
        </w:tabs>
        <w:rPr>
          <w:sz w:val="20"/>
          <w:szCs w:val="20"/>
          <w:color w:val="auto"/>
        </w:rPr>
      </w:pPr>
      <w:r>
        <w:rPr>
          <w:rFonts w:ascii="Times New Roman" w:cs="Times New Roman" w:eastAsia="Times New Roman" w:hAnsi="Times New Roman"/>
          <w:sz w:val="18"/>
          <w:szCs w:val="18"/>
          <w:u w:val="single" w:color="auto"/>
          <w:color w:val="auto"/>
        </w:rPr>
        <w:t>In the United States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Blueshirt Group</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Steven C. Pelayo, CFA</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(360) 808-5154</w:t>
      </w:r>
    </w:p>
    <w:p>
      <w:pPr>
        <w:spacing w:after="0" w:line="15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i w:val="1"/>
          <w:iCs w:val="1"/>
          <w:color w:val="auto"/>
        </w:rPr>
        <w:t>steven@blueshirtgroup.co</w:t>
      </w:r>
    </w:p>
    <w:p>
      <w:pPr>
        <w:spacing w:after="0" w:line="200" w:lineRule="exact"/>
        <w:rPr>
          <w:sz w:val="20"/>
          <w:szCs w:val="20"/>
          <w:color w:val="auto"/>
        </w:rPr>
      </w:pPr>
    </w:p>
    <w:p>
      <w:pPr>
        <w:spacing w:after="0" w:line="230" w:lineRule="exact"/>
        <w:rPr>
          <w:sz w:val="20"/>
          <w:szCs w:val="20"/>
          <w:color w:val="auto"/>
        </w:rPr>
      </w:pPr>
    </w:p>
    <w:p>
      <w:pPr>
        <w:ind w:left="360"/>
        <w:spacing w:after="0"/>
        <w:tabs>
          <w:tab w:leader="none" w:pos="3620" w:val="left"/>
        </w:tabs>
        <w:rPr>
          <w:sz w:val="20"/>
          <w:szCs w:val="20"/>
          <w:color w:val="auto"/>
        </w:rPr>
      </w:pPr>
      <w:r>
        <w:rPr>
          <w:rFonts w:ascii="Times New Roman" w:cs="Times New Roman" w:eastAsia="Times New Roman" w:hAnsi="Times New Roman"/>
          <w:sz w:val="18"/>
          <w:szCs w:val="18"/>
          <w:u w:val="single" w:color="auto"/>
          <w:color w:val="auto"/>
        </w:rPr>
        <w:t>In China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Blueshirt Group Asia</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Gary Dvorchak, CFA</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+86 (138) 1079-1480</w:t>
      </w:r>
    </w:p>
    <w:p>
      <w:pPr>
        <w:spacing w:after="0" w:line="15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i w:val="1"/>
          <w:iCs w:val="1"/>
          <w:color w:val="auto"/>
        </w:rPr>
        <w:t>gary@blueshirtgroup.co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11240"/>
          </w:cols>
          <w:pgMar w:left="320" w:top="13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5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ectPr>
          <w:pgSz w:w="11900" w:h="16838" w:orient="portrait"/>
          <w:cols w:equalWidth="0" w:num="1">
            <w:col w:w="10120"/>
          </w:cols>
          <w:pgMar w:left="1440" w:top="1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2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4"/>
        </w:trPr>
        <w:tc>
          <w:tcPr>
            <w:tcW w:w="7720" w:type="dxa"/>
            <w:vAlign w:val="bottom"/>
          </w:tcPr>
          <w:p>
            <w:pPr>
              <w:spacing w:after="0"/>
              <w:rPr>
                <w:sz w:val="15"/>
                <w:szCs w:val="15"/>
                <w:color w:val="auto"/>
              </w:rPr>
            </w:pPr>
          </w:p>
        </w:tc>
        <w:tc>
          <w:tcPr>
            <w:tcW w:w="1720" w:type="dxa"/>
            <w:vAlign w:val="bottom"/>
            <w:tcBorders>
              <w:top w:val="single" w:sz="8" w:color="auto"/>
            </w:tcBorders>
            <w:gridSpan w:val="2"/>
          </w:tcPr>
          <w:p>
            <w:pPr>
              <w:jc w:val="right"/>
              <w:ind w:right="42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191"/>
        </w:trPr>
        <w:tc>
          <w:tcPr>
            <w:tcW w:w="7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0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6"/>
                <w:szCs w:val="16"/>
                <w:color w:val="auto"/>
              </w:rPr>
            </w:pPr>
          </w:p>
        </w:tc>
      </w:tr>
      <w:tr>
        <w:trPr>
          <w:trHeight w:val="203"/>
        </w:trPr>
        <w:tc>
          <w:tcPr>
            <w:tcW w:w="8580" w:type="dxa"/>
            <w:vAlign w:val="bottom"/>
            <w:gridSpan w:val="2"/>
          </w:tcPr>
          <w:p>
            <w:pPr>
              <w:ind w:left="36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
        </w:trPr>
        <w:tc>
          <w:tcPr>
            <w:tcW w:w="7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0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884,934</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757,373</w:t>
            </w:r>
          </w:p>
        </w:tc>
      </w:tr>
      <w:tr>
        <w:trPr>
          <w:trHeight w:val="30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21,512</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8,589</w:t>
            </w:r>
          </w:p>
        </w:tc>
      </w:tr>
      <w:tr>
        <w:trPr>
          <w:trHeight w:val="23"/>
        </w:trPr>
        <w:tc>
          <w:tcPr>
            <w:tcW w:w="7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0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time deposits</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370,296</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366,591</w:t>
            </w:r>
          </w:p>
        </w:tc>
      </w:tr>
      <w:tr>
        <w:trPr>
          <w:trHeight w:val="30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66,910</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35,524</w:t>
            </w:r>
          </w:p>
        </w:tc>
      </w:tr>
      <w:tr>
        <w:trPr>
          <w:trHeight w:val="23"/>
        </w:trPr>
        <w:tc>
          <w:tcPr>
            <w:tcW w:w="7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0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receivables, net</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704,686</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504,250</w:t>
            </w:r>
          </w:p>
        </w:tc>
      </w:tr>
      <w:tr>
        <w:trPr>
          <w:trHeight w:val="30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110,696</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48,655</w:t>
            </w:r>
          </w:p>
        </w:tc>
      </w:tr>
      <w:tr>
        <w:trPr>
          <w:trHeight w:val="23"/>
        </w:trPr>
        <w:tc>
          <w:tcPr>
            <w:tcW w:w="7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0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 net</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851,224</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702,631</w:t>
            </w:r>
          </w:p>
        </w:tc>
      </w:tr>
      <w:tr>
        <w:trPr>
          <w:trHeight w:val="30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Advances to related parties</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2,500</w:t>
            </w:r>
          </w:p>
        </w:tc>
      </w:tr>
      <w:tr>
        <w:trPr>
          <w:trHeight w:val="23"/>
        </w:trPr>
        <w:tc>
          <w:tcPr>
            <w:tcW w:w="7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2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29,364</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10,567</w:t>
            </w:r>
          </w:p>
        </w:tc>
      </w:tr>
      <w:tr>
        <w:trPr>
          <w:trHeight w:val="267"/>
        </w:trPr>
        <w:tc>
          <w:tcPr>
            <w:tcW w:w="7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8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3,039,819</w:t>
            </w:r>
          </w:p>
        </w:tc>
        <w:tc>
          <w:tcPr>
            <w:tcW w:w="8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9"/>
              </w:rPr>
              <w:t>2,436,680</w:t>
            </w:r>
          </w:p>
        </w:tc>
      </w:tr>
      <w:tr>
        <w:trPr>
          <w:trHeight w:val="23"/>
        </w:trPr>
        <w:tc>
          <w:tcPr>
            <w:tcW w:w="7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0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414,479</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314,830</w:t>
            </w:r>
          </w:p>
        </w:tc>
      </w:tr>
      <w:tr>
        <w:trPr>
          <w:trHeight w:val="30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15,840</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17,925</w:t>
            </w:r>
          </w:p>
        </w:tc>
      </w:tr>
      <w:tr>
        <w:trPr>
          <w:trHeight w:val="23"/>
        </w:trPr>
        <w:tc>
          <w:tcPr>
            <w:tcW w:w="7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0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3,060</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2,847</w:t>
            </w:r>
          </w:p>
        </w:tc>
      </w:tr>
      <w:tr>
        <w:trPr>
          <w:trHeight w:val="30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30,912</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29,389</w:t>
            </w:r>
          </w:p>
        </w:tc>
      </w:tr>
      <w:tr>
        <w:trPr>
          <w:trHeight w:val="23"/>
        </w:trPr>
        <w:tc>
          <w:tcPr>
            <w:tcW w:w="7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0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81,399</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66,035</w:t>
            </w:r>
          </w:p>
        </w:tc>
      </w:tr>
      <w:tr>
        <w:trPr>
          <w:trHeight w:val="30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6,605</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4,479</w:t>
            </w:r>
          </w:p>
        </w:tc>
      </w:tr>
      <w:tr>
        <w:trPr>
          <w:trHeight w:val="23"/>
        </w:trPr>
        <w:tc>
          <w:tcPr>
            <w:tcW w:w="7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22"/>
        </w:trPr>
        <w:tc>
          <w:tcPr>
            <w:tcW w:w="8580" w:type="dxa"/>
            <w:vAlign w:val="bottom"/>
            <w:gridSpan w:val="2"/>
          </w:tcPr>
          <w:p>
            <w:pPr>
              <w:ind w:left="84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08"/>
              <w:spacing w:after="0" w:line="122" w:lineRule="exact"/>
              <w:rPr>
                <w:sz w:val="20"/>
                <w:szCs w:val="20"/>
                <w:color w:val="auto"/>
              </w:rPr>
            </w:pPr>
            <w:r>
              <w:rPr>
                <w:rFonts w:ascii="Times New Roman" w:cs="Times New Roman" w:eastAsia="Times New Roman" w:hAnsi="Times New Roman"/>
                <w:sz w:val="14"/>
                <w:szCs w:val="14"/>
                <w:b w:val="1"/>
                <w:bCs w:val="1"/>
                <w:color w:val="auto"/>
              </w:rPr>
              <w:t>3,592,114</w:t>
            </w:r>
          </w:p>
        </w:tc>
        <w:tc>
          <w:tcPr>
            <w:tcW w:w="80" w:type="dxa"/>
            <w:vAlign w:val="bottom"/>
          </w:tcPr>
          <w:p>
            <w:pPr>
              <w:spacing w:after="0"/>
              <w:rPr>
                <w:sz w:val="10"/>
                <w:szCs w:val="10"/>
                <w:color w:val="auto"/>
              </w:rPr>
            </w:pPr>
          </w:p>
        </w:tc>
        <w:tc>
          <w:tcPr>
            <w:tcW w:w="96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w w:val="99"/>
              </w:rPr>
              <w:t>2,872,185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2343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21463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4"/>
          <w:szCs w:val="14"/>
          <w:b w:val="1"/>
          <w:bCs w:val="1"/>
          <w:color w:val="auto"/>
        </w:rPr>
        <w:t>Total assets</w:t>
      </w:r>
    </w:p>
    <w:p>
      <w:pPr>
        <w:spacing w:after="0" w:line="2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-85725</wp:posOffset>
            </wp:positionV>
            <wp:extent cx="2219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2343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28905"/>
                    </a:xfrm>
                    <a:prstGeom prst="rect">
                      <a:avLst/>
                    </a:prstGeom>
                    <a:noFill/>
                  </pic:spPr>
                </pic:pic>
              </a:graphicData>
            </a:graphic>
          </wp:anchor>
        </w:drawing>
      </w:r>
    </w:p>
    <w:p>
      <w:pPr>
        <w:sectPr>
          <w:pgSz w:w="11900" w:h="16838" w:orient="portrait"/>
          <w:cols w:equalWidth="0" w:num="1">
            <w:col w:w="11220"/>
          </w:cols>
          <w:pgMar w:left="320" w:top="155" w:right="359" w:bottom="447" w:gutter="0" w:footer="0" w:header="0"/>
        </w:sectPr>
      </w:pP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Short-term borrowings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portion of long-term borrowings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Related parties accounts payable</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Bills and accounts payable</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Advances from customers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taxes payable</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FIN-48 payable</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payables and accrued expenses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liability</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Long-term borrowings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Total liabilities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Class A Common stock</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Class B Common stock</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Statutory surplus reserve</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ACM Research, Inc. stockholders’ equity</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Non-controlling interests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130,746</w:t>
            </w:r>
          </w:p>
        </w:tc>
        <w:tc>
          <w:tcPr>
            <w:tcW w:w="80" w:type="dxa"/>
            <w:vAlign w:val="bottom"/>
          </w:tcPr>
          <w:p>
            <w:pPr>
              <w:spacing w:after="0"/>
              <w:rPr>
                <w:sz w:val="16"/>
                <w:szCs w:val="16"/>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  74,041</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64,121</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35,082</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33,774</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32,060</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289,308</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215,440</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163,212</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187,809</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24,882</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17,388</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7,128</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991</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29,447</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27,719</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213,560</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150,396</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4,970</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4,786</w:t>
            </w:r>
          </w:p>
        </w:tc>
      </w:tr>
      <w:tr>
        <w:trPr>
          <w:trHeight w:val="64"/>
        </w:trPr>
        <w:tc>
          <w:tcPr>
            <w:tcW w:w="1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40"/>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961,148</w:t>
            </w:r>
          </w:p>
        </w:tc>
        <w:tc>
          <w:tcPr>
            <w:tcW w:w="80" w:type="dxa"/>
            <w:vAlign w:val="bottom"/>
          </w:tcPr>
          <w:p>
            <w:pPr>
              <w:spacing w:after="0"/>
              <w:rPr>
                <w:sz w:val="20"/>
                <w:szCs w:val="20"/>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745,712</w:t>
            </w:r>
          </w:p>
        </w:tc>
      </w:tr>
      <w:tr>
        <w:trPr>
          <w:trHeight w:val="310"/>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148,276</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178,930</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2,598</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5,069</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11,908</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11,965</w:t>
            </w:r>
          </w:p>
        </w:tc>
      </w:tr>
      <w:tr>
        <w:trPr>
          <w:trHeight w:val="64"/>
        </w:trPr>
        <w:tc>
          <w:tcPr>
            <w:tcW w:w="1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40"/>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1,123,930</w:t>
            </w:r>
          </w:p>
        </w:tc>
        <w:tc>
          <w:tcPr>
            <w:tcW w:w="80" w:type="dxa"/>
            <w:vAlign w:val="bottom"/>
          </w:tcPr>
          <w:p>
            <w:pPr>
              <w:spacing w:after="0"/>
              <w:rPr>
                <w:sz w:val="20"/>
                <w:szCs w:val="20"/>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941,676</w:t>
            </w:r>
          </w:p>
        </w:tc>
      </w:tr>
      <w:tr>
        <w:trPr>
          <w:trHeight w:val="50"/>
        </w:trPr>
        <w:tc>
          <w:tcPr>
            <w:tcW w:w="1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-2896870</wp:posOffset>
            </wp:positionV>
            <wp:extent cx="712343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-2485390</wp:posOffset>
            </wp:positionV>
            <wp:extent cx="712343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-2073910</wp:posOffset>
            </wp:positionV>
            <wp:extent cx="712343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-1662430</wp:posOffset>
            </wp:positionV>
            <wp:extent cx="712343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-1250950</wp:posOffset>
            </wp:positionV>
            <wp:extent cx="712343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-847725</wp:posOffset>
            </wp:positionV>
            <wp:extent cx="712343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-436245</wp:posOffset>
            </wp:positionV>
            <wp:extent cx="712343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-16510</wp:posOffset>
            </wp:positionV>
            <wp:extent cx="712343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240030</wp:posOffset>
            </wp:positionV>
            <wp:extent cx="712343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1,377,577</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1,115,504</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458,263</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350,428</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34,164</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34,164</w:t>
            </w:r>
          </w:p>
        </w:tc>
      </w:tr>
      <w:tr>
        <w:trPr>
          <w:trHeight w:val="324"/>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25,916</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r>
      <w:tr>
        <w:trPr>
          <w:trHeight w:val="64"/>
        </w:trPr>
        <w:tc>
          <w:tcPr>
            <w:tcW w:w="1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40"/>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1,895,927</w:t>
            </w:r>
          </w:p>
        </w:tc>
        <w:tc>
          <w:tcPr>
            <w:tcW w:w="80" w:type="dxa"/>
            <w:vAlign w:val="bottom"/>
          </w:tcPr>
          <w:p>
            <w:pPr>
              <w:spacing w:after="0"/>
              <w:rPr>
                <w:sz w:val="20"/>
                <w:szCs w:val="20"/>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1,464,363</w:t>
            </w:r>
          </w:p>
        </w:tc>
      </w:tr>
      <w:tr>
        <w:trPr>
          <w:trHeight w:val="310"/>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572,257</w:t>
            </w:r>
          </w:p>
        </w:tc>
        <w:tc>
          <w:tcPr>
            <w:tcW w:w="80" w:type="dxa"/>
            <w:vAlign w:val="bottom"/>
          </w:tcPr>
          <w:p>
            <w:pPr>
              <w:spacing w:after="0"/>
              <w:rPr>
                <w:sz w:val="24"/>
                <w:szCs w:val="24"/>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466,146</w:t>
            </w:r>
          </w:p>
        </w:tc>
      </w:tr>
      <w:tr>
        <w:trPr>
          <w:trHeight w:val="64"/>
        </w:trPr>
        <w:tc>
          <w:tcPr>
            <w:tcW w:w="1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40"/>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2,468,184</w:t>
            </w:r>
          </w:p>
        </w:tc>
        <w:tc>
          <w:tcPr>
            <w:tcW w:w="80" w:type="dxa"/>
            <w:vAlign w:val="bottom"/>
          </w:tcPr>
          <w:p>
            <w:pPr>
              <w:spacing w:after="0"/>
              <w:rPr>
                <w:sz w:val="20"/>
                <w:szCs w:val="20"/>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1,930,509</w:t>
            </w:r>
          </w:p>
        </w:tc>
      </w:tr>
      <w:tr>
        <w:trPr>
          <w:trHeight w:val="51"/>
        </w:trPr>
        <w:tc>
          <w:tcPr>
            <w:tcW w:w="1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40"/>
        </w:trPr>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3,592,114</w:t>
            </w:r>
          </w:p>
        </w:tc>
        <w:tc>
          <w:tcPr>
            <w:tcW w:w="80" w:type="dxa"/>
            <w:vAlign w:val="bottom"/>
          </w:tcPr>
          <w:p>
            <w:pPr>
              <w:spacing w:after="0"/>
              <w:rPr>
                <w:sz w:val="20"/>
                <w:szCs w:val="20"/>
                <w:color w:val="auto"/>
              </w:rPr>
            </w:pPr>
          </w:p>
        </w:tc>
        <w:tc>
          <w:tcPr>
            <w:tcW w:w="17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2,872,185</w:t>
            </w:r>
          </w:p>
        </w:tc>
      </w:tr>
      <w:tr>
        <w:trPr>
          <w:trHeight w:val="50"/>
        </w:trPr>
        <w:tc>
          <w:tcPr>
            <w:tcW w:w="1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-1859280</wp:posOffset>
            </wp:positionV>
            <wp:extent cx="712343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-1447800</wp:posOffset>
            </wp:positionV>
            <wp:extent cx="712343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-1036320</wp:posOffset>
            </wp:positionV>
            <wp:extent cx="712343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-633730</wp:posOffset>
            </wp:positionV>
            <wp:extent cx="712343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-231140</wp:posOffset>
            </wp:positionV>
            <wp:extent cx="712343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214630"/>
                    </a:xfrm>
                    <a:prstGeom prst="rect">
                      <a:avLst/>
                    </a:prstGeom>
                    <a:noFill/>
                  </pic:spPr>
                </pic:pic>
              </a:graphicData>
            </a:graphic>
          </wp:anchor>
        </w:drawing>
      </w:r>
    </w:p>
    <w:p>
      <w:pPr>
        <w:sectPr>
          <w:pgSz w:w="11900" w:h="16838" w:orient="portrait"/>
          <w:cols w:equalWidth="0" w:num="2">
            <w:col w:w="7000" w:space="720"/>
            <w:col w:w="3500"/>
          </w:cols>
          <w:pgMar w:left="320" w:top="155" w:right="359" w:bottom="447"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color w:val="auto"/>
        </w:rPr>
        <w:t>- 6 -</w:t>
      </w:r>
    </w:p>
    <w:p>
      <w:pPr>
        <w:sectPr>
          <w:pgSz w:w="11900" w:h="16838" w:orient="portrait"/>
          <w:cols w:equalWidth="0" w:num="1">
            <w:col w:w="9019"/>
          </w:cols>
          <w:pgMar w:left="1440" w:top="26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810"/>
        </w:trPr>
        <w:tc>
          <w:tcPr>
            <w:tcW w:w="4460" w:type="dxa"/>
            <w:vAlign w:val="bottom"/>
          </w:tcPr>
          <w:p>
            <w:pPr>
              <w:spacing w:after="0"/>
              <w:rPr>
                <w:sz w:val="24"/>
                <w:szCs w:val="24"/>
                <w:color w:val="auto"/>
              </w:rPr>
            </w:pPr>
          </w:p>
        </w:tc>
        <w:tc>
          <w:tcPr>
            <w:tcW w:w="2140" w:type="dxa"/>
            <w:vAlign w:val="bottom"/>
            <w:gridSpan w:val="4"/>
          </w:tcPr>
          <w:p>
            <w:pPr>
              <w:jc w:val="center"/>
              <w:ind w:left="126"/>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900" w:type="dxa"/>
            <w:vAlign w:val="bottom"/>
            <w:gridSpan w:val="10"/>
          </w:tcPr>
          <w:p>
            <w:pPr>
              <w:jc w:val="center"/>
              <w:ind w:left="2268"/>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4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80" w:type="dxa"/>
            <w:vAlign w:val="bottom"/>
            <w:gridSpan w:val="7"/>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data)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0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367,687</w:t>
            </w:r>
          </w:p>
        </w:tc>
        <w:tc>
          <w:tcPr>
            <w:tcW w:w="1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269,160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891,869</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656,879</w:t>
            </w:r>
          </w:p>
        </w:tc>
        <w:tc>
          <w:tcPr>
            <w:tcW w:w="0" w:type="dxa"/>
            <w:vAlign w:val="bottom"/>
          </w:tcPr>
          <w:p>
            <w:pPr>
              <w:spacing w:after="0"/>
              <w:rPr>
                <w:sz w:val="1"/>
                <w:szCs w:val="1"/>
                <w:color w:val="auto"/>
              </w:rPr>
            </w:pPr>
          </w:p>
        </w:tc>
      </w:tr>
      <w:tr>
        <w:trPr>
          <w:trHeight w:val="247"/>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0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215,275</w:t>
            </w:r>
          </w:p>
        </w:tc>
        <w:tc>
          <w:tcPr>
            <w:tcW w:w="140" w:type="dxa"/>
            <w:vAlign w:val="bottom"/>
          </w:tcPr>
          <w:p>
            <w:pPr>
              <w:spacing w:after="0"/>
              <w:rPr>
                <w:sz w:val="21"/>
                <w:szCs w:val="21"/>
                <w:color w:val="auto"/>
              </w:rPr>
            </w:pP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156,011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497,601</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356,719</w:t>
            </w:r>
          </w:p>
        </w:tc>
        <w:tc>
          <w:tcPr>
            <w:tcW w:w="0" w:type="dxa"/>
            <w:vAlign w:val="bottom"/>
          </w:tcPr>
          <w:p>
            <w:pPr>
              <w:spacing w:after="0"/>
              <w:rPr>
                <w:sz w:val="1"/>
                <w:szCs w:val="1"/>
                <w:color w:val="auto"/>
              </w:rPr>
            </w:pPr>
          </w:p>
        </w:tc>
      </w:tr>
      <w:tr>
        <w:trPr>
          <w:trHeight w:val="50"/>
        </w:trPr>
        <w:tc>
          <w:tcPr>
            <w:tcW w:w="446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0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152,412</w:t>
            </w:r>
          </w:p>
        </w:tc>
        <w:tc>
          <w:tcPr>
            <w:tcW w:w="1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113,149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394,268</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300,160</w:t>
            </w: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26,906</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22,311</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71,372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60,756</w:t>
            </w:r>
          </w:p>
        </w:tc>
        <w:tc>
          <w:tcPr>
            <w:tcW w:w="0" w:type="dxa"/>
            <w:vAlign w:val="bottom"/>
          </w:tcPr>
          <w:p>
            <w:pPr>
              <w:spacing w:after="0"/>
              <w:rPr>
                <w:sz w:val="1"/>
                <w:szCs w:val="1"/>
                <w:color w:val="auto"/>
              </w:rPr>
            </w:pPr>
          </w:p>
        </w:tc>
      </w:tr>
      <w:tr>
        <w:trPr>
          <w:trHeight w:val="89"/>
        </w:trPr>
        <w:tc>
          <w:tcPr>
            <w:tcW w:w="446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8"/>
              </w:rPr>
              <w:t>51,372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8"/>
              </w:rPr>
              <w:t>39,651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130,175</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100,971</w:t>
            </w:r>
          </w:p>
        </w:tc>
        <w:tc>
          <w:tcPr>
            <w:tcW w:w="0" w:type="dxa"/>
            <w:vAlign w:val="bottom"/>
          </w:tcPr>
          <w:p>
            <w:pPr>
              <w:spacing w:after="0"/>
              <w:rPr>
                <w:sz w:val="1"/>
                <w:szCs w:val="1"/>
                <w:color w:val="auto"/>
              </w:rPr>
            </w:pPr>
          </w:p>
        </w:tc>
      </w:tr>
      <w:tr>
        <w:trPr>
          <w:trHeight w:val="58"/>
        </w:trPr>
        <w:tc>
          <w:tcPr>
            <w:tcW w:w="4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18,607</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22,264</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51,274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52,039</w:t>
            </w:r>
          </w:p>
        </w:tc>
        <w:tc>
          <w:tcPr>
            <w:tcW w:w="0" w:type="dxa"/>
            <w:vAlign w:val="bottom"/>
          </w:tcPr>
          <w:p>
            <w:pPr>
              <w:spacing w:after="0"/>
              <w:rPr>
                <w:sz w:val="1"/>
                <w:szCs w:val="1"/>
                <w:color w:val="auto"/>
              </w:rPr>
            </w:pPr>
          </w:p>
        </w:tc>
      </w:tr>
      <w:tr>
        <w:trPr>
          <w:trHeight w:val="109"/>
        </w:trPr>
        <w:tc>
          <w:tcPr>
            <w:tcW w:w="446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5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8"/>
              </w:rPr>
              <w:t>96,885</w:t>
            </w: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8"/>
              </w:rPr>
              <w:t>84,226</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252,821</w:t>
            </w: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213,766</w:t>
            </w:r>
          </w:p>
        </w:tc>
        <w:tc>
          <w:tcPr>
            <w:tcW w:w="0" w:type="dxa"/>
            <w:vAlign w:val="bottom"/>
          </w:tcPr>
          <w:p>
            <w:pPr>
              <w:spacing w:after="0"/>
              <w:rPr>
                <w:sz w:val="1"/>
                <w:szCs w:val="1"/>
                <w:color w:val="auto"/>
              </w:rPr>
            </w:pPr>
          </w:p>
        </w:tc>
      </w:tr>
      <w:tr>
        <w:trPr>
          <w:trHeight w:val="50"/>
        </w:trPr>
        <w:tc>
          <w:tcPr>
            <w:tcW w:w="446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55,527</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28,923</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141,447</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86,394</w:t>
            </w:r>
          </w:p>
        </w:tc>
        <w:tc>
          <w:tcPr>
            <w:tcW w:w="0" w:type="dxa"/>
            <w:vAlign w:val="bottom"/>
          </w:tcPr>
          <w:p>
            <w:pPr>
              <w:spacing w:after="0"/>
              <w:rPr>
                <w:sz w:val="1"/>
                <w:szCs w:val="1"/>
                <w:color w:val="auto"/>
              </w:rPr>
            </w:pPr>
          </w:p>
        </w:tc>
      </w:tr>
      <w:tr>
        <w:trPr>
          <w:trHeight w:val="247"/>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7,422</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3,100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19,283</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10,452</w:t>
            </w: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(5,564)</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0" w:type="dxa"/>
            <w:vAlign w:val="bottom"/>
          </w:tcPr>
          <w:p>
            <w:pPr>
              <w:spacing w:after="0"/>
              <w:rPr>
                <w:sz w:val="1"/>
                <w:szCs w:val="1"/>
                <w:color w:val="auto"/>
              </w:rPr>
            </w:pPr>
          </w:p>
        </w:tc>
      </w:tr>
      <w:tr>
        <w:trPr>
          <w:trHeight w:val="247"/>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on short-term investments</w:t>
            </w: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51"/>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gain on short-term investments</w:t>
            </w: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(39,133)</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18,656</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29,053</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20,304</w:t>
            </w:r>
          </w:p>
        </w:tc>
        <w:tc>
          <w:tcPr>
            <w:tcW w:w="0" w:type="dxa"/>
            <w:vAlign w:val="bottom"/>
          </w:tcPr>
          <w:p>
            <w:pPr>
              <w:spacing w:after="0"/>
              <w:rPr>
                <w:sz w:val="1"/>
                <w:szCs w:val="1"/>
                <w:color w:val="auto"/>
              </w:rPr>
            </w:pPr>
          </w:p>
        </w:tc>
      </w:tr>
      <w:tr>
        <w:trPr>
          <w:trHeight w:val="247"/>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(26,016)</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0" w:type="dxa"/>
            <w:vAlign w:val="bottom"/>
          </w:tcPr>
          <w:p>
            <w:pPr>
              <w:spacing w:after="0"/>
              <w:rPr>
                <w:sz w:val="1"/>
                <w:szCs w:val="1"/>
                <w:color w:val="auto"/>
              </w:rPr>
            </w:pPr>
          </w:p>
        </w:tc>
      </w:tr>
      <w:tr>
        <w:trPr>
          <w:trHeight w:val="51"/>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from equity method investments</w:t>
            </w: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(7,140)</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3,670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15,706</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6,395</w:t>
            </w:r>
          </w:p>
        </w:tc>
        <w:tc>
          <w:tcPr>
            <w:tcW w:w="0" w:type="dxa"/>
            <w:vAlign w:val="bottom"/>
          </w:tcPr>
          <w:p>
            <w:pPr>
              <w:spacing w:after="0"/>
              <w:rPr>
                <w:sz w:val="1"/>
                <w:szCs w:val="1"/>
                <w:color w:val="auto"/>
              </w:rPr>
            </w:pPr>
          </w:p>
        </w:tc>
      </w:tr>
      <w:tr>
        <w:trPr>
          <w:trHeight w:val="227"/>
        </w:trPr>
        <w:tc>
          <w:tcPr>
            <w:tcW w:w="44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5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8,209</w:t>
            </w: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8"/>
              </w:rPr>
              <w:t>49,087</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173,937</w:t>
            </w: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114,414</w:t>
            </w: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(19,129)</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0" w:type="dxa"/>
            <w:vAlign w:val="bottom"/>
          </w:tcPr>
          <w:p>
            <w:pPr>
              <w:spacing w:after="0"/>
              <w:rPr>
                <w:sz w:val="1"/>
                <w:szCs w:val="1"/>
                <w:color w:val="auto"/>
              </w:rPr>
            </w:pPr>
          </w:p>
        </w:tc>
      </w:tr>
      <w:tr>
        <w:trPr>
          <w:trHeight w:val="227"/>
        </w:trPr>
        <w:tc>
          <w:tcPr>
            <w:tcW w:w="44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5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6,323</w:t>
            </w: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8"/>
              </w:rPr>
              <w:t>46,398</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154,808</w:t>
            </w: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107,681</w:t>
            </w: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4,779</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10,509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46,973</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21,652</w:t>
            </w:r>
          </w:p>
        </w:tc>
        <w:tc>
          <w:tcPr>
            <w:tcW w:w="0" w:type="dxa"/>
            <w:vAlign w:val="bottom"/>
          </w:tcPr>
          <w:p>
            <w:pPr>
              <w:spacing w:after="0"/>
              <w:rPr>
                <w:sz w:val="1"/>
                <w:szCs w:val="1"/>
                <w:color w:val="auto"/>
              </w:rPr>
            </w:pPr>
          </w:p>
        </w:tc>
      </w:tr>
      <w:tr>
        <w:trPr>
          <w:trHeight w:val="227"/>
        </w:trPr>
        <w:tc>
          <w:tcPr>
            <w:tcW w:w="44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Net income attributable to ACM Research, Inc.</w:t>
            </w:r>
          </w:p>
        </w:tc>
        <w:tc>
          <w:tcPr>
            <w:tcW w:w="5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1,544</w:t>
            </w:r>
          </w:p>
        </w:tc>
        <w:tc>
          <w:tcPr>
            <w:tcW w:w="140" w:type="dxa"/>
            <w:vAlign w:val="bottom"/>
          </w:tcPr>
          <w:p>
            <w:pPr>
              <w:spacing w:after="0"/>
              <w:rPr>
                <w:sz w:val="19"/>
                <w:szCs w:val="19"/>
                <w:color w:val="auto"/>
              </w:rPr>
            </w:pPr>
          </w:p>
        </w:tc>
        <w:tc>
          <w:tcPr>
            <w:tcW w:w="900" w:type="dxa"/>
            <w:vAlign w:val="bottom"/>
            <w:tcBorders>
              <w:top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8"/>
              </w:rPr>
              <w:t>35,889</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107,835</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8"/>
              </w:rPr>
              <w:t>86,029</w:t>
            </w: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Comprehensive income:</w:t>
            </w:r>
          </w:p>
        </w:tc>
        <w:tc>
          <w:tcPr>
            <w:tcW w:w="5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6,323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8"/>
              </w:rPr>
              <w:t>46,398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154,808</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107,681</w:t>
            </w:r>
          </w:p>
        </w:tc>
        <w:tc>
          <w:tcPr>
            <w:tcW w:w="0" w:type="dxa"/>
            <w:vAlign w:val="bottom"/>
          </w:tcPr>
          <w:p>
            <w:pPr>
              <w:spacing w:after="0"/>
              <w:rPr>
                <w:sz w:val="1"/>
                <w:szCs w:val="1"/>
                <w:color w:val="auto"/>
              </w:rPr>
            </w:pPr>
          </w:p>
        </w:tc>
      </w:tr>
      <w:tr>
        <w:trPr>
          <w:trHeight w:val="58"/>
        </w:trPr>
        <w:tc>
          <w:tcPr>
            <w:tcW w:w="4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 net of tax of nil</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25,290</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9,899</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83,228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15,554</w:t>
            </w:r>
          </w:p>
        </w:tc>
        <w:tc>
          <w:tcPr>
            <w:tcW w:w="0" w:type="dxa"/>
            <w:vAlign w:val="bottom"/>
          </w:tcPr>
          <w:p>
            <w:pPr>
              <w:spacing w:after="0"/>
              <w:rPr>
                <w:sz w:val="1"/>
                <w:szCs w:val="1"/>
                <w:color w:val="auto"/>
              </w:rPr>
            </w:pPr>
          </w:p>
        </w:tc>
      </w:tr>
      <w:tr>
        <w:trPr>
          <w:trHeight w:val="89"/>
        </w:trPr>
        <w:tc>
          <w:tcPr>
            <w:tcW w:w="446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investments, net of tax</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2,391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675</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2,391</w:t>
            </w: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446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31,613</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58,688</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238,711</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125,626</w:t>
            </w:r>
          </w:p>
        </w:tc>
        <w:tc>
          <w:tcPr>
            <w:tcW w:w="0" w:type="dxa"/>
            <w:vAlign w:val="bottom"/>
          </w:tcPr>
          <w:p>
            <w:pPr>
              <w:spacing w:after="0"/>
              <w:rPr>
                <w:sz w:val="1"/>
                <w:szCs w:val="1"/>
                <w:color w:val="auto"/>
              </w:rPr>
            </w:pPr>
          </w:p>
        </w:tc>
      </w:tr>
      <w:tr>
        <w:trPr>
          <w:trHeight w:val="247"/>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11,576</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13,017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69,220</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25,224</w:t>
            </w:r>
          </w:p>
        </w:tc>
        <w:tc>
          <w:tcPr>
            <w:tcW w:w="0" w:type="dxa"/>
            <w:vAlign w:val="bottom"/>
          </w:tcPr>
          <w:p>
            <w:pPr>
              <w:spacing w:after="0"/>
              <w:rPr>
                <w:sz w:val="1"/>
                <w:szCs w:val="1"/>
                <w:color w:val="auto"/>
              </w:rPr>
            </w:pPr>
          </w:p>
        </w:tc>
      </w:tr>
      <w:tr>
        <w:trPr>
          <w:trHeight w:val="50"/>
        </w:trPr>
        <w:tc>
          <w:tcPr>
            <w:tcW w:w="446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44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ACM Research, Inc.</w:t>
            </w:r>
          </w:p>
        </w:tc>
        <w:tc>
          <w:tcPr>
            <w:tcW w:w="14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20,037</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45,671</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169,491</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100,402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ACM Research, Inc. per common share:</w:t>
            </w: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0.56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58"/>
        </w:trPr>
        <w:tc>
          <w:tcPr>
            <w:tcW w:w="446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0.52</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used in computing per share amounts:</w:t>
            </w:r>
          </w:p>
        </w:tc>
        <w:tc>
          <w:tcPr>
            <w:tcW w:w="5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69,713,048</w:t>
            </w:r>
          </w:p>
        </w:tc>
        <w:tc>
          <w:tcPr>
            <w:tcW w:w="1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64,381,296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67,817,058</w:t>
            </w:r>
          </w:p>
        </w:tc>
        <w:tc>
          <w:tcPr>
            <w:tcW w:w="1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63,876,709</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560" w:type="dxa"/>
            <w:vAlign w:val="bottom"/>
            <w:shd w:val="clear" w:color="auto" w:fill="CCEEFF"/>
          </w:tcPr>
          <w:p>
            <w:pPr>
              <w:spacing w:after="0"/>
              <w:rPr>
                <w:sz w:val="17"/>
                <w:szCs w:val="17"/>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73,629,630</w:t>
            </w:r>
          </w:p>
        </w:tc>
        <w:tc>
          <w:tcPr>
            <w:tcW w:w="140" w:type="dxa"/>
            <w:vAlign w:val="bottom"/>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68,414,313</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71,600,446</w:t>
            </w:r>
          </w:p>
        </w:tc>
        <w:tc>
          <w:tcPr>
            <w:tcW w:w="160" w:type="dxa"/>
            <w:vAlign w:val="bottom"/>
            <w:shd w:val="clear" w:color="auto" w:fill="CCEEFF"/>
          </w:tcPr>
          <w:p>
            <w:pPr>
              <w:spacing w:after="0"/>
              <w:rPr>
                <w:sz w:val="17"/>
                <w:szCs w:val="17"/>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67,551,302</w:t>
            </w:r>
          </w:p>
        </w:tc>
        <w:tc>
          <w:tcPr>
            <w:tcW w:w="0" w:type="dxa"/>
            <w:vAlign w:val="bottom"/>
          </w:tcPr>
          <w:p>
            <w:pPr>
              <w:spacing w:after="0"/>
              <w:rPr>
                <w:sz w:val="1"/>
                <w:szCs w:val="1"/>
                <w:color w:val="auto"/>
              </w:rPr>
            </w:pPr>
          </w:p>
        </w:tc>
      </w:tr>
      <w:tr>
        <w:trPr>
          <w:trHeight w:val="705"/>
        </w:trPr>
        <w:tc>
          <w:tcPr>
            <w:tcW w:w="4460" w:type="dxa"/>
            <w:vAlign w:val="bottom"/>
          </w:tcPr>
          <w:p>
            <w:pPr>
              <w:spacing w:after="0"/>
              <w:rPr>
                <w:sz w:val="24"/>
                <w:szCs w:val="24"/>
                <w:color w:val="auto"/>
              </w:rPr>
            </w:pPr>
          </w:p>
        </w:tc>
        <w:tc>
          <w:tcPr>
            <w:tcW w:w="1440" w:type="dxa"/>
            <w:vAlign w:val="bottom"/>
            <w:gridSpan w:val="2"/>
          </w:tcPr>
          <w:p>
            <w:pPr>
              <w:jc w:val="center"/>
              <w:ind w:left="806"/>
              <w:spacing w:after="0"/>
              <w:rPr>
                <w:sz w:val="20"/>
                <w:szCs w:val="20"/>
                <w:color w:val="auto"/>
              </w:rPr>
            </w:pPr>
            <w:r>
              <w:rPr>
                <w:rFonts w:ascii="Times New Roman" w:cs="Times New Roman" w:eastAsia="Times New Roman" w:hAnsi="Times New Roman"/>
                <w:sz w:val="14"/>
                <w:szCs w:val="14"/>
                <w:color w:val="auto"/>
              </w:rPr>
              <w:t>- 7 -</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3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9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96"/>
        </w:trPr>
        <w:tc>
          <w:tcPr>
            <w:tcW w:w="5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w:t>
            </w:r>
          </w:p>
        </w:tc>
        <w:tc>
          <w:tcPr>
            <w:tcW w:w="700" w:type="dxa"/>
            <w:vAlign w:val="bottom"/>
            <w:tcBorders>
              <w:bottom w:val="single" w:sz="8" w:color="auto"/>
            </w:tcBorders>
          </w:tcPr>
          <w:p>
            <w:pPr>
              <w:spacing w:after="0"/>
              <w:rPr>
                <w:sz w:val="17"/>
                <w:szCs w:val="17"/>
                <w:color w:val="auto"/>
              </w:rPr>
            </w:pPr>
          </w:p>
        </w:tc>
      </w:tr>
      <w:tr>
        <w:trPr>
          <w:trHeight w:val="196"/>
        </w:trPr>
        <w:tc>
          <w:tcPr>
            <w:tcW w:w="5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Single wafer cleaning, Tahoe and semi-critical cleaning equipment</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210,721</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181,570</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466,181</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466,100</w:t>
            </w: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ECP (front-end and packaging), furnace and other technologies</w:t>
            </w:r>
          </w:p>
        </w:tc>
        <w:tc>
          <w:tcPr>
            <w:tcW w:w="26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109,469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59,853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322,254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135,499</w:t>
            </w:r>
          </w:p>
        </w:tc>
      </w:tr>
      <w:tr>
        <w:trPr>
          <w:trHeight w:val="51"/>
        </w:trPr>
        <w:tc>
          <w:tcPr>
            <w:tcW w:w="5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9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packaging (excluding ECP), services &amp; spares</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47,497</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27,737</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103,434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55,280</w:t>
            </w: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By Product Category</w:t>
            </w: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367,687</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269,160</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891,869</w:t>
            </w:r>
          </w:p>
        </w:tc>
        <w:tc>
          <w:tcPr>
            <w:tcW w:w="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656,879</w:t>
            </w:r>
          </w:p>
        </w:tc>
      </w:tr>
      <w:tr>
        <w:trPr>
          <w:trHeight w:val="50"/>
        </w:trPr>
        <w:tc>
          <w:tcPr>
            <w:tcW w:w="54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5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5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and basic and diluted earnings per share as supplemental measures to GAAP financial measures, each of which excludes stock-based compensation (“SBC”) from the equivalent GAAP financial line items. In addition, non-GAAP net income attributable to ACM, and basic and diluted earnings per share exclude unrealized gain (loss) on short-term investments and, beginning in the three months ended June 30, 2026, its impact to net income attributable to non-controlling interests. The following tables reconcile gross margin, operating expenses, operating income, net income attributable to ACM, and basic and diluted earnings per share to the related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- 8 -</w:t>
      </w:r>
    </w:p>
    <w:p>
      <w:pPr>
        <w:sectPr>
          <w:pgSz w:w="11900" w:h="16838" w:orient="portrait"/>
          <w:cols w:equalWidth="0" w:num="1">
            <w:col w:w="11240"/>
          </w:cols>
          <w:pgMar w:left="320" w:top="131" w:right="339" w:bottom="1440" w:gutter="0" w:footer="0" w:header="0"/>
        </w:sectPr>
      </w:pPr>
    </w:p>
    <w:bookmarkStart w:id="13" w:name="page14"/>
    <w:bookmarkEnd w:id="13"/>
    <w:p>
      <w:pPr>
        <w:ind w:left="10300"/>
        <w:spacing w:after="0"/>
        <w:rPr>
          <w:sz w:val="20"/>
          <w:szCs w:val="20"/>
          <w:color w:val="auto"/>
        </w:rPr>
      </w:pPr>
      <w:r>
        <w:rPr>
          <w:rFonts w:ascii="Times New Roman" w:cs="Times New Roman" w:eastAsia="Times New Roman" w:hAnsi="Times New Roman"/>
          <w:sz w:val="17"/>
          <w:szCs w:val="17"/>
          <w:b w:val="1"/>
          <w:bCs w:val="1"/>
          <w:color w:val="auto"/>
        </w:rPr>
        <w:t>Exhibit 99.1</w:t>
      </w:r>
    </w:p>
    <w:p>
      <w:pPr>
        <w:sectPr>
          <w:pgSz w:w="11900" w:h="16838" w:orient="portrait"/>
          <w:cols w:equalWidth="0" w:num="1">
            <w:col w:w="11220"/>
          </w:cols>
          <w:pgMar w:left="34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Revenue</w:t>
      </w:r>
    </w:p>
    <w:p>
      <w:pPr>
        <w:spacing w:after="0" w:line="1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Cost of revenue</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Gross profit</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Gross margin</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Income (loss) from operations</w:t>
      </w:r>
    </w:p>
    <w:p>
      <w:pPr>
        <w:spacing w:after="0" w:line="123" w:lineRule="exact"/>
        <w:rPr>
          <w:sz w:val="20"/>
          <w:szCs w:val="20"/>
          <w:color w:val="auto"/>
        </w:rPr>
      </w:pPr>
    </w:p>
    <w:p>
      <w:pPr>
        <w:ind w:left="420" w:hanging="80"/>
        <w:spacing w:after="0" w:line="291" w:lineRule="auto"/>
        <w:rPr>
          <w:sz w:val="20"/>
          <w:szCs w:val="20"/>
          <w:color w:val="auto"/>
        </w:rPr>
      </w:pPr>
      <w:r>
        <w:rPr>
          <w:rFonts w:ascii="Times New Roman" w:cs="Times New Roman" w:eastAsia="Times New Roman" w:hAnsi="Times New Roman"/>
          <w:sz w:val="14"/>
          <w:szCs w:val="14"/>
          <w:color w:val="auto"/>
        </w:rPr>
        <w:t>Unrealized gain (loss) on short-term investments</w:t>
      </w:r>
    </w:p>
    <w:p>
      <w:pPr>
        <w:spacing w:after="0" w:line="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Less: Net income attributable to non-controlling interests</w:t>
      </w:r>
    </w:p>
    <w:p>
      <w:pPr>
        <w:spacing w:after="0" w:line="39" w:lineRule="exact"/>
        <w:rPr>
          <w:sz w:val="20"/>
          <w:szCs w:val="20"/>
          <w:color w:val="auto"/>
        </w:rPr>
      </w:pPr>
    </w:p>
    <w:p>
      <w:pPr>
        <w:ind w:left="80" w:right="60" w:hanging="80"/>
        <w:spacing w:after="0" w:line="305" w:lineRule="auto"/>
        <w:rPr>
          <w:sz w:val="20"/>
          <w:szCs w:val="20"/>
          <w:color w:val="auto"/>
        </w:rPr>
      </w:pPr>
      <w:r>
        <w:rPr>
          <w:rFonts w:ascii="Times New Roman" w:cs="Times New Roman" w:eastAsia="Times New Roman" w:hAnsi="Times New Roman"/>
          <w:sz w:val="14"/>
          <w:szCs w:val="14"/>
          <w:b w:val="1"/>
          <w:bCs w:val="1"/>
          <w:color w:val="auto"/>
        </w:rPr>
        <w:t>Net income (loss) attributable to ACM Research, Inc.</w:t>
      </w:r>
    </w:p>
    <w:p>
      <w:pPr>
        <w:spacing w:after="0" w:line="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Basic EPS</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Diluted 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4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20" w:type="dxa"/>
            <w:vAlign w:val="bottom"/>
          </w:tcPr>
          <w:p>
            <w:pPr>
              <w:spacing w:after="0"/>
              <w:rPr>
                <w:sz w:val="17"/>
                <w:szCs w:val="17"/>
                <w:color w:val="auto"/>
              </w:rPr>
            </w:pPr>
          </w:p>
        </w:tc>
        <w:tc>
          <w:tcPr>
            <w:tcW w:w="5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SBC</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104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9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SBC</w:t>
            </w:r>
          </w:p>
        </w:tc>
        <w:tc>
          <w:tcPr>
            <w:tcW w:w="2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10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94"/>
        </w:trPr>
        <w:tc>
          <w:tcPr>
            <w:tcW w:w="8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3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4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3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98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94"/>
        </w:trPr>
        <w:tc>
          <w:tcPr>
            <w:tcW w:w="8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4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367,687</w:t>
            </w: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spacing w:after="0"/>
              <w:rPr>
                <w:sz w:val="23"/>
                <w:szCs w:val="23"/>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  367,687</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269,160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269,160</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(215,275)</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68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(214,784)</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(156,011)</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(155,758)</w:t>
            </w:r>
          </w:p>
        </w:tc>
        <w:tc>
          <w:tcPr>
            <w:tcW w:w="0" w:type="dxa"/>
            <w:vAlign w:val="bottom"/>
          </w:tcPr>
          <w:p>
            <w:pPr>
              <w:spacing w:after="0"/>
              <w:rPr>
                <w:sz w:val="1"/>
                <w:szCs w:val="1"/>
                <w:color w:val="auto"/>
              </w:rPr>
            </w:pPr>
          </w:p>
        </w:tc>
      </w:tr>
      <w:tr>
        <w:trPr>
          <w:trHeight w:val="37"/>
        </w:trPr>
        <w:tc>
          <w:tcPr>
            <w:tcW w:w="8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152,412</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680" w:type="dxa"/>
            <w:vAlign w:val="bottom"/>
          </w:tcPr>
          <w:p>
            <w:pPr>
              <w:spacing w:after="0"/>
              <w:rPr>
                <w:sz w:val="19"/>
                <w:szCs w:val="19"/>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152,903</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113,149</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113,402</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41.5</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6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41.6  %</w:t>
            </w: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0" w:type="dxa"/>
            <w:vAlign w:val="bottom"/>
          </w:tcPr>
          <w:p>
            <w:pPr>
              <w:spacing w:after="0"/>
              <w:rPr>
                <w:sz w:val="1"/>
                <w:szCs w:val="1"/>
                <w:color w:val="auto"/>
              </w:rPr>
            </w:pPr>
          </w:p>
        </w:tc>
      </w:tr>
      <w:tr>
        <w:trPr>
          <w:trHeight w:val="500"/>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(26,906)</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68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(24,787)</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(22,311)</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(1,601)</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(20,710)</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(51,372)</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w:t>
            </w:r>
          </w:p>
        </w:tc>
        <w:tc>
          <w:tcPr>
            <w:tcW w:w="68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(47,177)</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(39,651)</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(1,915)</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(37,736)</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(18,607)</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68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(14,710)</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(22,264)</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(3,793)</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(18,471)</w:t>
            </w:r>
          </w:p>
        </w:tc>
        <w:tc>
          <w:tcPr>
            <w:tcW w:w="0" w:type="dxa"/>
            <w:vAlign w:val="bottom"/>
          </w:tcPr>
          <w:p>
            <w:pPr>
              <w:spacing w:after="0"/>
              <w:rPr>
                <w:sz w:val="1"/>
                <w:szCs w:val="1"/>
                <w:color w:val="auto"/>
              </w:rPr>
            </w:pPr>
          </w:p>
        </w:tc>
      </w:tr>
      <w:tr>
        <w:trPr>
          <w:trHeight w:val="37"/>
        </w:trPr>
        <w:tc>
          <w:tcPr>
            <w:tcW w:w="8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(96,885)</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w:t>
            </w:r>
          </w:p>
        </w:tc>
        <w:tc>
          <w:tcPr>
            <w:tcW w:w="680" w:type="dxa"/>
            <w:vAlign w:val="bottom"/>
          </w:tcPr>
          <w:p>
            <w:pPr>
              <w:spacing w:after="0"/>
              <w:rPr>
                <w:sz w:val="19"/>
                <w:szCs w:val="19"/>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(86,674)</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(84,226)</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(7,309)</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(76,917)</w:t>
            </w:r>
          </w:p>
        </w:tc>
        <w:tc>
          <w:tcPr>
            <w:tcW w:w="0" w:type="dxa"/>
            <w:vAlign w:val="bottom"/>
          </w:tcPr>
          <w:p>
            <w:pPr>
              <w:spacing w:after="0"/>
              <w:rPr>
                <w:sz w:val="1"/>
                <w:szCs w:val="1"/>
                <w:color w:val="auto"/>
              </w:rPr>
            </w:pPr>
          </w:p>
        </w:tc>
      </w:tr>
      <w:tr>
        <w:trPr>
          <w:trHeight w:val="51"/>
        </w:trPr>
        <w:tc>
          <w:tcPr>
            <w:tcW w:w="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55,527</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(10,702)</w:t>
            </w:r>
          </w:p>
        </w:tc>
        <w:tc>
          <w:tcPr>
            <w:tcW w:w="680" w:type="dxa"/>
            <w:vAlign w:val="bottom"/>
          </w:tcPr>
          <w:p>
            <w:pPr>
              <w:spacing w:after="0"/>
              <w:rPr>
                <w:sz w:val="19"/>
                <w:szCs w:val="19"/>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3"/>
              </w:rPr>
              <w:t>66,229</w:t>
            </w:r>
          </w:p>
        </w:tc>
        <w:tc>
          <w:tcPr>
            <w:tcW w:w="380" w:type="dxa"/>
            <w:vAlign w:val="bottom"/>
          </w:tcPr>
          <w:p>
            <w:pPr>
              <w:spacing w:after="0"/>
              <w:rPr>
                <w:sz w:val="19"/>
                <w:szCs w:val="19"/>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8"/>
              </w:rPr>
              <w:t>28,923</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(7,562)</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36,485</w:t>
            </w:r>
          </w:p>
        </w:tc>
        <w:tc>
          <w:tcPr>
            <w:tcW w:w="0" w:type="dxa"/>
            <w:vAlign w:val="bottom"/>
          </w:tcPr>
          <w:p>
            <w:pPr>
              <w:spacing w:after="0"/>
              <w:rPr>
                <w:sz w:val="1"/>
                <w:szCs w:val="1"/>
                <w:color w:val="auto"/>
              </w:rPr>
            </w:pPr>
          </w:p>
        </w:tc>
      </w:tr>
      <w:tr>
        <w:trPr>
          <w:trHeight w:val="486"/>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(39,133)</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(39,133)</w:t>
            </w:r>
          </w:p>
        </w:tc>
        <w:tc>
          <w:tcPr>
            <w:tcW w:w="420" w:type="dxa"/>
            <w:vAlign w:val="bottom"/>
          </w:tcPr>
          <w:p>
            <w:pPr>
              <w:spacing w:after="0"/>
              <w:rPr>
                <w:sz w:val="24"/>
                <w:szCs w:val="24"/>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8"/>
              </w:rPr>
              <w:t>18,656</w:t>
            </w:r>
          </w:p>
        </w:tc>
        <w:tc>
          <w:tcPr>
            <w:tcW w:w="6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18,656</w:t>
            </w:r>
          </w:p>
        </w:tc>
        <w:tc>
          <w:tcPr>
            <w:tcW w:w="44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4,779</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10,883</w:t>
            </w:r>
          </w:p>
        </w:tc>
        <w:tc>
          <w:tcPr>
            <w:tcW w:w="420" w:type="dxa"/>
            <w:vAlign w:val="bottom"/>
          </w:tcPr>
          <w:p>
            <w:pPr>
              <w:spacing w:after="0"/>
              <w:rPr>
                <w:sz w:val="24"/>
                <w:szCs w:val="24"/>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3"/>
              </w:rPr>
              <w:t>15,662</w:t>
            </w:r>
          </w:p>
        </w:tc>
        <w:tc>
          <w:tcPr>
            <w:tcW w:w="380" w:type="dxa"/>
            <w:vAlign w:val="bottom"/>
          </w:tcPr>
          <w:p>
            <w:pPr>
              <w:spacing w:after="0"/>
              <w:rPr>
                <w:sz w:val="24"/>
                <w:szCs w:val="24"/>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8"/>
              </w:rPr>
              <w:t>10,509</w:t>
            </w:r>
          </w:p>
        </w:tc>
        <w:tc>
          <w:tcPr>
            <w:tcW w:w="6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44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6,923</w:t>
            </w:r>
          </w:p>
        </w:tc>
        <w:tc>
          <w:tcPr>
            <w:tcW w:w="0" w:type="dxa"/>
            <w:vAlign w:val="bottom"/>
          </w:tcPr>
          <w:p>
            <w:pPr>
              <w:spacing w:after="0"/>
              <w:rPr>
                <w:sz w:val="1"/>
                <w:szCs w:val="1"/>
                <w:color w:val="auto"/>
              </w:rPr>
            </w:pPr>
          </w:p>
        </w:tc>
      </w:tr>
      <w:tr>
        <w:trPr>
          <w:trHeight w:val="37"/>
        </w:trPr>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1,544</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(10,702)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(28,250)</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3"/>
              </w:rPr>
              <w:t>40,496</w:t>
            </w: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8"/>
              </w:rPr>
              <w:t>35,889</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(7,562)</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15,070</w:t>
            </w:r>
          </w:p>
        </w:tc>
        <w:tc>
          <w:tcPr>
            <w:tcW w:w="4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28,381</w:t>
            </w:r>
          </w:p>
        </w:tc>
        <w:tc>
          <w:tcPr>
            <w:tcW w:w="0" w:type="dxa"/>
            <w:vAlign w:val="bottom"/>
          </w:tcPr>
          <w:p>
            <w:pPr>
              <w:spacing w:after="0"/>
              <w:rPr>
                <w:sz w:val="1"/>
                <w:szCs w:val="1"/>
                <w:color w:val="auto"/>
              </w:rPr>
            </w:pPr>
          </w:p>
        </w:tc>
      </w:tr>
      <w:tr>
        <w:trPr>
          <w:trHeight w:val="50"/>
        </w:trPr>
        <w:tc>
          <w:tcPr>
            <w:tcW w:w="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0.58</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0.56</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297"/>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0.55</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0.52</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-2967355</wp:posOffset>
            </wp:positionV>
            <wp:extent cx="682371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3710" cy="18859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-2590165</wp:posOffset>
            </wp:positionV>
            <wp:extent cx="682371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23710" cy="18859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-2213610</wp:posOffset>
            </wp:positionV>
            <wp:extent cx="682371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3710" cy="1289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-1896110</wp:posOffset>
            </wp:positionV>
            <wp:extent cx="682371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3710" cy="18859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-1518920</wp:posOffset>
            </wp:positionV>
            <wp:extent cx="682371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23710" cy="18859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-1141730</wp:posOffset>
            </wp:positionV>
            <wp:extent cx="682371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3710" cy="30035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-627380</wp:posOffset>
            </wp:positionV>
            <wp:extent cx="682371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3710" cy="29146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-164465</wp:posOffset>
            </wp:positionV>
            <wp:extent cx="682371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371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160"/>
            <w:col w:w="8640"/>
          </w:cols>
          <w:pgMar w:left="340" w:top="131" w:right="339" w:bottom="1440" w:gutter="0" w:footer="0" w:header="0"/>
          <w:type w:val="continuous"/>
        </w:sect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- 9 -</w:t>
      </w:r>
    </w:p>
    <w:p>
      <w:pPr>
        <w:sectPr>
          <w:pgSz w:w="11900" w:h="16838" w:orient="portrait"/>
          <w:cols w:equalWidth="0" w:num="1">
            <w:col w:w="11220"/>
          </w:cols>
          <w:pgMar w:left="340" w:top="131" w:right="33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80" w:type="dxa"/>
            <w:vAlign w:val="bottom"/>
          </w:tcPr>
          <w:p>
            <w:pPr>
              <w:spacing w:after="0"/>
              <w:rPr>
                <w:sz w:val="17"/>
                <w:szCs w:val="17"/>
                <w:color w:val="auto"/>
              </w:rPr>
            </w:pPr>
          </w:p>
        </w:tc>
        <w:tc>
          <w:tcPr>
            <w:tcW w:w="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SBC</w:t>
            </w: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1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60" w:type="dxa"/>
            <w:vAlign w:val="bottom"/>
          </w:tcPr>
          <w:p>
            <w:pPr>
              <w:spacing w:after="0"/>
              <w:rPr>
                <w:sz w:val="17"/>
                <w:szCs w:val="17"/>
                <w:color w:val="auto"/>
              </w:rPr>
            </w:pP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SBC</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9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80" w:type="dxa"/>
            <w:vAlign w:val="bottom"/>
            <w:gridSpan w:val="3"/>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9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(GAAP)</w:t>
            </w:r>
          </w:p>
        </w:tc>
        <w:tc>
          <w:tcPr>
            <w:tcW w:w="3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8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8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(GAAP)</w:t>
            </w: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9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80" w:type="dxa"/>
            <w:vAlign w:val="bottom"/>
            <w:gridSpan w:val="3"/>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Revenue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891,869</w:t>
            </w: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891,869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656,879</w:t>
            </w: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656,879</w:t>
            </w:r>
          </w:p>
        </w:tc>
        <w:tc>
          <w:tcPr>
            <w:tcW w:w="0" w:type="dxa"/>
            <w:vAlign w:val="bottom"/>
          </w:tcPr>
          <w:p>
            <w:pPr>
              <w:spacing w:after="0"/>
              <w:rPr>
                <w:sz w:val="1"/>
                <w:szCs w:val="1"/>
                <w:color w:val="auto"/>
              </w:rPr>
            </w:pPr>
          </w:p>
        </w:tc>
      </w:tr>
      <w:tr>
        <w:trPr>
          <w:trHeight w:val="273"/>
        </w:trPr>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revenue</w:t>
            </w:r>
          </w:p>
        </w:tc>
        <w:tc>
          <w:tcPr>
            <w:tcW w:w="3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(497,601)</w:t>
            </w:r>
          </w:p>
        </w:tc>
        <w:tc>
          <w:tcPr>
            <w:tcW w:w="380" w:type="dxa"/>
            <w:vAlign w:val="bottom"/>
          </w:tcPr>
          <w:p>
            <w:pPr>
              <w:spacing w:after="0"/>
              <w:rPr>
                <w:sz w:val="23"/>
                <w:szCs w:val="23"/>
                <w:color w:val="auto"/>
              </w:rPr>
            </w:pPr>
          </w:p>
        </w:tc>
        <w:tc>
          <w:tcPr>
            <w:tcW w:w="7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(1,016)</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(496,585)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(356,719)</w:t>
            </w:r>
          </w:p>
        </w:tc>
        <w:tc>
          <w:tcPr>
            <w:tcW w:w="3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680" w:type="dxa"/>
            <w:vAlign w:val="bottom"/>
          </w:tcPr>
          <w:p>
            <w:pPr>
              <w:spacing w:after="0"/>
              <w:rPr>
                <w:sz w:val="23"/>
                <w:szCs w:val="23"/>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(355,581)</w:t>
            </w:r>
          </w:p>
        </w:tc>
        <w:tc>
          <w:tcPr>
            <w:tcW w:w="0" w:type="dxa"/>
            <w:vAlign w:val="bottom"/>
          </w:tcPr>
          <w:p>
            <w:pPr>
              <w:spacing w:after="0"/>
              <w:rPr>
                <w:sz w:val="1"/>
                <w:szCs w:val="1"/>
                <w:color w:val="auto"/>
              </w:rPr>
            </w:pPr>
          </w:p>
        </w:tc>
      </w:tr>
      <w:tr>
        <w:trPr>
          <w:trHeight w:val="23"/>
        </w:trPr>
        <w:tc>
          <w:tcPr>
            <w:tcW w:w="2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394,268</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(1,016)</w:t>
            </w:r>
          </w:p>
        </w:tc>
        <w:tc>
          <w:tcPr>
            <w:tcW w:w="12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395,284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300,160</w:t>
            </w:r>
          </w:p>
        </w:tc>
        <w:tc>
          <w:tcPr>
            <w:tcW w:w="3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6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301,298</w:t>
            </w:r>
          </w:p>
        </w:tc>
        <w:tc>
          <w:tcPr>
            <w:tcW w:w="0" w:type="dxa"/>
            <w:vAlign w:val="bottom"/>
          </w:tcPr>
          <w:p>
            <w:pPr>
              <w:spacing w:after="0"/>
              <w:rPr>
                <w:sz w:val="1"/>
                <w:szCs w:val="1"/>
                <w:color w:val="auto"/>
              </w:rPr>
            </w:pPr>
          </w:p>
        </w:tc>
      </w:tr>
      <w:tr>
        <w:trPr>
          <w:trHeight w:val="260"/>
        </w:trPr>
        <w:tc>
          <w:tcPr>
            <w:tcW w:w="2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margin</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44.3  %</w:t>
            </w:r>
          </w:p>
        </w:tc>
        <w:tc>
          <w:tcPr>
            <w:tcW w:w="460" w:type="dxa"/>
            <w:vAlign w:val="bottom"/>
          </w:tcPr>
          <w:p>
            <w:pPr>
              <w:spacing w:after="0"/>
              <w:rPr>
                <w:sz w:val="22"/>
                <w:szCs w:val="22"/>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45.7</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6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(71,372)</w:t>
            </w:r>
          </w:p>
        </w:tc>
        <w:tc>
          <w:tcPr>
            <w:tcW w:w="380" w:type="dxa"/>
            <w:vAlign w:val="bottom"/>
          </w:tcPr>
          <w:p>
            <w:pPr>
              <w:spacing w:after="0"/>
              <w:rPr>
                <w:sz w:val="22"/>
                <w:szCs w:val="22"/>
                <w:color w:val="auto"/>
              </w:rPr>
            </w:pPr>
          </w:p>
        </w:tc>
        <w:tc>
          <w:tcPr>
            <w:tcW w:w="7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(4,941)</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(66,431)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(60,756)</w:t>
            </w:r>
          </w:p>
        </w:tc>
        <w:tc>
          <w:tcPr>
            <w:tcW w:w="3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680" w:type="dxa"/>
            <w:vAlign w:val="bottom"/>
          </w:tcPr>
          <w:p>
            <w:pPr>
              <w:spacing w:after="0"/>
              <w:rPr>
                <w:sz w:val="22"/>
                <w:szCs w:val="22"/>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(54,902)</w:t>
            </w: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88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2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(130,175)</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(7,569)</w:t>
            </w:r>
          </w:p>
        </w:tc>
        <w:tc>
          <w:tcPr>
            <w:tcW w:w="12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(122,606)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(100,971)</w:t>
            </w: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6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(93,701)</w:t>
            </w:r>
          </w:p>
        </w:tc>
        <w:tc>
          <w:tcPr>
            <w:tcW w:w="0" w:type="dxa"/>
            <w:vAlign w:val="bottom"/>
          </w:tcPr>
          <w:p>
            <w:pPr>
              <w:spacing w:after="0"/>
              <w:rPr>
                <w:sz w:val="1"/>
                <w:szCs w:val="1"/>
                <w:color w:val="auto"/>
              </w:rPr>
            </w:pPr>
          </w:p>
        </w:tc>
      </w:tr>
      <w:tr>
        <w:trPr>
          <w:trHeight w:val="260"/>
        </w:trPr>
        <w:tc>
          <w:tcPr>
            <w:tcW w:w="2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(51,274)</w:t>
            </w:r>
          </w:p>
        </w:tc>
        <w:tc>
          <w:tcPr>
            <w:tcW w:w="380" w:type="dxa"/>
            <w:vAlign w:val="bottom"/>
          </w:tcPr>
          <w:p>
            <w:pPr>
              <w:spacing w:after="0"/>
              <w:rPr>
                <w:sz w:val="22"/>
                <w:szCs w:val="22"/>
                <w:color w:val="auto"/>
              </w:rPr>
            </w:pPr>
          </w:p>
        </w:tc>
        <w:tc>
          <w:tcPr>
            <w:tcW w:w="7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(9,380)</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(41,894)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(52,039)</w:t>
            </w:r>
          </w:p>
        </w:tc>
        <w:tc>
          <w:tcPr>
            <w:tcW w:w="3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(12,887)</w:t>
            </w:r>
          </w:p>
        </w:tc>
        <w:tc>
          <w:tcPr>
            <w:tcW w:w="680" w:type="dxa"/>
            <w:vAlign w:val="bottom"/>
          </w:tcPr>
          <w:p>
            <w:pPr>
              <w:spacing w:after="0"/>
              <w:rPr>
                <w:sz w:val="22"/>
                <w:szCs w:val="22"/>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(39,152)</w:t>
            </w:r>
          </w:p>
        </w:tc>
        <w:tc>
          <w:tcPr>
            <w:tcW w:w="0" w:type="dxa"/>
            <w:vAlign w:val="bottom"/>
          </w:tcPr>
          <w:p>
            <w:pPr>
              <w:spacing w:after="0"/>
              <w:rPr>
                <w:sz w:val="1"/>
                <w:szCs w:val="1"/>
                <w:color w:val="auto"/>
              </w:rPr>
            </w:pPr>
          </w:p>
        </w:tc>
      </w:tr>
      <w:tr>
        <w:trPr>
          <w:trHeight w:val="37"/>
        </w:trPr>
        <w:tc>
          <w:tcPr>
            <w:tcW w:w="2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(252,821)</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(21,890)</w:t>
            </w:r>
          </w:p>
        </w:tc>
        <w:tc>
          <w:tcPr>
            <w:tcW w:w="12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(230,931)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(213,766)</w:t>
            </w: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(26,011)</w:t>
            </w:r>
          </w:p>
        </w:tc>
        <w:tc>
          <w:tcPr>
            <w:tcW w:w="6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(187,755)</w:t>
            </w:r>
          </w:p>
        </w:tc>
        <w:tc>
          <w:tcPr>
            <w:tcW w:w="0" w:type="dxa"/>
            <w:vAlign w:val="bottom"/>
          </w:tcPr>
          <w:p>
            <w:pPr>
              <w:spacing w:after="0"/>
              <w:rPr>
                <w:sz w:val="1"/>
                <w:szCs w:val="1"/>
                <w:color w:val="auto"/>
              </w:rPr>
            </w:pPr>
          </w:p>
        </w:tc>
      </w:tr>
      <w:tr>
        <w:trPr>
          <w:trHeight w:val="254"/>
        </w:trPr>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3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141,447</w:t>
            </w:r>
          </w:p>
        </w:tc>
        <w:tc>
          <w:tcPr>
            <w:tcW w:w="3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(22,906)</w:t>
            </w:r>
          </w:p>
        </w:tc>
        <w:tc>
          <w:tcPr>
            <w:tcW w:w="1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164,353</w:t>
            </w:r>
          </w:p>
        </w:tc>
        <w:tc>
          <w:tcPr>
            <w:tcW w:w="4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86,394</w:t>
            </w:r>
          </w:p>
        </w:tc>
        <w:tc>
          <w:tcPr>
            <w:tcW w:w="3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(27,149)</w:t>
            </w:r>
          </w:p>
        </w:tc>
        <w:tc>
          <w:tcPr>
            <w:tcW w:w="6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113,543</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on short-term</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investments</w:t>
            </w: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29,053</w:t>
            </w:r>
          </w:p>
        </w:tc>
        <w:tc>
          <w:tcPr>
            <w:tcW w:w="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29,053</w:t>
            </w: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20,304</w:t>
            </w:r>
          </w:p>
        </w:tc>
        <w:tc>
          <w:tcPr>
            <w:tcW w:w="3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20,304</w:t>
            </w:r>
          </w:p>
        </w:tc>
        <w:tc>
          <w:tcPr>
            <w:tcW w:w="4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Less: Net income attributable to non-</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46,973</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(7,658)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w w:val="98"/>
              </w:rPr>
              <w:t>39,315</w:t>
            </w:r>
          </w:p>
        </w:tc>
        <w:tc>
          <w:tcPr>
            <w:tcW w:w="4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21,652</w:t>
            </w:r>
          </w:p>
        </w:tc>
        <w:tc>
          <w:tcPr>
            <w:tcW w:w="3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420" w:type="dxa"/>
            <w:vAlign w:val="bottom"/>
          </w:tcPr>
          <w:p>
            <w:pPr>
              <w:spacing w:after="0"/>
              <w:rPr>
                <w:sz w:val="12"/>
                <w:szCs w:val="12"/>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8"/>
              </w:rPr>
              <w:t>17,750</w:t>
            </w:r>
          </w:p>
        </w:tc>
        <w:tc>
          <w:tcPr>
            <w:tcW w:w="0" w:type="dxa"/>
            <w:vAlign w:val="bottom"/>
          </w:tcPr>
          <w:p>
            <w:pPr>
              <w:spacing w:after="0"/>
              <w:rPr>
                <w:sz w:val="1"/>
                <w:szCs w:val="1"/>
                <w:color w:val="auto"/>
              </w:rPr>
            </w:pPr>
          </w:p>
        </w:tc>
      </w:tr>
      <w:tr>
        <w:trPr>
          <w:trHeight w:val="193"/>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controlling interests</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ACM</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107,835</w:t>
            </w:r>
          </w:p>
        </w:tc>
        <w:tc>
          <w:tcPr>
            <w:tcW w:w="3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(22,906)</w:t>
            </w:r>
          </w:p>
        </w:tc>
        <w:tc>
          <w:tcPr>
            <w:tcW w:w="12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21,395</w:t>
            </w:r>
          </w:p>
        </w:tc>
        <w:tc>
          <w:tcPr>
            <w:tcW w:w="4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109,346</w:t>
            </w:r>
          </w:p>
        </w:tc>
        <w:tc>
          <w:tcPr>
            <w:tcW w:w="4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86,029</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(27,149)</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16,402</w:t>
            </w:r>
          </w:p>
        </w:tc>
        <w:tc>
          <w:tcPr>
            <w:tcW w:w="4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96,776</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Research, Inc.</w:t>
            </w: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380" w:type="dxa"/>
            <w:vAlign w:val="bottom"/>
            <w:tcBorders>
              <w:bottom w:val="single" w:sz="8" w:color="CCEEFF"/>
            </w:tcBorders>
            <w:vMerge w:val="continue"/>
            <w:shd w:val="clear" w:color="auto" w:fill="CCEEFF"/>
          </w:tcPr>
          <w:p>
            <w:pPr>
              <w:spacing w:after="0"/>
              <w:rPr>
                <w:sz w:val="20"/>
                <w:szCs w:val="20"/>
                <w:color w:val="auto"/>
              </w:rPr>
            </w:pPr>
          </w:p>
        </w:tc>
        <w:tc>
          <w:tcPr>
            <w:tcW w:w="720" w:type="dxa"/>
            <w:vAlign w:val="bottom"/>
            <w:tcBorders>
              <w:bottom w:val="single" w:sz="8" w:color="CCEEFF"/>
            </w:tcBorders>
            <w:gridSpan w:val="2"/>
            <w:vMerge w:val="continue"/>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400" w:type="dxa"/>
            <w:vAlign w:val="bottom"/>
            <w:tcBorders>
              <w:bottom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46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CCEEFF"/>
            </w:tcBorders>
            <w:vMerge w:val="continue"/>
            <w:shd w:val="clear" w:color="auto" w:fill="CCEEFF"/>
          </w:tcPr>
          <w:p>
            <w:pPr>
              <w:spacing w:after="0"/>
              <w:rPr>
                <w:sz w:val="20"/>
                <w:szCs w:val="20"/>
                <w:color w:val="auto"/>
              </w:rPr>
            </w:pPr>
          </w:p>
        </w:tc>
        <w:tc>
          <w:tcPr>
            <w:tcW w:w="580" w:type="dxa"/>
            <w:vAlign w:val="bottom"/>
            <w:tcBorders>
              <w:bottom w:val="single" w:sz="8" w:color="CCEEFF"/>
            </w:tcBorders>
            <w:vMerge w:val="continue"/>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CCEEFF"/>
            </w:tcBorders>
            <w:vMerge w:val="continue"/>
            <w:shd w:val="clear" w:color="auto" w:fill="CCEEFF"/>
          </w:tcPr>
          <w:p>
            <w:pPr>
              <w:spacing w:after="0"/>
              <w:rPr>
                <w:sz w:val="20"/>
                <w:szCs w:val="20"/>
                <w:color w:val="auto"/>
              </w:rPr>
            </w:pPr>
          </w:p>
        </w:tc>
        <w:tc>
          <w:tcPr>
            <w:tcW w:w="5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 EPS</w:t>
            </w:r>
          </w:p>
        </w:tc>
        <w:tc>
          <w:tcPr>
            <w:tcW w:w="3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1.61</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EPS</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1.51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3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3"/>
        </w:trPr>
        <w:tc>
          <w:tcPr>
            <w:tcW w:w="2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- 10 -</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2026-11-05T06:44:59Z</dcterms:created>
  <dcterms:modified xsi:type="dcterms:W3CDTF">2026-11-05T06:44:59Z</dcterms:modified>
</cp:coreProperties>
</file>