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Guangda LIU</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Shanghai Science and Technology Venture Capital (Group) Co.,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Floor 16-17, #118 Rongke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District, Shanghai, People’s Republic of China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+86 021 2230 2882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Science and Technology Investment Group Co.,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Floor 16-17, #118 Rongke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District, Shanghai, People’s Republic of China 201203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firstLine="635"/>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9 Pages)</w:t>
      </w:r>
    </w:p>
    <w:p>
      <w:pPr>
        <w:spacing w:after="0" w:line="211" w:lineRule="exact"/>
        <w:rPr>
          <w:sz w:val="24"/>
          <w:szCs w:val="24"/>
          <w:color w:val="auto"/>
        </w:rPr>
      </w:pPr>
    </w:p>
    <w:p>
      <w:pPr>
        <w:ind w:right="20"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u w:val="single" w:color="auto"/>
          <w:color w:val="auto"/>
        </w:rPr>
        <w:t>00108J109</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1590"/>
                    </a:xfrm>
                    <a:prstGeom prst="rect">
                      <a:avLst/>
                    </a:prstGeom>
                    <a:noFill/>
                  </pic:spPr>
                </pic:pic>
              </a:graphicData>
            </a:graphic>
          </wp:anchor>
        </w:drawing>
      </w:r>
    </w:p>
    <w:p>
      <w:pPr>
        <w:spacing w:after="0" w:line="285" w:lineRule="exact"/>
        <w:rPr>
          <w:sz w:val="20"/>
          <w:szCs w:val="20"/>
          <w:color w:val="auto"/>
        </w:rPr>
      </w:pPr>
    </w:p>
    <w:p>
      <w:pPr>
        <w:ind w:left="1560" w:hanging="838"/>
        <w:spacing w:after="0"/>
        <w:tabs>
          <w:tab w:leader="none" w:pos="1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Shanghai Science and Technology Venture Capital (Group) Co., Ltd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5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2</w:t>
            </w:r>
          </w:p>
        </w:tc>
        <w:tc>
          <w:tcPr>
            <w:tcW w:w="8620" w:type="dxa"/>
            <w:vAlign w:val="bottom"/>
            <w:gridSpan w:val="2"/>
          </w:tcPr>
          <w:p>
            <w:pPr>
              <w:ind w:left="4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1100" w:type="dxa"/>
            <w:vAlign w:val="bottom"/>
          </w:tcPr>
          <w:p>
            <w:pPr>
              <w:jc w:val="center"/>
              <w:ind w:left="153"/>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00" w:type="dxa"/>
            <w:vAlign w:val="bottom"/>
          </w:tcPr>
          <w:p>
            <w:pPr>
              <w:jc w:val="center"/>
              <w:ind w:left="153"/>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SOURCE OF FUNDS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100" w:type="dxa"/>
            <w:vAlign w:val="bottom"/>
          </w:tcPr>
          <w:p>
            <w:pPr>
              <w:jc w:val="center"/>
              <w:ind w:left="13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People’s Republic of China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2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2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20" w:type="dxa"/>
            <w:vAlign w:val="bottom"/>
            <w:tcBorders>
              <w:right w:val="single" w:sz="8" w:color="auto"/>
            </w:tcBorders>
            <w:vMerge w:val="continue"/>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3,438,510 (1)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20" w:type="dxa"/>
            <w:vAlign w:val="bottom"/>
            <w:tcBorders>
              <w:right w:val="single" w:sz="8" w:color="auto"/>
            </w:tcBorders>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2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20" w:type="dxa"/>
            <w:vAlign w:val="bottom"/>
            <w:tcBorders>
              <w:right w:val="single" w:sz="8" w:color="auto"/>
            </w:tcBorders>
            <w:vMerge w:val="continue"/>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20" w:type="dxa"/>
            <w:vAlign w:val="bottom"/>
            <w:tcBorders>
              <w:right w:val="single" w:sz="8" w:color="auto"/>
            </w:tcBorders>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3,438,510 (1)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3,438,510 (1)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00" w:type="dxa"/>
            <w:vAlign w:val="bottom"/>
          </w:tcPr>
          <w:p>
            <w:pPr>
              <w:jc w:val="center"/>
              <w:ind w:left="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6.3% (1)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200" w:hanging="331"/>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Shanghai Science and Technology Venture Capital (Group) Co., Ltd (“SHSTVC”) may be deemed to beneficially own the 3,358,728 shares held by Shanghai Pudong Science and Technology Investment Group Co., Ltd. (“PDSTVC”) as a result of its rights under the Coordination Agreement (as defined in Item 6 of this Schedule 13D); however, the shares held by PDSTVC are not included in the number of shares reported as beneficially owned by SHSTVC in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u w:val="single" w:color="auto"/>
          <w:color w:val="auto"/>
        </w:rPr>
        <w:t>00108J109</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6371590"/>
                    </a:xfrm>
                    <a:prstGeom prst="rect">
                      <a:avLst/>
                    </a:prstGeom>
                    <a:noFill/>
                  </pic:spPr>
                </pic:pic>
              </a:graphicData>
            </a:graphic>
          </wp:anchor>
        </w:drawing>
      </w:r>
    </w:p>
    <w:p>
      <w:pPr>
        <w:spacing w:after="0" w:line="285" w:lineRule="exact"/>
        <w:rPr>
          <w:sz w:val="20"/>
          <w:szCs w:val="20"/>
          <w:color w:val="auto"/>
        </w:rPr>
      </w:pPr>
    </w:p>
    <w:p>
      <w:pPr>
        <w:ind w:left="1560" w:hanging="838"/>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Shanghai Pudong Science and Technology Investment Group Co., Ltd.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5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2</w:t>
            </w:r>
          </w:p>
        </w:tc>
        <w:tc>
          <w:tcPr>
            <w:tcW w:w="8620" w:type="dxa"/>
            <w:vAlign w:val="bottom"/>
            <w:gridSpan w:val="2"/>
          </w:tcPr>
          <w:p>
            <w:pPr>
              <w:ind w:left="4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1100" w:type="dxa"/>
            <w:vAlign w:val="bottom"/>
          </w:tcPr>
          <w:p>
            <w:pPr>
              <w:jc w:val="center"/>
              <w:ind w:left="153"/>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00" w:type="dxa"/>
            <w:vAlign w:val="bottom"/>
          </w:tcPr>
          <w:p>
            <w:pPr>
              <w:jc w:val="center"/>
              <w:ind w:left="153"/>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SOURCE OF FUNDS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100" w:type="dxa"/>
            <w:vAlign w:val="bottom"/>
          </w:tcPr>
          <w:p>
            <w:pPr>
              <w:jc w:val="center"/>
              <w:ind w:left="13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People’s Republic of China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2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2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20" w:type="dxa"/>
            <w:vAlign w:val="bottom"/>
            <w:tcBorders>
              <w:right w:val="single" w:sz="8" w:color="auto"/>
            </w:tcBorders>
            <w:vMerge w:val="continue"/>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3,358,728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20" w:type="dxa"/>
            <w:vAlign w:val="bottom"/>
            <w:tcBorders>
              <w:right w:val="single" w:sz="8" w:color="auto"/>
            </w:tcBorders>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2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20" w:type="dxa"/>
            <w:vAlign w:val="bottom"/>
            <w:tcBorders>
              <w:right w:val="single" w:sz="8" w:color="auto"/>
            </w:tcBorders>
            <w:vMerge w:val="continue"/>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20" w:type="dxa"/>
            <w:vAlign w:val="bottom"/>
            <w:tcBorders>
              <w:right w:val="single" w:sz="8" w:color="auto"/>
            </w:tcBorders>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3,358,728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3,358,728</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00" w:type="dxa"/>
            <w:vAlign w:val="bottom"/>
          </w:tcPr>
          <w:p>
            <w:pPr>
              <w:jc w:val="center"/>
              <w:ind w:left="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6.1%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1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0"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i w:val="1"/>
          <w:iCs w:val="1"/>
          <w:color w:val="auto"/>
        </w:rPr>
        <w:t>Item 1.</w:t>
      </w:r>
      <w:r>
        <w:rPr>
          <w:sz w:val="20"/>
          <w:szCs w:val="20"/>
          <w:color w:val="auto"/>
        </w:rPr>
        <w:tab/>
      </w:r>
      <w:r>
        <w:rPr>
          <w:rFonts w:ascii="Arial" w:cs="Arial" w:eastAsia="Arial" w:hAnsi="Arial"/>
          <w:sz w:val="16"/>
          <w:szCs w:val="16"/>
          <w:i w:val="1"/>
          <w:iCs w:val="1"/>
          <w:color w:val="auto"/>
        </w:rPr>
        <w:t>Security and Issuer.</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Statement on Schedule 13D relates to the shares of Class A Common Stock, par value $0.0001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ACM Research,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address of the Company's principal executive offices 42307 Osgood Road, Suite I, Fremont, CA 94539.</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2.</w:t>
      </w:r>
      <w:r>
        <w:rPr>
          <w:sz w:val="20"/>
          <w:szCs w:val="20"/>
          <w:color w:val="auto"/>
        </w:rPr>
        <w:tab/>
      </w:r>
      <w:r>
        <w:rPr>
          <w:rFonts w:ascii="Arial" w:cs="Arial" w:eastAsia="Arial" w:hAnsi="Arial"/>
          <w:sz w:val="16"/>
          <w:szCs w:val="16"/>
          <w:color w:val="auto"/>
        </w:rPr>
        <w:t>Identity and Background.</w:t>
      </w:r>
    </w:p>
    <w:p>
      <w:pPr>
        <w:spacing w:after="0" w:line="225" w:lineRule="exact"/>
        <w:rPr>
          <w:sz w:val="20"/>
          <w:szCs w:val="20"/>
          <w:color w:val="auto"/>
        </w:rPr>
      </w:pPr>
    </w:p>
    <w:p>
      <w:pPr>
        <w:jc w:val="both"/>
        <w:ind w:left="380" w:hanging="372"/>
        <w:spacing w:after="0" w:line="25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Statement is filed by Shanghai Science and Technology Venture Capital (Group) Co., Ltd. (“</w:t>
      </w:r>
      <w:r>
        <w:rPr>
          <w:rFonts w:ascii="Arial" w:cs="Arial" w:eastAsia="Arial" w:hAnsi="Arial"/>
          <w:sz w:val="18"/>
          <w:szCs w:val="18"/>
          <w:u w:val="single" w:color="auto"/>
          <w:color w:val="auto"/>
        </w:rPr>
        <w:t>SHSTVC</w:t>
      </w:r>
      <w:r>
        <w:rPr>
          <w:rFonts w:ascii="Arial" w:cs="Arial" w:eastAsia="Arial" w:hAnsi="Arial"/>
          <w:sz w:val="18"/>
          <w:szCs w:val="18"/>
          <w:color w:val="auto"/>
        </w:rPr>
        <w:t>”), a limited liability company established under the laws of the People’s Republic of China (“</w:t>
      </w:r>
      <w:r>
        <w:rPr>
          <w:rFonts w:ascii="Arial" w:cs="Arial" w:eastAsia="Arial" w:hAnsi="Arial"/>
          <w:sz w:val="18"/>
          <w:szCs w:val="18"/>
          <w:u w:val="single" w:color="auto"/>
          <w:color w:val="auto"/>
        </w:rPr>
        <w:t>PRC</w:t>
      </w:r>
      <w:r>
        <w:rPr>
          <w:rFonts w:ascii="Arial" w:cs="Arial" w:eastAsia="Arial" w:hAnsi="Arial"/>
          <w:sz w:val="18"/>
          <w:szCs w:val="18"/>
          <w:color w:val="auto"/>
        </w:rPr>
        <w:t>”), and Shanghai Pudong Science and Technology Investment Group Co., Ltd. (“</w:t>
      </w:r>
      <w:r>
        <w:rPr>
          <w:rFonts w:ascii="Arial" w:cs="Arial" w:eastAsia="Arial" w:hAnsi="Arial"/>
          <w:sz w:val="18"/>
          <w:szCs w:val="18"/>
          <w:u w:val="single" w:color="auto"/>
          <w:color w:val="auto"/>
        </w:rPr>
        <w:t>PDSTVC</w:t>
      </w:r>
      <w:r>
        <w:rPr>
          <w:rFonts w:ascii="Arial" w:cs="Arial" w:eastAsia="Arial" w:hAnsi="Arial"/>
          <w:sz w:val="18"/>
          <w:szCs w:val="18"/>
          <w:color w:val="auto"/>
        </w:rPr>
        <w:t>”), a limited liability company established under the laws of the PRC, as a joint statement pursuant to Rule 13d-1(k) promulgated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Schedule A hereto sets forth information regarding persons referred in Instruction C to Schedule 13D (with respect to each Reporting Person, its “</w:t>
      </w:r>
      <w:r>
        <w:rPr>
          <w:rFonts w:ascii="Arial" w:cs="Arial" w:eastAsia="Arial" w:hAnsi="Arial"/>
          <w:sz w:val="18"/>
          <w:szCs w:val="18"/>
          <w:u w:val="single" w:color="auto"/>
          <w:color w:val="auto"/>
        </w:rPr>
        <w:t>Related Persons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address of the principal business and/or principal office of SHSTVC is Floor 16-17, #118 Rongke Road, Pudong District, Shanghai, PRC. The address of the principal business and/or principal office of PDSTVC is Floor 16-17, #118 Rongke Road, Pudong District, Shanghai, PRC.</w:t>
      </w:r>
    </w:p>
    <w:p>
      <w:pPr>
        <w:spacing w:after="0" w:line="146" w:lineRule="exact"/>
        <w:rPr>
          <w:rFonts w:ascii="Arial" w:cs="Arial" w:eastAsia="Arial" w:hAnsi="Arial"/>
          <w:sz w:val="17"/>
          <w:szCs w:val="17"/>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Reporting Person is primarily engaged in the business of making equity investment and providing other investment services.</w:t>
      </w:r>
    </w:p>
    <w:p>
      <w:pPr>
        <w:spacing w:after="0" w:line="225" w:lineRule="exact"/>
        <w:rPr>
          <w:rFonts w:ascii="Arial" w:cs="Arial" w:eastAsia="Arial" w:hAnsi="Arial"/>
          <w:sz w:val="18"/>
          <w:szCs w:val="18"/>
          <w:color w:val="auto"/>
        </w:rPr>
      </w:pPr>
    </w:p>
    <w:p>
      <w:pPr>
        <w:ind w:left="380" w:hanging="372"/>
        <w:spacing w:after="0" w:line="308"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nor to the best of each Reporting Person’s knowledge, any of the Related Persons with respect to such Reporting Person, has been convicted in a criminal proceeding (excluding traffic violations or similar misdemeanors).</w:t>
      </w:r>
    </w:p>
    <w:p>
      <w:pPr>
        <w:spacing w:after="0" w:line="146" w:lineRule="exact"/>
        <w:rPr>
          <w:rFonts w:ascii="Arial" w:cs="Arial" w:eastAsia="Arial" w:hAnsi="Arial"/>
          <w:sz w:val="17"/>
          <w:szCs w:val="17"/>
          <w:color w:val="auto"/>
        </w:rPr>
      </w:pPr>
    </w:p>
    <w:p>
      <w:pPr>
        <w:jc w:val="both"/>
        <w:ind w:left="380" w:hanging="372"/>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nor to the best of each Reporting Person’s knowledge, any of the Related Persons of such Reporting Person,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SHSTVC and PDSTVC is organized under the laws of the PRC. Each individual listed on Schedule A is a citizen of the PRC.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3.</w:t>
      </w:r>
      <w:r>
        <w:rPr>
          <w:sz w:val="20"/>
          <w:szCs w:val="20"/>
          <w:color w:val="auto"/>
        </w:rPr>
        <w:tab/>
      </w:r>
      <w:r>
        <w:rPr>
          <w:rFonts w:ascii="Arial" w:cs="Arial" w:eastAsia="Arial" w:hAnsi="Arial"/>
          <w:sz w:val="16"/>
          <w:szCs w:val="16"/>
          <w:i w:val="1"/>
          <w:iCs w:val="1"/>
          <w:color w:val="auto"/>
        </w:rPr>
        <w:t>Source and Amount of Funds or Other Consideration.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shares of Class A Common Stock reported herein as being beneficially owned by each Reporting Person were acquired by such Reporting Person pursuant to transactions consummated prior to the Company’s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and the March Stock Dividend (as defined below). Neither Reporting Person has acquired any shares of Class A Common Stock since the closing of the IPO, other than as a result of the March Stock Dividend.</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shares of Class A Common Stock beneficially owned by SHSTVC, other than those acquired pursuant to the March Stock Dividend, were acquired upon the conversion (in connection with the closing of the IPO) of shares (the “</w:t>
      </w:r>
      <w:r>
        <w:rPr>
          <w:rFonts w:ascii="Arial" w:cs="Arial" w:eastAsia="Arial" w:hAnsi="Arial"/>
          <w:sz w:val="17"/>
          <w:szCs w:val="17"/>
          <w:u w:val="single" w:color="auto"/>
          <w:color w:val="auto"/>
        </w:rPr>
        <w:t>Series E Shares</w:t>
      </w:r>
      <w:r>
        <w:rPr>
          <w:rFonts w:ascii="Arial" w:cs="Arial" w:eastAsia="Arial" w:hAnsi="Arial"/>
          <w:sz w:val="17"/>
          <w:szCs w:val="17"/>
          <w:color w:val="auto"/>
        </w:rPr>
        <w:t>”) of the Company’s Series E convertible preferred stock, par value $0.0001. SHSTVC acquired the Series E Shares prior to the IPO in connection with SHSTVC’s disposition to the Company of its equity interests in ACM Research (Shanghai), Inc. (“</w:t>
      </w:r>
      <w:r>
        <w:rPr>
          <w:rFonts w:ascii="Arial" w:cs="Arial" w:eastAsia="Arial" w:hAnsi="Arial"/>
          <w:sz w:val="17"/>
          <w:szCs w:val="17"/>
          <w:u w:val="single" w:color="auto"/>
          <w:color w:val="auto"/>
        </w:rPr>
        <w:t>ACM Shanghai</w:t>
      </w:r>
      <w:r>
        <w:rPr>
          <w:rFonts w:ascii="Arial" w:cs="Arial" w:eastAsia="Arial" w:hAnsi="Arial"/>
          <w:sz w:val="17"/>
          <w:szCs w:val="17"/>
          <w:color w:val="auto"/>
        </w:rPr>
        <w:t>”), an operating subsidiary of the Company (“</w:t>
      </w:r>
      <w:r>
        <w:rPr>
          <w:rFonts w:ascii="Arial" w:cs="Arial" w:eastAsia="Arial" w:hAnsi="Arial"/>
          <w:sz w:val="17"/>
          <w:szCs w:val="17"/>
          <w:u w:val="single" w:color="auto"/>
          <w:color w:val="auto"/>
        </w:rPr>
        <w:t>ACM Shanghai</w:t>
      </w:r>
      <w:r>
        <w:rPr>
          <w:rFonts w:ascii="Arial" w:cs="Arial" w:eastAsia="Arial" w:hAnsi="Arial"/>
          <w:sz w:val="17"/>
          <w:szCs w:val="17"/>
          <w:color w:val="auto"/>
        </w:rPr>
        <w:t>”). The parties to such transaction valued the equity interest in ACM Shanghai at approximately $5,800,000 in connection with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The shares of Class A Common Stock beneficially owned by PDSTVC, other than those acquired pursuant to the March Stock Dividend, were acquired by Pudong Science and Technology (Cayman) Co., Ltd. (“</w:t>
      </w:r>
      <w:r>
        <w:rPr>
          <w:rFonts w:ascii="Arial" w:cs="Arial" w:eastAsia="Arial" w:hAnsi="Arial"/>
          <w:sz w:val="18"/>
          <w:szCs w:val="18"/>
          <w:u w:val="single" w:color="auto"/>
          <w:color w:val="auto"/>
        </w:rPr>
        <w:t>PST</w:t>
      </w:r>
      <w:r>
        <w:rPr>
          <w:rFonts w:ascii="Arial" w:cs="Arial" w:eastAsia="Arial" w:hAnsi="Arial"/>
          <w:sz w:val="18"/>
          <w:szCs w:val="18"/>
          <w:color w:val="auto"/>
        </w:rPr>
        <w:t>”), an indirect wholly-owned subsidiary of PDSTVC, in September 2017 in connection its disposition of its equity interests in ACM Shanghai to the Company. The parties to such transaction valued such shares of Class A Common Stock at $7.50 per share in connection with such transaction.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2022, the Company paid a stock dividend of two shares of Class A Common Stock for each share of outstanding Class A Common Stock (the “</w:t>
      </w:r>
      <w:r>
        <w:rPr>
          <w:rFonts w:ascii="Arial" w:cs="Arial" w:eastAsia="Arial" w:hAnsi="Arial"/>
          <w:sz w:val="18"/>
          <w:szCs w:val="18"/>
          <w:u w:val="single" w:color="auto"/>
          <w:color w:val="auto"/>
        </w:rPr>
        <w:t>March Stock Dividend</w:t>
      </w:r>
      <w:r>
        <w:rPr>
          <w:rFonts w:ascii="Arial" w:cs="Arial" w:eastAsia="Arial" w:hAnsi="Arial"/>
          <w:sz w:val="18"/>
          <w:szCs w:val="18"/>
          <w:color w:val="auto"/>
        </w:rPr>
        <w:t>”) to holders of record, including the Reporting Persons, of such Class A Common Stock.</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4.</w:t>
      </w:r>
      <w:r>
        <w:rPr>
          <w:sz w:val="20"/>
          <w:szCs w:val="20"/>
          <w:color w:val="auto"/>
        </w:rPr>
        <w:tab/>
      </w:r>
      <w:r>
        <w:rPr>
          <w:rFonts w:ascii="Arial" w:cs="Arial" w:eastAsia="Arial" w:hAnsi="Arial"/>
          <w:sz w:val="16"/>
          <w:szCs w:val="16"/>
          <w:i w:val="1"/>
          <w:iCs w:val="1"/>
          <w:color w:val="auto"/>
        </w:rPr>
        <w:t>Purpose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Items 3 and 6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have acquired the shares reported herein for investment purposes.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Yinan Xiang, an employee of an affiliate of SHSTVC, serves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Ms. Xiang replaced Xiao Xing (a former member of the Board) who was nominated to the Board as SHSTVC’s designee pursuant to a voting agreement that is no longer in effect. At the time of such replacement SHSTVC did not have, and SHSTVC does not currently have, a contractual right to designate or nominate a director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Depending on various factors and subject to the obligations described herein, the Reporting Persons may take such actions with respect to their investments in the Company as they deem appropriate, including, without limitation, (i) acquiring additional shares of Class A Common Stock, directly or indirectly, in the open market or in private transactions on such terms and at such times as it deems appropriate, (ii) selling some or all of their beneficial or economic holdings, (iii) engaging in hedging or similar transactions with respect to the securities relating to the Company and/or (iv) otherwise changing their intention with respect to any and all matters referred to in this Item 4 of Schedule 13D.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5. Interest in Securities of the Issuer.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the current amount and percentage of shares of Class A Common Stock beneficially owned by each Reporting Person is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1140" w:hanging="570"/>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Shanghai Science and Technology Venture Capital Co., Ltd.</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Number of shares:</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3,438,510</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Percentage of shares:</w:t>
            </w:r>
          </w:p>
        </w:tc>
        <w:tc>
          <w:tcPr>
            <w:tcW w:w="1080" w:type="dxa"/>
            <w:vAlign w:val="bottom"/>
          </w:tcPr>
          <w:p>
            <w:pPr>
              <w:ind w:left="36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left="1140" w:hanging="570"/>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Shanghai Pudong Science and Technology Investment Group Co., Ltd.</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Number of shares:</w:t>
            </w:r>
          </w:p>
        </w:tc>
        <w:tc>
          <w:tcPr>
            <w:tcW w:w="1080" w:type="dxa"/>
            <w:vAlign w:val="bottom"/>
          </w:tcPr>
          <w:p>
            <w:pPr>
              <w:ind w:left="360"/>
              <w:spacing w:after="0"/>
              <w:rPr>
                <w:sz w:val="20"/>
                <w:szCs w:val="20"/>
                <w:color w:val="auto"/>
              </w:rPr>
            </w:pPr>
            <w:r>
              <w:rPr>
                <w:rFonts w:ascii="Arial" w:cs="Arial" w:eastAsia="Arial" w:hAnsi="Arial"/>
                <w:sz w:val="18"/>
                <w:szCs w:val="18"/>
                <w:color w:val="auto"/>
                <w:w w:val="87"/>
              </w:rPr>
              <w:t>3,358,728</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Percentage of shares:</w:t>
            </w:r>
          </w:p>
        </w:tc>
        <w:tc>
          <w:tcPr>
            <w:tcW w:w="1080" w:type="dxa"/>
            <w:vAlign w:val="bottom"/>
          </w:tcPr>
          <w:p>
            <w:pPr>
              <w:ind w:left="360"/>
              <w:spacing w:after="0"/>
              <w:rPr>
                <w:sz w:val="20"/>
                <w:szCs w:val="20"/>
                <w:color w:val="auto"/>
              </w:rPr>
            </w:pPr>
            <w:r>
              <w:rPr>
                <w:rFonts w:ascii="Arial" w:cs="Arial" w:eastAsia="Arial" w:hAnsi="Arial"/>
                <w:sz w:val="18"/>
                <w:szCs w:val="18"/>
                <w:color w:val="auto"/>
              </w:rPr>
              <w:t>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3" w:lineRule="exact"/>
        <w:rPr>
          <w:sz w:val="20"/>
          <w:szCs w:val="20"/>
          <w:color w:val="auto"/>
        </w:rPr>
      </w:pPr>
    </w:p>
    <w:p>
      <w:pPr>
        <w:ind w:left="1140" w:hanging="57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Shanghai Pudong Science and Technology Investment Group Co., Ltd.</w:t>
      </w:r>
    </w:p>
    <w:p>
      <w:pPr>
        <w:spacing w:after="0" w:line="21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3,438,510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3,438,510</w:t>
      </w:r>
    </w:p>
    <w:p>
      <w:pPr>
        <w:spacing w:after="0" w:line="210" w:lineRule="exact"/>
        <w:rPr>
          <w:rFonts w:ascii="Arial" w:cs="Arial" w:eastAsia="Arial" w:hAnsi="Arial"/>
          <w:sz w:val="18"/>
          <w:szCs w:val="18"/>
          <w:color w:val="auto"/>
        </w:rPr>
      </w:pPr>
    </w:p>
    <w:p>
      <w:pPr>
        <w:ind w:left="1140" w:hanging="570"/>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Shanghai Pudong Science and Technology Investment Group Co., Ltd</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3,358,728</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3,358,728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Each of the Reporting Persons is a member of a “group” for purposes of Rule 13d-3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the other Reporting Person as a result of the Coordination Agreement (as defined in Item 6 below). Such group beneficially owns, in the aggregate 6,797,238 shares of Class A Common Stock, or approximately 12.39% of the outstanding shares of Class A Common Stock. SHSTVC may be deemed to beneficially own shares held by PDSTVC as a result of its rights under the Coordination Agreement; however, the shares held by PDSTVC are not included in the number of shares reported as beneficially owned by SHSTVC in this Schedule 13D. Additionally, in December 2022 SHSTVC acquired a 46% equity interest in PDSTVC. However, prior to the execution of the Coordination Agreement, SHSTVC did not have voting control in respect of the shares of Class A Common Stock held by PDSTVC.</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percentage of Class A Common Stock beneficially owned by the Reporting Persons (including the group formed by the Reporting Persons) reflects 54,852,681 shares of Class A Common Stock outstanding as set forth in the Issuer’s Quarterly Report on Form 10-Q for the quarterly period ended March 31, 2023.</w:t>
      </w:r>
    </w:p>
    <w:p>
      <w:pPr>
        <w:spacing w:after="0" w:line="18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Reporting Person has effected any transactions in the Common Stock during the past 60 days.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6.</w:t>
      </w:r>
      <w:r>
        <w:rPr>
          <w:sz w:val="20"/>
          <w:szCs w:val="20"/>
          <w:color w:val="auto"/>
        </w:rPr>
        <w:tab/>
      </w:r>
      <w:r>
        <w:rPr>
          <w:rFonts w:ascii="Arial" w:cs="Arial" w:eastAsia="Arial" w:hAnsi="Arial"/>
          <w:sz w:val="16"/>
          <w:szCs w:val="16"/>
          <w:i w:val="1"/>
          <w:iCs w:val="1"/>
          <w:color w:val="auto"/>
        </w:rPr>
        <w:t>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Coordination Agreement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29, 2023, the Reporting Persons entered into a Coordination Agreement (the “Coordination Agreement”). Pursuant to the Coordination Agreement, the Reporting Persons agreed not to transfer any shares of Class A Common Stock held by them without the consent of SHSTVC and to otherwise coordinate with one another in connection with any such transfers. The Reporting Persons further agreed to vote all shares of Class A Common stock held by them as of the date of the Coordination Agreement as determined by SHSTVC. As a result of the Coordination Agreement, as of May 29, 2023, the Reporting Persons became members a group with one another for purposes of Section 13(d)(3) of the Securities Exchange Act of 1934, as amended.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certain material terms of the Coordination Agreement is a summary only and is qualified in its entirety by reference to the full text of the Coordination Agreement, a copy of which is filed as Exhibit 1 to this Schedule 13D.</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7.</w:t>
      </w:r>
      <w:r>
        <w:rPr>
          <w:sz w:val="20"/>
          <w:szCs w:val="20"/>
          <w:color w:val="auto"/>
        </w:rPr>
        <w:tab/>
      </w:r>
      <w:r>
        <w:rPr>
          <w:rFonts w:ascii="Arial" w:cs="Arial" w:eastAsia="Arial" w:hAnsi="Arial"/>
          <w:sz w:val="16"/>
          <w:szCs w:val="16"/>
          <w:i w:val="1"/>
          <w:iCs w:val="1"/>
          <w:color w:val="auto"/>
        </w:rPr>
        <w:t>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Coordination Agreement, dated May 29, 2023, by and between SHSTVC and PDSTVC*.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Joint Filing Agreement dated as of June 12, 2023 by and among the Reporting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13,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SHANGHAI SCIENCE AND TECHNOLOGY VENTURE CAPITAL CO.,</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SHANGHAI PUDONG SCIENCE AND TECHNOLOGY INVESTMENT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GROUP CO., 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ind w:left="10420"/>
        <w:spacing w:after="0"/>
        <w:rPr>
          <w:sz w:val="20"/>
          <w:szCs w:val="20"/>
          <w:color w:val="auto"/>
        </w:rPr>
      </w:pPr>
      <w:r>
        <w:rPr>
          <w:rFonts w:ascii="Arial" w:cs="Arial" w:eastAsia="Arial" w:hAnsi="Arial"/>
          <w:sz w:val="16"/>
          <w:szCs w:val="16"/>
          <w:u w:val="single" w:color="auto"/>
          <w:color w:val="auto"/>
        </w:rPr>
        <w:t>Schedule A</w:t>
      </w:r>
    </w:p>
    <w:p>
      <w:pPr>
        <w:spacing w:after="0" w:line="248" w:lineRule="exact"/>
        <w:rPr>
          <w:sz w:val="20"/>
          <w:szCs w:val="20"/>
          <w:color w:val="auto"/>
        </w:rPr>
      </w:pPr>
    </w:p>
    <w:p>
      <w:pPr>
        <w:jc w:val="both"/>
        <w:ind w:firstLine="428"/>
        <w:spacing w:after="0" w:line="263" w:lineRule="auto"/>
        <w:rPr>
          <w:sz w:val="20"/>
          <w:szCs w:val="20"/>
          <w:color w:val="auto"/>
        </w:rPr>
      </w:pPr>
      <w:r>
        <w:rPr>
          <w:rFonts w:ascii="Arial" w:cs="Arial" w:eastAsia="Arial" w:hAnsi="Arial"/>
          <w:sz w:val="18"/>
          <w:szCs w:val="18"/>
          <w:color w:val="auto"/>
        </w:rPr>
        <w:t>The following sets forth the name, position, address and principal occupation of each control person, director and/or executive officer of the Reporting Persons (the "Related Persons"). To the best of the Reporting Person's knowledge, none of the Related Persons owns any shares of Class A Common Stock or is party to any contract or agreement as would require disclosure in this Schedule 13D.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Persons of SHSTVC</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Position</w:t>
            </w:r>
          </w:p>
        </w:tc>
        <w:tc>
          <w:tcPr>
            <w:tcW w:w="2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Address</w:t>
            </w:r>
          </w:p>
        </w:tc>
        <w:tc>
          <w:tcPr>
            <w:tcW w:w="2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Principal Occupation</w:t>
            </w: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State-owned Assets Supervision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15F, 100 Dagu Rd., Huangpu</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Fulfill the obligations as a state-</w:t>
            </w:r>
          </w:p>
        </w:tc>
      </w:tr>
      <w:tr>
        <w:trPr>
          <w:trHeight w:val="21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Administration Commission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District, Shanghai, PRC</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owned asset shareholder</w:t>
            </w:r>
          </w:p>
        </w:tc>
      </w:tr>
      <w:tr>
        <w:trPr>
          <w:trHeight w:val="230"/>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Shanghai</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Hongyan FU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Chair of the Board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Chairman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Xiaobo WANG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Xiaoying WU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Honghai XU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Hongzhi TAO</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Min ZHU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Vice General Manager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Employee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Yun ZHU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Vice General Manager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Employee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Yi’nan XIANG</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Vice General Manager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Employee of SHSTVC</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560"/>
        </w:trPr>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Related Persons of PDSTVC</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2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Position</w:t>
            </w:r>
          </w:p>
        </w:tc>
        <w:tc>
          <w:tcPr>
            <w:tcW w:w="2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Address</w:t>
            </w:r>
          </w:p>
        </w:tc>
        <w:tc>
          <w:tcPr>
            <w:tcW w:w="2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Principal Occupation</w:t>
            </w: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State-owned Assets Supervision and</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Unit B, Room 1201, 289 Chunxiao</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Fulfill the obligations as a state-</w:t>
            </w:r>
          </w:p>
        </w:tc>
      </w:tr>
      <w:tr>
        <w:trPr>
          <w:trHeight w:val="21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Administration Commission of</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Rd., China (Shanghai) Pilot Free</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owned asset shareholder</w:t>
            </w:r>
          </w:p>
        </w:tc>
      </w:tr>
      <w:tr>
        <w:trPr>
          <w:trHeight w:val="21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Pudong District of Shanghai</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Trade Zone</w:t>
            </w:r>
          </w:p>
        </w:tc>
        <w:tc>
          <w:tcPr>
            <w:tcW w:w="2800" w:type="dxa"/>
            <w:vAlign w:val="bottom"/>
            <w:tcBorders>
              <w:right w:val="single" w:sz="8" w:color="auto"/>
            </w:tcBorders>
          </w:tcPr>
          <w:p>
            <w:pPr>
              <w:spacing w:after="0"/>
              <w:rPr>
                <w:sz w:val="18"/>
                <w:szCs w:val="18"/>
                <w:color w:val="auto"/>
              </w:rPr>
            </w:pPr>
          </w:p>
        </w:tc>
      </w:tr>
      <w:tr>
        <w:trPr>
          <w:trHeight w:val="230"/>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Municipal</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Shanghai Science and Technology</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Building 1, 475 E. Jin’an Rd.,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Equity investments and other</w:t>
            </w:r>
          </w:p>
        </w:tc>
      </w:tr>
      <w:tr>
        <w:trPr>
          <w:trHeight w:val="230"/>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Venture Capital (Group) Co., Ltd</w:t>
            </w: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investment services</w:t>
            </w: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Shanghai Municipal Finance Bureau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Shareholder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800 Zhaojiabang Rd., Huangpu</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Financial oversight</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District, Shanghai, PRC</w:t>
            </w:r>
          </w:p>
        </w:tc>
        <w:tc>
          <w:tcPr>
            <w:tcW w:w="2800" w:type="dxa"/>
            <w:vAlign w:val="bottom"/>
            <w:tcBorders>
              <w:right w:val="single" w:sz="8" w:color="auto"/>
            </w:tcBorders>
          </w:tcPr>
          <w:p>
            <w:pPr>
              <w:spacing w:after="0"/>
              <w:rPr>
                <w:sz w:val="20"/>
                <w:szCs w:val="20"/>
                <w:color w:val="auto"/>
              </w:rPr>
            </w:pPr>
          </w:p>
        </w:tc>
      </w:tr>
      <w:tr>
        <w:trPr>
          <w:trHeight w:val="40"/>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23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Hongyan FU</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Director</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Floor 17, #118 Rongke Road,</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Participate in the operation and</w:t>
            </w:r>
          </w:p>
        </w:tc>
      </w:tr>
      <w:tr>
        <w:trPr>
          <w:trHeight w:val="230"/>
        </w:trPr>
        <w:tc>
          <w:tcPr>
            <w:tcW w:w="2840" w:type="dxa"/>
            <w:vAlign w:val="bottom"/>
            <w:tcBorders>
              <w:left w:val="single" w:sz="8" w:color="auto"/>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Pudong District, Shanghai, PRC</w:t>
            </w:r>
          </w:p>
        </w:tc>
        <w:tc>
          <w:tcPr>
            <w:tcW w:w="2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management of the PDSTVC</w:t>
            </w:r>
          </w:p>
        </w:tc>
      </w:tr>
      <w:tr>
        <w:trPr>
          <w:trHeight w:val="41"/>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560"/>
        </w:trPr>
        <w:tc>
          <w:tcPr>
            <w:tcW w:w="2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Exhibit Index</w:t>
            </w:r>
          </w:p>
        </w:tc>
        <w:tc>
          <w:tcPr>
            <w:tcW w:w="84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0"/>
        </w:trPr>
        <w:tc>
          <w:tcPr>
            <w:tcW w:w="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Number</w:t>
            </w:r>
          </w:p>
        </w:tc>
        <w:tc>
          <w:tcPr>
            <w:tcW w:w="1100" w:type="dxa"/>
            <w:vAlign w:val="bottom"/>
          </w:tcPr>
          <w:p>
            <w:pPr>
              <w:spacing w:after="0"/>
              <w:rPr>
                <w:sz w:val="16"/>
                <w:szCs w:val="16"/>
                <w:color w:val="auto"/>
              </w:rPr>
            </w:pPr>
          </w:p>
        </w:tc>
        <w:tc>
          <w:tcPr>
            <w:tcW w:w="8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Description</w:t>
            </w:r>
          </w:p>
        </w:tc>
        <w:tc>
          <w:tcPr>
            <w:tcW w:w="5600" w:type="dxa"/>
            <w:vAlign w:val="bottom"/>
          </w:tcPr>
          <w:p>
            <w:pPr>
              <w:spacing w:after="0"/>
              <w:rPr>
                <w:sz w:val="16"/>
                <w:szCs w:val="16"/>
                <w:color w:val="auto"/>
              </w:rPr>
            </w:pPr>
          </w:p>
        </w:tc>
      </w:tr>
      <w:tr>
        <w:trPr>
          <w:trHeight w:val="453"/>
        </w:trPr>
        <w:tc>
          <w:tcPr>
            <w:tcW w:w="1700" w:type="dxa"/>
            <w:vAlign w:val="bottom"/>
            <w:gridSpan w:val="2"/>
          </w:tcPr>
          <w:p>
            <w:pPr>
              <w:spacing w:after="0"/>
              <w:rPr>
                <w:sz w:val="20"/>
                <w:szCs w:val="20"/>
                <w:color w:val="auto"/>
              </w:rPr>
            </w:pPr>
            <w:r>
              <w:rPr>
                <w:rFonts w:ascii="Arial" w:cs="Arial" w:eastAsia="Arial" w:hAnsi="Arial"/>
                <w:sz w:val="18"/>
                <w:szCs w:val="18"/>
                <w:color w:val="auto"/>
              </w:rPr>
              <w:t>Exhibit 1</w:t>
            </w:r>
          </w:p>
        </w:tc>
        <w:tc>
          <w:tcPr>
            <w:tcW w:w="6440" w:type="dxa"/>
            <w:vAlign w:val="bottom"/>
            <w:gridSpan w:val="2"/>
          </w:tcPr>
          <w:p>
            <w:pPr>
              <w:spacing w:after="0"/>
              <w:rPr>
                <w:sz w:val="20"/>
                <w:szCs w:val="20"/>
                <w:color w:val="auto"/>
              </w:rPr>
            </w:pPr>
            <w:r>
              <w:rPr>
                <w:rFonts w:ascii="Arial" w:cs="Arial" w:eastAsia="Arial" w:hAnsi="Arial"/>
                <w:sz w:val="18"/>
                <w:szCs w:val="18"/>
                <w:color w:val="auto"/>
                <w:w w:val="91"/>
              </w:rPr>
              <w:t>Coordination Agreement, dated May 29, 2023, by and between SHSTVC and PDSTVC*.</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6440" w:type="dxa"/>
            <w:vAlign w:val="bottom"/>
            <w:gridSpan w:val="2"/>
          </w:tcPr>
          <w:p>
            <w:pPr>
              <w:spacing w:after="0"/>
              <w:rPr>
                <w:sz w:val="20"/>
                <w:szCs w:val="20"/>
                <w:color w:val="auto"/>
              </w:rPr>
            </w:pPr>
            <w:r>
              <w:rPr>
                <w:rFonts w:ascii="Arial" w:cs="Arial" w:eastAsia="Arial" w:hAnsi="Arial"/>
                <w:sz w:val="18"/>
                <w:szCs w:val="18"/>
                <w:color w:val="auto"/>
                <w:w w:val="90"/>
              </w:rPr>
              <w:t>Joint Filing Agreement dated as of June 12, 2023 by and among the Reporting Persons.*</w:t>
            </w: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84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ectPr>
          <w:pgSz w:w="11900" w:h="16838" w:orient="portrait"/>
          <w:cols w:equalWidth="0" w:num="1">
            <w:col w:w="10139"/>
          </w:cols>
          <w:pgMar w:left="320" w:top="80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undersigned hereby agree that this Statement on Schedule 13D with respect to the shares of common stock of ACM Research, Inc., dated the date hereof, is, and any amendments thereto signed by the undersigned shall be, filed on behalf of each of the undersigned pursuant to and in accordance with the provisions of Rule 13d-1(k) under the Securities Exchange Act of 1934, as amended. This Agreement may be executed in any number of counterparts, each of which shall be deemed an original and all of which together constitute one instrument.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hereby execute this Agreement as of this 12</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2023</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SHANGHAI SCIENCE AND TECHNOLOGY VENTURE CAPITAL CO.,</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SHANGHAI PUDONG SCIENCE AND TECHNOLOGY INVESTMENT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GROUP CO., 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2023-06-13T16:10:39Z</dcterms:created>
  <dcterms:modified xsi:type="dcterms:W3CDTF">2023-06-13T16:10:39Z</dcterms:modified>
</cp:coreProperties>
</file>