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 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Date of Report (Date of earliest event reported): </w:t>
      </w:r>
      <w:r>
        <w:rPr>
          <w:rFonts w:ascii="Times New Roman" w:hAnsi="Times New Roman"/>
          <w:b/>
          <w:color w:val="000000"/>
          <w:sz w:val="20"/>
          <w:shd w:fill="FFFFFF" w:val="clear"/>
        </w:rPr>
        <w:t>June 28, 2025</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ACM Research, Inc.</w:t>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(Exact Name of Registrant as Specified in its Charter)</w:t>
      </w:r>
    </w:p>
    <w:p>
      <w:pPr>
        <w:pStyle w:val="TextBody"/>
        <w:bidi w:val="0"/>
        <w:spacing w:before="0" w:after="0"/>
        <w:jc w:val="left"/>
        <w:rPr>
          <w:color w:val="000000"/>
          <w:shd w:fill="FFFFFF" w:val="clear"/>
        </w:rPr>
      </w:pPr>
      <w:r>
        <w:rPr>
          <w:color w:val="000000"/>
          <w:shd w:fill="FFFFFF" w:val="clear"/>
        </w:rPr>
        <w:t> </w:t>
      </w:r>
    </w:p>
    <w:tbl>
      <w:tblPr>
        <w:tblW w:w="8685" w:type="dxa"/>
        <w:jc w:val="left"/>
        <w:tblInd w:w="0" w:type="dxa"/>
        <w:tblLayout w:type="fixed"/>
        <w:tblCellMar>
          <w:top w:w="0" w:type="dxa"/>
          <w:left w:w="0" w:type="dxa"/>
          <w:bottom w:w="0" w:type="dxa"/>
          <w:right w:w="0" w:type="dxa"/>
        </w:tblCellMar>
      </w:tblPr>
      <w:tblGrid>
        <w:gridCol w:w="3740"/>
        <w:gridCol w:w="2195"/>
        <w:gridCol w:w="2750"/>
      </w:tblGrid>
      <w:tr>
        <w:trPr/>
        <w:tc>
          <w:tcPr>
            <w:tcW w:w="3740" w:type="dxa"/>
            <w:tcBorders/>
            <w:vAlign w:val="center"/>
          </w:tcPr>
          <w:p>
            <w:pPr>
              <w:pStyle w:val="TableContents"/>
              <w:bidi w:val="0"/>
              <w:spacing w:before="0" w:after="283"/>
              <w:jc w:val="center"/>
              <w:rPr>
                <w:rFonts w:ascii="Times New Roman" w:hAnsi="Times New Roman"/>
                <w:b/>
                <w:sz w:val="20"/>
              </w:rPr>
            </w:pPr>
            <w:r>
              <w:rPr>
                <w:rFonts w:ascii="Times New Roman" w:hAnsi="Times New Roman"/>
                <w:b/>
                <w:sz w:val="20"/>
              </w:rPr>
              <w:t>Delaware</w:t>
            </w:r>
          </w:p>
        </w:tc>
        <w:tc>
          <w:tcPr>
            <w:tcW w:w="2195" w:type="dxa"/>
            <w:tcBorders/>
            <w:vAlign w:val="center"/>
          </w:tcPr>
          <w:p>
            <w:pPr>
              <w:pStyle w:val="TableContents"/>
              <w:bidi w:val="0"/>
              <w:spacing w:before="0" w:after="283"/>
              <w:jc w:val="center"/>
              <w:rPr>
                <w:rFonts w:ascii="Times New Roman" w:hAnsi="Times New Roman"/>
                <w:b/>
                <w:sz w:val="20"/>
              </w:rPr>
            </w:pPr>
            <w:r>
              <w:rPr>
                <w:rFonts w:ascii="Times New Roman" w:hAnsi="Times New Roman"/>
                <w:b/>
                <w:sz w:val="20"/>
              </w:rPr>
              <w:t>001-38273</w:t>
            </w:r>
          </w:p>
        </w:tc>
        <w:tc>
          <w:tcPr>
            <w:tcW w:w="2750" w:type="dxa"/>
            <w:tcBorders/>
            <w:vAlign w:val="center"/>
          </w:tcPr>
          <w:p>
            <w:pPr>
              <w:pStyle w:val="TableContents"/>
              <w:bidi w:val="0"/>
              <w:spacing w:before="0" w:after="283"/>
              <w:jc w:val="center"/>
              <w:rPr>
                <w:rFonts w:ascii="Times New Roman" w:hAnsi="Times New Roman"/>
                <w:b/>
                <w:sz w:val="20"/>
              </w:rPr>
            </w:pPr>
            <w:r>
              <w:rPr>
                <w:rFonts w:ascii="Times New Roman" w:hAnsi="Times New Roman"/>
                <w:b/>
                <w:sz w:val="20"/>
              </w:rPr>
              <w:t>94-3290283</w:t>
            </w:r>
          </w:p>
        </w:tc>
      </w:tr>
      <w:tr>
        <w:trPr/>
        <w:tc>
          <w:tcPr>
            <w:tcW w:w="374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(State or Other Jurisdiction of Incorporation)</w:t>
            </w:r>
          </w:p>
        </w:tc>
        <w:tc>
          <w:tcPr>
            <w:tcW w:w="2195"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(Commission File Number)</w:t>
            </w:r>
          </w:p>
        </w:tc>
        <w:tc>
          <w:tcPr>
            <w:tcW w:w="275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4225" w:type="dxa"/>
        <w:jc w:val="left"/>
        <w:tblInd w:w="0" w:type="dxa"/>
        <w:tblLayout w:type="fixed"/>
        <w:tblCellMar>
          <w:top w:w="0" w:type="dxa"/>
          <w:left w:w="0" w:type="dxa"/>
          <w:bottom w:w="0" w:type="dxa"/>
          <w:right w:w="0" w:type="dxa"/>
        </w:tblCellMar>
      </w:tblPr>
      <w:tblGrid>
        <w:gridCol w:w="3275"/>
        <w:gridCol w:w="60"/>
        <w:gridCol w:w="890"/>
      </w:tblGrid>
      <w:tr>
        <w:trPr/>
        <w:tc>
          <w:tcPr>
            <w:tcW w:w="327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42307 Osgood Road, Suite I</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Fremont, California</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94539</w:t>
            </w:r>
          </w:p>
        </w:tc>
      </w:tr>
      <w:tr>
        <w:trPr/>
        <w:tc>
          <w:tcPr>
            <w:tcW w:w="3275"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(Address of Principal Executive Offices)</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(Zip Code)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 </w:t>
      </w:r>
      <w:r>
        <w:rPr>
          <w:rFonts w:ascii="Times New Roman" w:hAnsi="Times New Roman"/>
          <w:b/>
          <w:color w:val="000000"/>
          <w:sz w:val="20"/>
          <w:shd w:fill="FFFFFF" w:val="clear"/>
        </w:rPr>
        <w:t>(510) 445-3700</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color w:val="000000"/>
          <w:shd w:fill="FFFFFF" w:val="clear"/>
        </w:rPr>
      </w:pPr>
      <w:r>
        <w:rPr>
          <w:color w:val="000000"/>
          <w:shd w:fill="FFFFFF" w:val="clear"/>
        </w:rPr>
        <w:t> </w:t>
      </w:r>
    </w:p>
    <w:tbl>
      <w:tblPr>
        <w:tblW w:w="9495" w:type="dxa"/>
        <w:jc w:val="left"/>
        <w:tblInd w:w="0" w:type="dxa"/>
        <w:tblLayout w:type="fixed"/>
        <w:tblCellMar>
          <w:top w:w="0" w:type="dxa"/>
          <w:left w:w="0" w:type="dxa"/>
          <w:bottom w:w="28" w:type="dxa"/>
          <w:right w:w="0" w:type="dxa"/>
        </w:tblCellMar>
      </w:tblPr>
      <w:tblGrid>
        <w:gridCol w:w="4280"/>
        <w:gridCol w:w="60"/>
        <w:gridCol w:w="1385"/>
        <w:gridCol w:w="60"/>
        <w:gridCol w:w="3710"/>
      </w:tblGrid>
      <w:tr>
        <w:trPr/>
        <w:tc>
          <w:tcPr>
            <w:tcW w:w="428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8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428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Class A Common Stock, par value $0.0001 per share</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ACMR</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or Rule 12b-2 of the Securities Exchange Act of 1934:             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bidi w:val="0"/>
        <w:jc w:val="left"/>
        <w:rPr/>
      </w:pPr>
      <w:r>
        <w:rPr/>
      </w:r>
    </w:p>
    <w:p>
      <w:pPr>
        <w:pStyle w:val="HorizontalLine"/>
        <w:bidi w:val="0"/>
        <w:spacing w:before="200" w:after="200"/>
        <w:jc w:val="left"/>
        <w:rPr/>
      </w:pPr>
      <w:r>
        <w:rPr/>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8.01</w:t>
            </w:r>
          </w:p>
        </w:tc>
        <w:tc>
          <w:tcPr>
            <w:tcW w:w="1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Other Events.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June 28, 2025, ACM Research (Shanghai), Inc. (“ACM Shanghai”), the operating subsidiary of ACM Research, Inc. (“ACM”), announced that it received registration approval from the China Securities Regulatory Commission (the “CSRC”) for its proposed private offering of ordinary shares to qualified buyers (the “Private Offering”).</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approval permits ACM Shanghai to proceed with the Private Offering within 12 months from the date of approval. As previously disclosed by ACM on January 25, 2024, the proposed Private Offering is for up to 10% of ACM Shanghai’s share capital prior to the offering. Based on ACM Shanghai’s latest share capital, the number of shares to be offered has been updated to reflect the recent exercise of employee stock options. The Private Offering now provides for the issuance of up to 44.1 million ordinary shares, with expected gross proceeds of up to RMB 4.5 billion (approximately $625 million).</w:t>
      </w:r>
    </w:p>
    <w:p>
      <w:pPr>
        <w:pStyle w:val="TextBody"/>
        <w:bidi w:val="0"/>
        <w:spacing w:before="0" w:after="0"/>
        <w:jc w:val="left"/>
        <w:rPr>
          <w:rFonts w:ascii="Times New Roman" w:hAnsi="Times New Roman"/>
          <w:sz w:val="20"/>
        </w:rPr>
      </w:pPr>
      <w:r>
        <w:rPr>
          <w:rFonts w:ascii="Times New Roman" w:hAnsi="Times New Roman"/>
          <w:sz w:val="20"/>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color w:val="000000"/>
          <w:shd w:fill="FFFFFF" w:val="clear"/>
        </w:rPr>
      </w:pPr>
      <w:r>
        <w:rPr>
          <w:color w:val="000000"/>
          <w:shd w:fill="FFFFFF" w:val="clear"/>
        </w:rPr>
        <w:t> </w:t>
      </w:r>
    </w:p>
    <w:tbl>
      <w:tblPr>
        <w:tblW w:w="1045" w:type="dxa"/>
        <w:jc w:val="left"/>
        <w:tblInd w:w="0" w:type="dxa"/>
        <w:tblLayout w:type="fixed"/>
        <w:tblCellMar>
          <w:top w:w="0" w:type="dxa"/>
          <w:left w:w="0" w:type="dxa"/>
          <w:bottom w:w="0" w:type="dxa"/>
          <w:right w:w="0" w:type="dxa"/>
        </w:tblCellMar>
      </w:tblPr>
      <w:tblGrid>
        <w:gridCol w:w="260"/>
        <w:gridCol w:w="785"/>
      </w:tblGrid>
      <w:tr>
        <w:trPr/>
        <w:tc>
          <w:tcPr>
            <w:tcW w:w="26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(d)</w:t>
            </w:r>
          </w:p>
        </w:tc>
        <w:tc>
          <w:tcPr>
            <w:tcW w:w="78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Exhibits.</w:t>
            </w:r>
          </w:p>
        </w:tc>
      </w:tr>
    </w:tbl>
    <w:p>
      <w:pPr>
        <w:pStyle w:val="TextBody"/>
        <w:bidi w:val="0"/>
        <w:spacing w:before="0" w:after="0"/>
        <w:jc w:val="left"/>
        <w:rPr>
          <w:color w:val="000000"/>
          <w:shd w:fill="FFFFFF" w:val="clear"/>
        </w:rPr>
      </w:pPr>
      <w:r>
        <w:rPr>
          <w:color w:val="000000"/>
          <w:shd w:fill="FFFFFF" w:val="clear"/>
        </w:rPr>
        <w:t> </w:t>
      </w:r>
    </w:p>
    <w:tbl>
      <w:tblPr>
        <w:tblW w:w="6685" w:type="dxa"/>
        <w:jc w:val="left"/>
        <w:tblInd w:w="0" w:type="dxa"/>
        <w:tblLayout w:type="fixed"/>
        <w:tblCellMar>
          <w:top w:w="0" w:type="dxa"/>
          <w:left w:w="0" w:type="dxa"/>
          <w:bottom w:w="28" w:type="dxa"/>
          <w:right w:w="0" w:type="dxa"/>
        </w:tblCellMar>
      </w:tblPr>
      <w:tblGrid>
        <w:gridCol w:w="665"/>
        <w:gridCol w:w="60"/>
        <w:gridCol w:w="5960"/>
      </w:tblGrid>
      <w:tr>
        <w:trPr/>
        <w:tc>
          <w:tcPr>
            <w:tcW w:w="665"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Exhibit</w:t>
            </w:r>
          </w:p>
        </w:tc>
        <w:tc>
          <w:tcPr>
            <w:tcW w:w="60" w:type="dxa"/>
            <w:tcBorders/>
            <w:tcMar>
              <w:bottom w:w="0" w:type="dxa"/>
            </w:tcMar>
            <w:vAlign w:val="center"/>
          </w:tcPr>
          <w:p>
            <w:pPr>
              <w:pStyle w:val="TableContents"/>
              <w:bidi w:val="0"/>
              <w:spacing w:before="0" w:after="283"/>
              <w:jc w:val="left"/>
              <w:rPr/>
            </w:pPr>
            <w:r>
              <w:rPr/>
              <w:t> </w:t>
            </w:r>
          </w:p>
        </w:tc>
        <w:tc>
          <w:tcPr>
            <w:tcW w:w="5960"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6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104</w:t>
            </w:r>
          </w:p>
        </w:tc>
        <w:tc>
          <w:tcPr>
            <w:tcW w:w="60" w:type="dxa"/>
            <w:tcBorders/>
            <w:tcMar>
              <w:bottom w:w="0" w:type="dxa"/>
            </w:tcMar>
            <w:vAlign w:val="center"/>
          </w:tcPr>
          <w:p>
            <w:pPr>
              <w:pStyle w:val="TableContents"/>
              <w:bidi w:val="0"/>
              <w:spacing w:before="0" w:after="283"/>
              <w:jc w:val="left"/>
              <w:rPr/>
            </w:pPr>
            <w:r>
              <w:rPr/>
              <w:t> </w:t>
            </w:r>
          </w:p>
        </w:tc>
        <w:tc>
          <w:tcPr>
            <w:tcW w:w="5960"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Cover Page Interactive Data File (embedded within the XBRL document)</w:t>
            </w:r>
          </w:p>
        </w:tc>
      </w:tr>
    </w:tbl>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olor w:val="000000"/>
          <w:shd w:fill="FFFFFF" w:val="clear"/>
        </w:rPr>
      </w:pPr>
      <w:r>
        <w:rPr>
          <w:color w:val="000000"/>
          <w:shd w:fill="FFFFFF" w:val="clear"/>
        </w:rPr>
        <w:t> </w:t>
      </w:r>
    </w:p>
    <w:tbl>
      <w:tblPr>
        <w:tblW w:w="5085" w:type="dxa"/>
        <w:jc w:val="left"/>
        <w:tblInd w:w="0" w:type="dxa"/>
        <w:tblLayout w:type="fixed"/>
        <w:tblCellMar>
          <w:top w:w="0" w:type="dxa"/>
          <w:left w:w="0" w:type="dxa"/>
          <w:bottom w:w="0" w:type="dxa"/>
          <w:right w:w="0" w:type="dxa"/>
        </w:tblCellMar>
      </w:tblPr>
      <w:tblGrid>
        <w:gridCol w:w="1745"/>
        <w:gridCol w:w="320"/>
        <w:gridCol w:w="3020"/>
      </w:tblGrid>
      <w:tr>
        <w:trPr/>
        <w:tc>
          <w:tcPr>
            <w:tcW w:w="1745" w:type="dxa"/>
            <w:tcBorders/>
            <w:vAlign w:val="center"/>
          </w:tcPr>
          <w:p>
            <w:pPr>
              <w:pStyle w:val="TableContents"/>
              <w:bidi w:val="0"/>
              <w:spacing w:before="0" w:after="283"/>
              <w:jc w:val="left"/>
              <w:rPr/>
            </w:pPr>
            <w:r>
              <w:rPr/>
              <w:t> </w:t>
            </w:r>
          </w:p>
        </w:tc>
        <w:tc>
          <w:tcPr>
            <w:tcW w:w="3340"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ACM RESEARCH, INC.</w:t>
            </w:r>
          </w:p>
        </w:tc>
      </w:tr>
      <w:tr>
        <w:trPr/>
        <w:tc>
          <w:tcPr>
            <w:tcW w:w="1745" w:type="dxa"/>
            <w:tcBorders/>
            <w:vAlign w:val="center"/>
          </w:tcPr>
          <w:p>
            <w:pPr>
              <w:pStyle w:val="TableContents"/>
              <w:bidi w:val="0"/>
              <w:spacing w:before="0" w:after="283"/>
              <w:jc w:val="left"/>
              <w:rPr/>
            </w:pPr>
            <w:r>
              <w:rPr/>
              <w:t> </w:t>
            </w:r>
          </w:p>
        </w:tc>
        <w:tc>
          <w:tcPr>
            <w:tcW w:w="3340" w:type="dxa"/>
            <w:gridSpan w:val="2"/>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02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Mark McKechnie</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 McKechnie</w:t>
            </w:r>
          </w:p>
        </w:tc>
      </w:tr>
      <w:tr>
        <w:trPr/>
        <w:tc>
          <w:tcPr>
            <w:tcW w:w="17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30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Financial Officer and Treasurer</w:t>
            </w:r>
          </w:p>
        </w:tc>
      </w:tr>
      <w:tr>
        <w:trPr/>
        <w:tc>
          <w:tcPr>
            <w:tcW w:w="1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Dated: June 30, 2025</w:t>
            </w:r>
          </w:p>
        </w:tc>
        <w:tc>
          <w:tcPr>
            <w:tcW w:w="3340" w:type="dxa"/>
            <w:gridSpan w:val="2"/>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506</Words>
  <Characters>2765</Characters>
  <CharactersWithSpaces>3264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