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Wangyu 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Shanghai Science and Technology Venture Capital (Group) Co.,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Bohua Plaza, 39th Floor 669, Xinzha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Jing'an District, Shanghai, People’s Republic Of China 200041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+86 021 2230 2882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Lufei Liu</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Shanghai Pudong Innotek Capital Co.,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118 Rongke Road, 17th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Pudong New Area, Shanghai, People’s Republic of China 200120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6 Pages)</w:t>
      </w:r>
    </w:p>
    <w:p>
      <w:pPr>
        <w:spacing w:after="0" w:line="207" w:lineRule="exact"/>
        <w:rPr>
          <w:sz w:val="24"/>
          <w:szCs w:val="24"/>
          <w:color w:val="auto"/>
        </w:rPr>
      </w:pPr>
    </w:p>
    <w:p>
      <w:pPr>
        <w:ind w:right="2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920" w:val="left"/>
        </w:tabs>
        <w:rPr>
          <w:sz w:val="20"/>
          <w:szCs w:val="20"/>
          <w:color w:val="auto"/>
        </w:rPr>
      </w:pPr>
      <w:r>
        <w:rPr>
          <w:rFonts w:ascii="Times New Roman" w:cs="Times New Roman" w:eastAsia="Times New Roman" w:hAnsi="Times New Roman"/>
          <w:sz w:val="18"/>
          <w:szCs w:val="18"/>
          <w:color w:val="auto"/>
        </w:rPr>
        <w:t xml:space="preserve">CUSIP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00108J109</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81" w:lineRule="exact"/>
        <w:rPr>
          <w:sz w:val="20"/>
          <w:szCs w:val="20"/>
          <w:color w:val="auto"/>
        </w:rPr>
      </w:pPr>
    </w:p>
    <w:p>
      <w:pPr>
        <w:ind w:left="1560" w:hanging="834"/>
        <w:spacing w:after="0"/>
        <w:tabs>
          <w:tab w:leader="none" w:pos="15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Science and Technology Venture Capital (Group) Co., Ltd.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2,338,510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2,338,510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2,338,510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920" w:val="left"/>
        </w:tabs>
        <w:rPr>
          <w:sz w:val="20"/>
          <w:szCs w:val="20"/>
          <w:color w:val="auto"/>
        </w:rPr>
      </w:pPr>
      <w:r>
        <w:rPr>
          <w:rFonts w:ascii="Times New Roman" w:cs="Times New Roman" w:eastAsia="Times New Roman" w:hAnsi="Times New Roman"/>
          <w:sz w:val="18"/>
          <w:szCs w:val="18"/>
          <w:color w:val="auto"/>
        </w:rPr>
        <w:t xml:space="preserve">CUSIP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00108J109</w:t>
      </w:r>
      <w:r>
        <w:rPr>
          <w:sz w:val="20"/>
          <w:szCs w:val="20"/>
          <w:color w:val="auto"/>
        </w:rPr>
        <w:tab/>
      </w:r>
      <w:r>
        <w:rPr>
          <w:rFonts w:ascii="Times New Roman" w:cs="Times New Roman" w:eastAsia="Times New Roman" w:hAnsi="Times New Roman"/>
          <w:sz w:val="17"/>
          <w:szCs w:val="17"/>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40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6405880"/>
                    </a:xfrm>
                    <a:prstGeom prst="rect">
                      <a:avLst/>
                    </a:prstGeom>
                    <a:noFill/>
                  </pic:spPr>
                </pic:pic>
              </a:graphicData>
            </a:graphic>
          </wp:anchor>
        </w:drawing>
      </w:r>
    </w:p>
    <w:p>
      <w:pPr>
        <w:spacing w:after="0" w:line="281" w:lineRule="exact"/>
        <w:rPr>
          <w:sz w:val="20"/>
          <w:szCs w:val="20"/>
          <w:color w:val="auto"/>
        </w:rPr>
      </w:pPr>
    </w:p>
    <w:p>
      <w:pPr>
        <w:ind w:left="1560" w:hanging="834"/>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15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Shanghai Pudong Innotek Capital Co., Ltd.</w:t>
            </w:r>
            <w:r>
              <w:rPr>
                <w:rFonts w:ascii="Times New Roman" w:cs="Times New Roman" w:eastAsia="Times New Roman" w:hAnsi="Times New Roman"/>
                <w:sz w:val="29"/>
                <w:szCs w:val="29"/>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40" w:type="dxa"/>
            <w:vAlign w:val="bottom"/>
            <w:tcBorders>
              <w:left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rPr>
              <w:t>2</w:t>
            </w:r>
          </w:p>
        </w:tc>
        <w:tc>
          <w:tcPr>
            <w:tcW w:w="86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80" w:type="dxa"/>
            <w:vAlign w:val="bottom"/>
          </w:tcPr>
          <w:p>
            <w:pPr>
              <w:jc w:val="center"/>
              <w:ind w:left="110"/>
              <w:spacing w:after="0" w:line="166" w:lineRule="exact"/>
              <w:rPr>
                <w:sz w:val="20"/>
                <w:szCs w:val="20"/>
                <w:color w:val="auto"/>
              </w:rPr>
            </w:pPr>
            <w:r>
              <w:rPr>
                <w:rFonts w:ascii="Times New Roman" w:cs="Times New Roman" w:eastAsia="Times New Roman" w:hAnsi="Times New Roman"/>
                <w:sz w:val="18"/>
                <w:szCs w:val="18"/>
                <w:color w:val="auto"/>
                <w:w w:val="94"/>
              </w:rPr>
              <w:t xml:space="preserve">(a) </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jc w:val="both"/>
        <w:ind w:left="560" w:right="180" w:hanging="552"/>
        <w:spacing w:after="0" w:line="255"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Shanghai Pudong Innotek Capital Co., Ltd. refers to the same legal entity that was formerly referred to as Shanghai Pudong Science and Technology Investment Group Co., Ltd. Shanghai Pudong Innotek Capital Co., Ltd. reflects the preferred English translation of the Reporting Person’s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ind w:right="80"/>
        <w:spacing w:after="0" w:line="261"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the Schedule 13D, as amended by Amendment No. 1 and Amendment No. 2 thereto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by Shanghai Science and Technology Venture Capital (Group) Co., Ltd. (“</w:t>
      </w:r>
      <w:r>
        <w:rPr>
          <w:rFonts w:ascii="Times New Roman" w:cs="Times New Roman" w:eastAsia="Times New Roman" w:hAnsi="Times New Roman"/>
          <w:sz w:val="18"/>
          <w:szCs w:val="18"/>
          <w:u w:val="single" w:color="auto"/>
          <w:color w:val="auto"/>
        </w:rPr>
        <w:t>SHSTVC</w:t>
      </w:r>
      <w:r>
        <w:rPr>
          <w:rFonts w:ascii="Times New Roman" w:cs="Times New Roman" w:eastAsia="Times New Roman" w:hAnsi="Times New Roman"/>
          <w:sz w:val="18"/>
          <w:szCs w:val="18"/>
          <w:color w:val="auto"/>
        </w:rPr>
        <w:t>”) and Shanghai Pudong Innotek Capital Co., Ltd. (“</w:t>
      </w:r>
      <w:r>
        <w:rPr>
          <w:rFonts w:ascii="Times New Roman" w:cs="Times New Roman" w:eastAsia="Times New Roman" w:hAnsi="Times New Roman"/>
          <w:sz w:val="18"/>
          <w:szCs w:val="18"/>
          <w:u w:val="single" w:color="auto"/>
          <w:color w:val="auto"/>
        </w:rPr>
        <w:t>PDICC</w:t>
      </w:r>
      <w:r>
        <w:rPr>
          <w:rFonts w:ascii="Times New Roman" w:cs="Times New Roman" w:eastAsia="Times New Roman" w:hAnsi="Times New Roman"/>
          <w:sz w:val="18"/>
          <w:szCs w:val="18"/>
          <w:color w:val="auto"/>
        </w:rPr>
        <w:t>” and, together with SHSTVC,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Class A common stock of ACM Research, Inc. Capitalized terms used but not otherwise defined in this Amendment have the meanings ascribed to them in the Schedule 13D.</w:t>
      </w:r>
    </w:p>
    <w:p>
      <w:pPr>
        <w:spacing w:after="0" w:line="17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i w:val="1"/>
          <w:iCs w:val="1"/>
          <w:color w:val="auto"/>
        </w:rPr>
        <w:t>Item 2</w:t>
      </w:r>
      <w:r>
        <w:rPr>
          <w:sz w:val="20"/>
          <w:szCs w:val="20"/>
          <w:color w:val="auto"/>
        </w:rPr>
        <w:tab/>
      </w:r>
      <w:r>
        <w:rPr>
          <w:rFonts w:ascii="Times New Roman" w:cs="Times New Roman" w:eastAsia="Times New Roman" w:hAnsi="Times New Roman"/>
          <w:sz w:val="18"/>
          <w:szCs w:val="18"/>
          <w:i w:val="1"/>
          <w:iCs w:val="1"/>
          <w:color w:val="auto"/>
        </w:rPr>
        <w:t>Identity and Background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of the Schedule 13D is hereby amended and restated in its entirety as follows: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Statement is filed by Shanghai Science and Technology Venture Capital (Group) Co., Ltd. (“</w:t>
      </w:r>
      <w:r>
        <w:rPr>
          <w:rFonts w:ascii="Times New Roman" w:cs="Times New Roman" w:eastAsia="Times New Roman" w:hAnsi="Times New Roman"/>
          <w:sz w:val="18"/>
          <w:szCs w:val="18"/>
          <w:u w:val="single" w:color="auto"/>
          <w:color w:val="auto"/>
        </w:rPr>
        <w:t>SHSTVC</w:t>
      </w:r>
      <w:r>
        <w:rPr>
          <w:rFonts w:ascii="Times New Roman" w:cs="Times New Roman" w:eastAsia="Times New Roman" w:hAnsi="Times New Roman"/>
          <w:sz w:val="18"/>
          <w:szCs w:val="18"/>
          <w:color w:val="auto"/>
        </w:rPr>
        <w:t>”), a limited liability company established under the laws of the People’s Republic of China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and Shanghai Pudong Innotek Capital Co., Ltd. (sometimes referred to as Shanghai Pudong Science and Technology Investment Group Co., Ltd.), a limited liability company established under the laws of the PRC (“</w:t>
      </w:r>
      <w:r>
        <w:rPr>
          <w:rFonts w:ascii="Times New Roman" w:cs="Times New Roman" w:eastAsia="Times New Roman" w:hAnsi="Times New Roman"/>
          <w:sz w:val="18"/>
          <w:szCs w:val="18"/>
          <w:u w:val="single" w:color="auto"/>
          <w:color w:val="auto"/>
        </w:rPr>
        <w:t>PDICC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PDSTVC</w:t>
      </w:r>
      <w:r>
        <w:rPr>
          <w:rFonts w:ascii="Times New Roman" w:cs="Times New Roman" w:eastAsia="Times New Roman" w:hAnsi="Times New Roman"/>
          <w:sz w:val="18"/>
          <w:szCs w:val="18"/>
          <w:color w:val="auto"/>
        </w:rPr>
        <w:t>”), as a joint statement pursuant to Rule 13d-1(k)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Schedule A hereto sets forth information regarding persons referred in Instruction C to Schedule 13D (with respect to each Reporting Person, its “</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i w:val="1"/>
          <w:iCs w:val="1"/>
          <w:color w:val="auto"/>
        </w:rPr>
        <w:t>Item 4.</w:t>
      </w:r>
      <w:r>
        <w:rPr>
          <w:sz w:val="20"/>
          <w:szCs w:val="20"/>
          <w:color w:val="auto"/>
        </w:rPr>
        <w:tab/>
      </w:r>
      <w:r>
        <w:rPr>
          <w:rFonts w:ascii="Times New Roman" w:cs="Times New Roman" w:eastAsia="Times New Roman" w:hAnsi="Times New Roman"/>
          <w:sz w:val="17"/>
          <w:szCs w:val="17"/>
          <w:i w:val="1"/>
          <w:i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administrative order applicable to SHSTVC, SHSTVC transferred all of its equity interest in PDICC to a third party. In connection with such transfer, on October 25, 2024, SHSTVC and PDICC terminated the Coordination Agreement.</w:t>
      </w:r>
    </w:p>
    <w:p>
      <w:pPr>
        <w:spacing w:after="0" w:line="1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i w:val="1"/>
          <w:iCs w:val="1"/>
          <w:color w:val="auto"/>
        </w:rPr>
        <w:t>Item 5.</w:t>
      </w:r>
      <w:r>
        <w:rPr>
          <w:sz w:val="20"/>
          <w:szCs w:val="20"/>
          <w:color w:val="auto"/>
        </w:rPr>
        <w:tab/>
      </w:r>
      <w:r>
        <w:rPr>
          <w:rFonts w:ascii="Times New Roman" w:cs="Times New Roman" w:eastAsia="Times New Roman" w:hAnsi="Times New Roman"/>
          <w:sz w:val="17"/>
          <w:szCs w:val="17"/>
          <w:i w:val="1"/>
          <w:iCs w:val="1"/>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(b), (c) and (e) of the Schedule 13D are hereby amended and restated in their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1120" w:hanging="559"/>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Science and Technology Venture Capital (Group) Co., Ltd.</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2,338,510</w:t>
            </w: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8" w:lineRule="exact"/>
        <w:rPr>
          <w:sz w:val="20"/>
          <w:szCs w:val="20"/>
          <w:color w:val="auto"/>
        </w:rPr>
      </w:pPr>
    </w:p>
    <w:p>
      <w:pPr>
        <w:ind w:left="1120" w:hanging="559"/>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Pudong Innotek Capital Co., Ltd.</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3,358,728</w:t>
            </w: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percentage of Class A Common Stock beneficially owned by the Reporting Persons reflects 57,449,013 shares of Class A Common Stock outstanding as set forth in the Issuer’s Quarterly Report on Form 10-Q for the quarterly period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120" w:hanging="559"/>
        <w:spacing w:after="0"/>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Science and Technology Venture Capital (Group) Co., Ltd.</w:t>
      </w:r>
    </w:p>
    <w:p>
      <w:pPr>
        <w:spacing w:after="0" w:line="225"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2,338,510</w:t>
      </w:r>
    </w:p>
    <w:p>
      <w:pPr>
        <w:spacing w:after="0" w:line="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2,338,510</w:t>
      </w:r>
    </w:p>
    <w:p>
      <w:pPr>
        <w:spacing w:after="0" w:line="206"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Pudong Innotek Capital Co., Ltd.</w:t>
      </w:r>
    </w:p>
    <w:p>
      <w:pPr>
        <w:spacing w:after="0" w:line="225"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3,358,728</w:t>
      </w:r>
    </w:p>
    <w:p>
      <w:pPr>
        <w:spacing w:after="0" w:line="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3,358,728</w:t>
      </w:r>
    </w:p>
    <w:p>
      <w:pPr>
        <w:spacing w:after="0" w:line="206" w:lineRule="exact"/>
        <w:rPr>
          <w:rFonts w:ascii="Times New Roman" w:cs="Times New Roman" w:eastAsia="Times New Roman" w:hAnsi="Times New Roman"/>
          <w:sz w:val="18"/>
          <w:szCs w:val="18"/>
          <w:color w:val="auto"/>
        </w:rPr>
      </w:pPr>
    </w:p>
    <w:p>
      <w:pPr>
        <w:ind w:firstLine="8"/>
        <w:spacing w:after="0" w:line="282" w:lineRule="auto"/>
        <w:tabs>
          <w:tab w:leader="none" w:pos="2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Exhibit 2 to the Schedule 13D (previously filed with Amendment No. 2 to the Schedule 13D), no Reporting Person has effected any transactions in the Common Stock during the past 60 days.</w:t>
      </w:r>
    </w:p>
    <w:p>
      <w:pPr>
        <w:spacing w:after="0" w:line="162" w:lineRule="exact"/>
        <w:rPr>
          <w:sz w:val="20"/>
          <w:szCs w:val="20"/>
          <w:color w:val="auto"/>
        </w:rPr>
      </w:pPr>
    </w:p>
    <w:p>
      <w:pPr>
        <w:jc w:val="both"/>
        <w:ind w:right="60" w:firstLine="8"/>
        <w:spacing w:after="0" w:line="266"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25, 2024 (New York City time), SHSTVC and PDICC terminated the Coordination Agreement and, accordingly, are no longer members of a “group” for purposes of Rule 13d-3 under the Securities Exchange Act of 1934, as amended. As a result, SHSTVC will cease to be a Reporting Person immediately following the filing of this Amendment to the Schedule 13D.</w:t>
      </w:r>
    </w:p>
    <w:p>
      <w:pPr>
        <w:spacing w:after="0" w:line="17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i w:val="1"/>
          <w:iCs w:val="1"/>
          <w:color w:val="auto"/>
        </w:rPr>
        <w:t>Item 6.</w:t>
      </w:r>
      <w:r>
        <w:rPr>
          <w:sz w:val="20"/>
          <w:szCs w:val="20"/>
          <w:color w:val="auto"/>
        </w:rPr>
        <w:tab/>
      </w:r>
      <w:r>
        <w:rPr>
          <w:rFonts w:ascii="Times New Roman" w:cs="Times New Roman" w:eastAsia="Times New Roman" w:hAnsi="Times New Roman"/>
          <w:sz w:val="17"/>
          <w:szCs w:val="17"/>
          <w:i w:val="1"/>
          <w:iCs w:val="1"/>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by adding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25, 2024 (New York City time), SHSTVC and PDICC terminated the Coordination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SCIENCE AND TECHNOLOGY VENTURE CAPITAL (GROUP)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Wangyu 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Wangyu 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INNOTEK CAPITAL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Lufei Liu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Lufei Liu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Representative</w:t>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1"/>
    </w:lvl>
    <w:lvl w:ilvl="1">
      <w:lvlJc w:val="left"/>
      <w:lvlText w:val="(%2)"/>
      <w:numFmt w:val="decimal"/>
      <w:start w:val="1"/>
    </w:lvl>
  </w:abstractNum>
  <w:abstractNum w:abstractNumId="7">
    <w:nsid w:val="515F007C"/>
    <w:multiLevelType w:val="hybridMultilevel"/>
    <w:lvl w:ilvl="0">
      <w:lvlJc w:val="left"/>
      <w:lvlText w:val="(%1)"/>
      <w:numFmt w:val="lowerLetter"/>
      <w:start w:val="3"/>
    </w:lvl>
    <w:lvl w:ilvl="1">
      <w:lvlJc w:val="left"/>
      <w:lvlText w:val="%2"/>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2024-10-29T20:40:37Z</dcterms:created>
  <dcterms:modified xsi:type="dcterms:W3CDTF">2024-10-29T20:40:37Z</dcterms:modified>
</cp:coreProperties>
</file>