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Wang Jian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60"/>
        <w:spacing w:after="0" w:line="335" w:lineRule="auto"/>
        <w:rPr>
          <w:sz w:val="20"/>
          <w:szCs w:val="20"/>
          <w:color w:val="auto"/>
        </w:rPr>
      </w:pPr>
      <w:r>
        <w:rPr>
          <w:rFonts w:ascii="Arial" w:cs="Arial" w:eastAsia="Arial" w:hAnsi="Arial"/>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00" w:type="dxa"/>
            <w:vAlign w:val="bottom"/>
            <w:gridSpan w:val="7"/>
          </w:tcPr>
          <w:p>
            <w:pPr>
              <w:ind w:left="10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1"/>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gridSpan w:val="5"/>
          </w:tcPr>
          <w:p>
            <w:pPr>
              <w:spacing w:after="0"/>
              <w:rPr>
                <w:sz w:val="20"/>
                <w:szCs w:val="20"/>
                <w:color w:val="auto"/>
              </w:rPr>
            </w:pPr>
            <w:r>
              <w:rPr>
                <w:rFonts w:ascii="Arial" w:cs="Arial" w:eastAsia="Arial" w:hAnsi="Arial"/>
                <w:sz w:val="17"/>
                <w:szCs w:val="17"/>
                <w:color w:val="0000FF"/>
              </w:rPr>
              <w:t>By Shengxin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7"/>
                <w:szCs w:val="17"/>
                <w:color w:val="0000FF"/>
              </w:rPr>
              <w:t>(Shanghai)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2180" w:type="dxa"/>
            <w:vAlign w:val="bottom"/>
            <w:gridSpan w:val="4"/>
            <w:vMerge w:val="restart"/>
          </w:tcPr>
          <w:p>
            <w:pPr>
              <w:ind w:left="680"/>
              <w:spacing w:after="0"/>
              <w:rPr>
                <w:sz w:val="20"/>
                <w:szCs w:val="20"/>
                <w:color w:val="auto"/>
              </w:rPr>
            </w:pPr>
            <w:r>
              <w:rPr>
                <w:rFonts w:ascii="Arial" w:cs="Arial" w:eastAsia="Arial" w:hAnsi="Arial"/>
                <w:sz w:val="17"/>
                <w:szCs w:val="17"/>
                <w:color w:val="0000FF"/>
              </w:rPr>
              <w:t>03/31/2020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60" w:type="dxa"/>
            <w:vAlign w:val="bottom"/>
            <w:vMerge w:val="restart"/>
          </w:tcPr>
          <w:p>
            <w:pPr>
              <w:ind w:left="120"/>
              <w:spacing w:after="0"/>
              <w:rPr>
                <w:sz w:val="20"/>
                <w:szCs w:val="20"/>
                <w:color w:val="auto"/>
              </w:rPr>
            </w:pPr>
            <w:r>
              <w:rPr>
                <w:rFonts w:ascii="Arial" w:cs="Arial" w:eastAsia="Arial" w:hAnsi="Arial"/>
                <w:sz w:val="17"/>
                <w:szCs w:val="17"/>
                <w:color w:val="0000FF"/>
              </w:rPr>
              <w:t>242,681</w:t>
            </w:r>
          </w:p>
        </w:tc>
        <w:tc>
          <w:tcPr>
            <w:tcW w:w="480" w:type="dxa"/>
            <w:vAlign w:val="bottom"/>
            <w:vMerge w:val="restart"/>
          </w:tcPr>
          <w:p>
            <w:pPr>
              <w:ind w:left="140"/>
              <w:spacing w:after="0"/>
              <w:rPr>
                <w:sz w:val="20"/>
                <w:szCs w:val="20"/>
                <w:color w:val="auto"/>
              </w:rPr>
            </w:pPr>
            <w:r>
              <w:rPr>
                <w:rFonts w:ascii="Arial" w:cs="Arial" w:eastAsia="Arial" w:hAnsi="Arial"/>
                <w:sz w:val="17"/>
                <w:szCs w:val="17"/>
                <w:color w:val="0000FF"/>
              </w:rPr>
              <w:t>D</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18"/>
                <w:szCs w:val="18"/>
                <w:color w:val="auto"/>
              </w:rPr>
            </w:pPr>
          </w:p>
        </w:tc>
        <w:tc>
          <w:tcPr>
            <w:tcW w:w="680" w:type="dxa"/>
            <w:vAlign w:val="bottom"/>
            <w:vMerge w:val="restart"/>
          </w:tcPr>
          <w:p>
            <w:pPr>
              <w:jc w:val="right"/>
              <w:ind w:right="74"/>
              <w:spacing w:after="0"/>
              <w:rPr>
                <w:sz w:val="20"/>
                <w:szCs w:val="20"/>
                <w:color w:val="auto"/>
              </w:rPr>
            </w:pPr>
            <w:r>
              <w:rPr>
                <w:rFonts w:ascii="Arial" w:cs="Arial" w:eastAsia="Arial" w:hAnsi="Arial"/>
                <w:sz w:val="17"/>
                <w:szCs w:val="17"/>
                <w:color w:val="0000FF"/>
              </w:rPr>
              <w:t>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100" w:type="dxa"/>
            <w:vAlign w:val="bottom"/>
            <w:gridSpan w:val="5"/>
          </w:tcPr>
          <w:p>
            <w:pPr>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218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Consulting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5"/>
          </w:tcPr>
          <w:p>
            <w:pPr>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0000FF"/>
              </w:rPr>
              <w:t>84,386</w:t>
            </w:r>
          </w:p>
        </w:tc>
        <w:tc>
          <w:tcPr>
            <w:tcW w:w="340" w:type="dxa"/>
            <w:vAlign w:val="bottom"/>
          </w:tcPr>
          <w:p>
            <w:pPr>
              <w:spacing w:after="0"/>
              <w:rPr>
                <w:sz w:val="23"/>
                <w:szCs w:val="23"/>
                <w:color w:val="auto"/>
              </w:rPr>
            </w:pPr>
          </w:p>
        </w:tc>
        <w:tc>
          <w:tcPr>
            <w:tcW w:w="580" w:type="dxa"/>
            <w:vAlign w:val="bottom"/>
          </w:tcPr>
          <w:p>
            <w:pPr>
              <w:spacing w:after="0"/>
              <w:rPr>
                <w:sz w:val="20"/>
                <w:szCs w:val="20"/>
                <w:color w:val="auto"/>
              </w:rPr>
            </w:pPr>
            <w:r>
              <w:rPr>
                <w:rFonts w:ascii="Arial" w:cs="Arial" w:eastAsia="Arial" w:hAnsi="Arial"/>
                <w:sz w:val="17"/>
                <w:szCs w:val="17"/>
                <w:color w:val="0000FF"/>
              </w:rPr>
              <w:t>D</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-3770630</wp:posOffset>
            </wp:positionV>
            <wp:extent cx="7031355" cy="381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816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resigned from his role as general partner of Shengxin (Shanghai) Management Consulting Limited Partnership ("SMC") effective March 31, 2020 and therefore is no longer deemed to beneficially own securities of the Issuer held by SMC.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Executive Officer and President of ACM Research (Shanghai), Inc., a subsidiary of the Issuer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Jian</w:t>
      </w:r>
      <w:r>
        <w:rPr>
          <w:sz w:val="20"/>
          <w:szCs w:val="20"/>
          <w:color w:val="auto"/>
        </w:rPr>
        <w:tab/>
      </w:r>
      <w:r>
        <w:rPr>
          <w:rFonts w:ascii="Arial" w:cs="Arial" w:eastAsia="Arial" w:hAnsi="Arial"/>
          <w:sz w:val="15"/>
          <w:szCs w:val="15"/>
          <w:color w:val="0000FF"/>
        </w:rPr>
        <w:t>07/15/2020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4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62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2020-07-15T19:03:40Z</dcterms:created>
  <dcterms:modified xsi:type="dcterms:W3CDTF">2020-07-15T19:03:40Z</dcterms:modified>
</cp:coreProperties>
</file>