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6993890" cy="46520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890" cy="4652010"/>
                    </a:xfrm>
                    <a:prstGeom prst="rect">
                      <a:avLst/>
                    </a:prstGeom>
                    <a:noFill/>
                  </pic:spPr>
                </pic:pic>
              </a:graphicData>
            </a:graphic>
          </wp:anchor>
        </w:drawing>
      </w:r>
    </w:p>
    <w:p>
      <w:pPr>
        <w:spacing w:after="0" w:line="108"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Feng Lisa</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right="740"/>
        <w:spacing w:after="0" w:line="319" w:lineRule="auto"/>
        <w:rPr>
          <w:sz w:val="20"/>
          <w:szCs w:val="20"/>
          <w:color w:val="auto"/>
        </w:rPr>
      </w:pPr>
      <w:r>
        <w:rPr>
          <w:rFonts w:ascii="Times New Roman" w:cs="Times New Roman" w:eastAsia="Times New Roman" w:hAnsi="Times New Roman"/>
          <w:sz w:val="16"/>
          <w:szCs w:val="16"/>
          <w:color w:val="0000FF"/>
        </w:rPr>
        <w:t>C/O ACM RESEARCH, INC. 42307 OSGOOD ROAD, SUITE I</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ACM Research,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ACMR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4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12/31/2022</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0" w:type="dxa"/>
        <w:tblCellMar>
          <w:top w:w="0" w:type="dxa"/>
          <w:left w:w="0" w:type="dxa"/>
          <w:bottom w:w="0" w:type="dxa"/>
          <w:right w:w="0" w:type="dxa"/>
        </w:tblCellMar>
      </w:tblPr>
      <w:tr>
        <w:trPr>
          <w:trHeight w:val="169"/>
        </w:trPr>
        <w:tc>
          <w:tcPr>
            <w:tcW w:w="220" w:type="dxa"/>
            <w:vAlign w:val="bottom"/>
          </w:tcPr>
          <w:p>
            <w:pPr>
              <w:spacing w:after="0"/>
              <w:rPr>
                <w:sz w:val="14"/>
                <w:szCs w:val="14"/>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7"/>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17"/>
          <w:szCs w:val="17"/>
          <w:color w:val="0000FF"/>
        </w:rPr>
        <w:t>See remarks</w:t>
      </w:r>
    </w:p>
    <w:p>
      <w:pPr>
        <w:spacing w:after="0" w:line="423"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040" w:type="dxa"/>
            <w:vAlign w:val="bottom"/>
            <w:tcBorders>
              <w:bottom w:val="single" w:sz="8" w:color="9A9A9A"/>
            </w:tcBorders>
          </w:tcPr>
          <w:p>
            <w:pPr>
              <w:spacing w:after="0"/>
              <w:rPr>
                <w:sz w:val="11"/>
                <w:szCs w:val="11"/>
                <w:color w:val="auto"/>
              </w:rPr>
            </w:pPr>
          </w:p>
        </w:tc>
        <w:tc>
          <w:tcPr>
            <w:tcW w:w="114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3680" w:type="dxa"/>
            <w:vAlign w:val="bottom"/>
            <w:gridSpan w:val="8"/>
          </w:tcPr>
          <w:p>
            <w:pPr>
              <w:jc w:val="center"/>
              <w:ind w:right="40"/>
              <w:spacing w:after="0" w:line="110" w:lineRule="exact"/>
              <w:rPr>
                <w:sz w:val="20"/>
                <w:szCs w:val="20"/>
                <w:color w:val="auto"/>
              </w:rPr>
            </w:pPr>
            <w:r>
              <w:rPr>
                <w:rFonts w:ascii="Arial" w:cs="Arial" w:eastAsia="Arial" w:hAnsi="Arial"/>
                <w:sz w:val="12"/>
                <w:szCs w:val="12"/>
                <w:color w:val="auto"/>
              </w:rPr>
              <w:t>4. If Amendment, Date of Original Filed (Month/Day/Year)</w:t>
            </w:r>
          </w:p>
        </w:tc>
        <w:tc>
          <w:tcPr>
            <w:tcW w:w="3640" w:type="dxa"/>
            <w:vAlign w:val="bottom"/>
            <w:gridSpan w:val="10"/>
          </w:tcPr>
          <w:p>
            <w:pPr>
              <w:ind w:left="300"/>
              <w:spacing w:after="0" w:line="110"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640" w:type="dxa"/>
            <w:vAlign w:val="bottom"/>
            <w:gridSpan w:val="10"/>
            <w:vMerge w:val="restart"/>
          </w:tcPr>
          <w:p>
            <w:pPr>
              <w:ind w:left="50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FREMONT</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94539</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64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1"/>
                <w:szCs w:val="11"/>
                <w:color w:val="auto"/>
              </w:rPr>
            </w:pP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1"/>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Class A</w:t>
            </w: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22,500</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3"/>
                <w:szCs w:val="13"/>
                <w:color w:val="0000FF"/>
              </w:rPr>
              <w:t>22,500</w:t>
            </w:r>
            <w:r>
              <w:rPr>
                <w:rFonts w:ascii="Times New Roman" w:cs="Times New Roman" w:eastAsia="Times New Roman" w:hAnsi="Times New Roman"/>
                <w:sz w:val="21"/>
                <w:szCs w:val="21"/>
                <w:color w:val="008000"/>
                <w:vertAlign w:val="superscript"/>
              </w:rPr>
              <w:t>(1)</w:t>
            </w: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25.45</w:t>
            </w:r>
          </w:p>
        </w:tc>
        <w:tc>
          <w:tcPr>
            <w:tcW w:w="140" w:type="dxa"/>
            <w:vAlign w:val="bottom"/>
          </w:tcPr>
          <w:p>
            <w:pPr>
              <w:spacing w:after="0"/>
              <w:rPr>
                <w:sz w:val="5"/>
                <w:szCs w:val="5"/>
                <w:color w:val="auto"/>
              </w:rPr>
            </w:pPr>
          </w:p>
        </w:tc>
        <w:tc>
          <w:tcPr>
            <w:tcW w:w="1040" w:type="dxa"/>
            <w:vAlign w:val="bottom"/>
            <w:vMerge w:val="restart"/>
          </w:tcPr>
          <w:p>
            <w:pPr>
              <w:ind w:left="260"/>
              <w:spacing w:after="0" w:line="142" w:lineRule="exact"/>
              <w:rPr>
                <w:sz w:val="20"/>
                <w:szCs w:val="20"/>
                <w:color w:val="auto"/>
              </w:rPr>
            </w:pPr>
            <w:r>
              <w:rPr>
                <w:rFonts w:ascii="Times New Roman" w:cs="Times New Roman" w:eastAsia="Times New Roman" w:hAnsi="Times New Roman"/>
                <w:sz w:val="13"/>
                <w:szCs w:val="13"/>
                <w:color w:val="0000FF"/>
              </w:rPr>
              <w:t>12/31/2022</w:t>
            </w: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8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22,500</w:t>
            </w:r>
          </w:p>
        </w:tc>
        <w:tc>
          <w:tcPr>
            <w:tcW w:w="3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00" w:type="dxa"/>
            <w:vAlign w:val="bottom"/>
            <w:gridSpan w:val="2"/>
            <w:vMerge w:val="restart"/>
          </w:tcPr>
          <w:p>
            <w:pPr>
              <w:ind w:left="40"/>
              <w:spacing w:after="0" w:line="142" w:lineRule="exact"/>
              <w:rPr>
                <w:sz w:val="20"/>
                <w:szCs w:val="20"/>
                <w:color w:val="auto"/>
              </w:rPr>
            </w:pPr>
            <w:r>
              <w:rPr>
                <w:rFonts w:ascii="Times New Roman" w:cs="Times New Roman" w:eastAsia="Times New Roman" w:hAnsi="Times New Roman"/>
                <w:sz w:val="13"/>
                <w:szCs w:val="13"/>
                <w:color w:val="0000FF"/>
              </w:rPr>
              <w:t>03/03/2032</w:t>
            </w:r>
          </w:p>
        </w:tc>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60" w:type="dxa"/>
            <w:vAlign w:val="bottom"/>
            <w:gridSpan w:val="2"/>
            <w:vMerge w:val="continue"/>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-2009775</wp:posOffset>
            </wp:positionV>
            <wp:extent cx="29210" cy="20148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01485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18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4, 2022, the reporting person was granted an option to purchase 30,000 shares of Class A Common Stock of the Issuer. The option vests and becomes exercisable based on the Issuer's satisfaction of certain performance criteria. On December 31, 2022, the Issuer confirmed that certain of the performance criteria were met, resulting in vesting of the option as to 22,500 shares.</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Chief Financial Officer of ACM Research (Shanghai), Inc., a subsidiary of the Issuer</w:t>
      </w:r>
    </w:p>
    <w:p>
      <w:pPr>
        <w:ind w:left="6600"/>
        <w:spacing w:after="0" w:line="186" w:lineRule="auto"/>
        <w:rPr>
          <w:sz w:val="20"/>
          <w:szCs w:val="20"/>
          <w:color w:val="auto"/>
        </w:rPr>
      </w:pPr>
      <w:r>
        <w:rPr>
          <w:rFonts w:ascii="Times New Roman" w:cs="Times New Roman" w:eastAsia="Times New Roman" w:hAnsi="Times New Roman"/>
          <w:sz w:val="17"/>
          <w:szCs w:val="17"/>
          <w:color w:val="0000FF"/>
        </w:rPr>
        <w:t xml:space="preserve">/s/ Mark McKechnie, Attorney- </w:t>
      </w:r>
      <w:r>
        <w:rPr>
          <w:rFonts w:ascii="Times New Roman" w:cs="Times New Roman" w:eastAsia="Times New Roman" w:hAnsi="Times New Roman"/>
          <w:sz w:val="33"/>
          <w:szCs w:val="33"/>
          <w:color w:val="0000FF"/>
          <w:vertAlign w:val="subscript"/>
        </w:rPr>
        <w:t>01/04/2023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-27305</wp:posOffset>
            </wp:positionV>
            <wp:extent cx="13481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810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 for Lisa Feng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9017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01700"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79777" TargetMode="External"/><Relationship Id="rId13" Type="http://schemas.openxmlformats.org/officeDocument/2006/relationships/hyperlink" Target="http://www.sec.gov/cgi-bin/browse-edgar?action=getcompany&amp;CIK=00016800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2023-01-04T17:11:35Z</dcterms:created>
  <dcterms:modified xsi:type="dcterms:W3CDTF">2023-01-04T17:11:35Z</dcterms:modified>
</cp:coreProperties>
</file>