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10-Q/A</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5" w:lineRule="exact"/>
        <w:rPr>
          <w:sz w:val="24"/>
          <w:szCs w:val="24"/>
          <w:color w:val="auto"/>
        </w:rPr>
      </w:pPr>
    </w:p>
    <w:p>
      <w:pPr>
        <w:ind w:left="4020" w:right="2160" w:hanging="4012"/>
        <w:spacing w:after="0" w:line="261" w:lineRule="auto"/>
        <w:tabs>
          <w:tab w:leader="none" w:pos="33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or</w:t>
      </w:r>
    </w:p>
    <w:p>
      <w:pPr>
        <w:spacing w:after="0" w:line="152" w:lineRule="exact"/>
        <w:rPr>
          <w:sz w:val="24"/>
          <w:szCs w:val="24"/>
          <w:color w:val="auto"/>
        </w:rPr>
      </w:pPr>
    </w:p>
    <w:p>
      <w:pPr>
        <w:ind w:left="3480" w:right="1820" w:hanging="3472"/>
        <w:spacing w:after="0" w:line="275" w:lineRule="auto"/>
        <w:tabs>
          <w:tab w:leader="none" w:pos="66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001-38273</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706" w:right="239" w:bottom="1440" w:gutter="0" w:footer="0" w:header="0"/>
        </w:sectPr>
      </w:pPr>
    </w:p>
    <w:p>
      <w:pPr>
        <w:spacing w:after="0" w:line="20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108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94-3290283</w:t>
      </w:r>
    </w:p>
    <w:p>
      <w:pPr>
        <w:spacing w:after="0" w:line="21" w:lineRule="exact"/>
        <w:rPr>
          <w:sz w:val="24"/>
          <w:szCs w:val="24"/>
          <w:color w:val="auto"/>
        </w:rPr>
      </w:pPr>
    </w:p>
    <w:p>
      <w:pPr>
        <w:jc w:val="center"/>
        <w:ind w:right="1580"/>
        <w:spacing w:after="0"/>
        <w:rPr>
          <w:sz w:val="20"/>
          <w:szCs w:val="20"/>
          <w:color w:val="auto"/>
        </w:rPr>
      </w:pPr>
      <w:r>
        <w:rPr>
          <w:rFonts w:ascii="Arial" w:cs="Arial" w:eastAsia="Arial" w:hAnsi="Arial"/>
          <w:sz w:val="16"/>
          <w:szCs w:val="16"/>
          <w:i w:val="1"/>
          <w:iCs w:val="1"/>
          <w:color w:val="auto"/>
        </w:rPr>
        <w:t>(I.R.S. EmployerIdentification No.)</w:t>
      </w:r>
    </w:p>
    <w:p>
      <w:pPr>
        <w:spacing w:after="0" w:line="128" w:lineRule="exact"/>
        <w:rPr>
          <w:sz w:val="24"/>
          <w:szCs w:val="24"/>
          <w:color w:val="auto"/>
        </w:rPr>
      </w:pPr>
    </w:p>
    <w:p>
      <w:pPr>
        <w:sectPr>
          <w:pgSz w:w="11900" w:h="16838" w:orient="portrait"/>
          <w:cols w:equalWidth="0" w:num="2">
            <w:col w:w="6660" w:space="720"/>
            <w:col w:w="4040"/>
          </w:cols>
          <w:pgMar w:left="240" w:top="706" w:right="239" w:bottom="1440" w:gutter="0" w:footer="0" w:header="0"/>
          <w:type w:val="continuous"/>
        </w:sectPr>
      </w:pPr>
    </w:p>
    <w:p>
      <w:pPr>
        <w:ind w:left="3640"/>
        <w:spacing w:after="0"/>
        <w:rPr>
          <w:sz w:val="20"/>
          <w:szCs w:val="20"/>
          <w:color w:val="auto"/>
        </w:rPr>
      </w:pPr>
      <w:r>
        <w:rPr>
          <w:rFonts w:ascii="Arial" w:cs="Arial" w:eastAsia="Arial" w:hAnsi="Arial"/>
          <w:sz w:val="18"/>
          <w:szCs w:val="18"/>
          <w:b w:val="1"/>
          <w:bCs w:val="1"/>
          <w:color w:val="auto"/>
        </w:rPr>
        <w:t>42307 Osgood Road, Suite I, Fremont, California 94539</w:t>
      </w:r>
    </w:p>
    <w:p>
      <w:pPr>
        <w:spacing w:after="0" w:line="21" w:lineRule="exact"/>
        <w:rPr>
          <w:sz w:val="24"/>
          <w:szCs w:val="24"/>
          <w:color w:val="auto"/>
        </w:rPr>
      </w:pPr>
    </w:p>
    <w:p>
      <w:pPr>
        <w:ind w:left="3900"/>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151" w:lineRule="exact"/>
        <w:rPr>
          <w:sz w:val="24"/>
          <w:szCs w:val="24"/>
          <w:color w:val="auto"/>
        </w:rPr>
      </w:pPr>
    </w:p>
    <w:p>
      <w:pPr>
        <w:jc w:val="both"/>
        <w:ind w:right="200" w:firstLine="44"/>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3"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tbl>
      <w:tblPr>
        <w:tblLayout w:type="fixed"/>
        <w:tblInd w:w="60" w:type="dxa"/>
        <w:tblCellMar>
          <w:top w:w="0" w:type="dxa"/>
          <w:left w:w="0" w:type="dxa"/>
          <w:bottom w:w="0" w:type="dxa"/>
          <w:right w:w="0" w:type="dxa"/>
        </w:tblCellMar>
      </w:tblPr>
      <w:tr>
        <w:trPr>
          <w:trHeight w:val="178"/>
        </w:trPr>
        <w:tc>
          <w:tcPr>
            <w:tcW w:w="2180" w:type="dxa"/>
            <w:vAlign w:val="bottom"/>
          </w:tcPr>
          <w:p>
            <w:pPr>
              <w:spacing w:after="0" w:line="177" w:lineRule="exact"/>
              <w:rPr>
                <w:sz w:val="20"/>
                <w:szCs w:val="20"/>
                <w:color w:val="auto"/>
              </w:rPr>
            </w:pPr>
            <w:r>
              <w:rPr>
                <w:rFonts w:ascii="Arial" w:cs="Arial" w:eastAsia="Arial" w:hAnsi="Arial"/>
                <w:sz w:val="18"/>
                <w:szCs w:val="18"/>
                <w:color w:val="auto"/>
              </w:rPr>
              <w:t>Large accelerated filer</w:t>
            </w:r>
          </w:p>
        </w:tc>
        <w:tc>
          <w:tcPr>
            <w:tcW w:w="2300" w:type="dxa"/>
            <w:vAlign w:val="bottom"/>
          </w:tcPr>
          <w:p>
            <w:pPr>
              <w:ind w:left="640"/>
              <w:spacing w:after="0" w:line="178"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240"/>
              <w:spacing w:after="0" w:line="177" w:lineRule="exact"/>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78"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Non-accelerated file</w:t>
            </w:r>
          </w:p>
        </w:tc>
        <w:tc>
          <w:tcPr>
            <w:tcW w:w="23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(Do not check if a smaller reporting company)</w:t>
            </w:r>
          </w:p>
        </w:tc>
        <w:tc>
          <w:tcPr>
            <w:tcW w:w="378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2"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000" w:type="dxa"/>
            <w:vAlign w:val="bottom"/>
          </w:tcPr>
          <w:p>
            <w:pPr>
              <w:ind w:left="2440"/>
              <w:spacing w:after="0"/>
              <w:rPr>
                <w:sz w:val="20"/>
                <w:szCs w:val="20"/>
                <w:color w:val="auto"/>
              </w:rPr>
            </w:pPr>
            <w:r>
              <w:rPr>
                <w:rFonts w:ascii="Arial" w:cs="Arial" w:eastAsia="Arial" w:hAnsi="Arial"/>
                <w:sz w:val="18"/>
                <w:szCs w:val="18"/>
                <w:b w:val="1"/>
                <w:bCs w:val="1"/>
                <w:color w:val="auto"/>
              </w:rPr>
              <w:t>Class</w:t>
            </w:r>
          </w:p>
        </w:tc>
        <w:tc>
          <w:tcPr>
            <w:tcW w:w="6420" w:type="dxa"/>
            <w:vAlign w:val="bottom"/>
          </w:tcPr>
          <w:p>
            <w:pPr>
              <w:jc w:val="center"/>
              <w:ind w:left="1072"/>
              <w:spacing w:after="0"/>
              <w:rPr>
                <w:sz w:val="20"/>
                <w:szCs w:val="20"/>
                <w:color w:val="auto"/>
              </w:rPr>
            </w:pPr>
            <w:r>
              <w:rPr>
                <w:rFonts w:ascii="Arial" w:cs="Arial" w:eastAsia="Arial" w:hAnsi="Arial"/>
                <w:sz w:val="18"/>
                <w:szCs w:val="18"/>
                <w:b w:val="1"/>
                <w:bCs w:val="1"/>
                <w:color w:val="auto"/>
                <w:w w:val="87"/>
              </w:rPr>
              <w:t>Number of Shares Outstanding</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Class A Common Stock, $0.0001 par value</w:t>
            </w:r>
          </w:p>
        </w:tc>
        <w:tc>
          <w:tcPr>
            <w:tcW w:w="6420" w:type="dxa"/>
            <w:vAlign w:val="bottom"/>
          </w:tcPr>
          <w:p>
            <w:pPr>
              <w:jc w:val="center"/>
              <w:ind w:left="1092"/>
              <w:spacing w:after="0"/>
              <w:rPr>
                <w:sz w:val="20"/>
                <w:szCs w:val="20"/>
                <w:color w:val="auto"/>
              </w:rPr>
            </w:pPr>
            <w:r>
              <w:rPr>
                <w:rFonts w:ascii="Arial" w:cs="Arial" w:eastAsia="Arial" w:hAnsi="Arial"/>
                <w:sz w:val="18"/>
                <w:szCs w:val="18"/>
                <w:color w:val="auto"/>
                <w:w w:val="87"/>
              </w:rPr>
              <w:t>13,963,257 shares outstanding as of August 7, 2018</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Class B Common Stock, $0.0001 par value</w:t>
            </w:r>
          </w:p>
        </w:tc>
        <w:tc>
          <w:tcPr>
            <w:tcW w:w="6420" w:type="dxa"/>
            <w:vAlign w:val="bottom"/>
          </w:tcPr>
          <w:p>
            <w:pPr>
              <w:jc w:val="center"/>
              <w:ind w:left="1072"/>
              <w:spacing w:after="0"/>
              <w:rPr>
                <w:sz w:val="20"/>
                <w:szCs w:val="20"/>
                <w:color w:val="auto"/>
              </w:rPr>
            </w:pPr>
            <w:r>
              <w:rPr>
                <w:rFonts w:ascii="Arial" w:cs="Arial" w:eastAsia="Arial" w:hAnsi="Arial"/>
                <w:sz w:val="18"/>
                <w:szCs w:val="18"/>
                <w:color w:val="auto"/>
                <w:w w:val="86"/>
              </w:rPr>
              <w:t>1,918,423 shares outstanding as of August 7, 2018</w:t>
            </w:r>
          </w:p>
        </w:tc>
      </w:tr>
      <w:tr>
        <w:trPr>
          <w:trHeight w:val="218"/>
        </w:trPr>
        <w:tc>
          <w:tcPr>
            <w:tcW w:w="500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tcPr>
          <w:p>
            <w:pPr>
              <w:spacing w:after="0"/>
              <w:rPr>
                <w:sz w:val="18"/>
                <w:szCs w:val="18"/>
                <w:color w:val="auto"/>
              </w:rPr>
            </w:pPr>
          </w:p>
        </w:tc>
      </w:tr>
      <w:tr>
        <w:trPr>
          <w:trHeight w:val="136"/>
        </w:trPr>
        <w:tc>
          <w:tcPr>
            <w:tcW w:w="5000" w:type="dxa"/>
            <w:vAlign w:val="bottom"/>
            <w:tcBorders>
              <w:bottom w:val="single" w:sz="8" w:color="auto"/>
            </w:tcBorders>
          </w:tcPr>
          <w:p>
            <w:pPr>
              <w:spacing w:after="0"/>
              <w:rPr>
                <w:sz w:val="11"/>
                <w:szCs w:val="11"/>
                <w:color w:val="auto"/>
              </w:rPr>
            </w:pPr>
          </w:p>
        </w:tc>
        <w:tc>
          <w:tcPr>
            <w:tcW w:w="6420" w:type="dxa"/>
            <w:vAlign w:val="bottom"/>
            <w:tcBorders>
              <w:bottom w:val="single" w:sz="8" w:color="auto"/>
            </w:tcBorders>
          </w:tcPr>
          <w:p>
            <w:pPr>
              <w:spacing w:after="0"/>
              <w:rPr>
                <w:sz w:val="11"/>
                <w:szCs w:val="11"/>
                <w:color w:val="auto"/>
              </w:rPr>
            </w:pPr>
          </w:p>
        </w:tc>
      </w:tr>
      <w:tr>
        <w:trPr>
          <w:trHeight w:val="297"/>
        </w:trPr>
        <w:tc>
          <w:tcPr>
            <w:tcW w:w="50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filing this Amendment No. 1 on Form 10-Q/A, or this Amendment, to amend our Quarterly Report on Form 10-Q for the quarterly period ended June 30, 2018, as filed with the Securities and Exchange Commission on August 9, 2018, or the Original Form 10-Q. This Amendment is being filed solely for the purpose of filing Exhibit 10.01. In accordance with Rule 12b-15 under the Securities Exchange Act of 1934, new certifications by our principal executive officer and principal financial officer are filed as Exhibits 31.01 and 31.02 to this Amendment. We are not including new certifications pursuant to Section 1350 of Chapter 63 of Title 18 of the United States Code (18 U.S.C. 1350), as no financial statements are being filed with this Amendment.</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Accordingly, this Amendment consists of only the facing page, this explanatory note, Item 6 of Part II, “Exhibits,” and Exhibits 10.01, 31.01 and 31.02 hereto. This Amendment is presented as of the filing date of the Original Form 10-Q and does not reflect events occurring after that date, or modify or update disclosures or exhibits in any way, other than as required to reflect the filing of Exhibit 10.01.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1"/>
              </w:rPr>
              <w:t>Number</w:t>
            </w:r>
          </w:p>
        </w:tc>
        <w:tc>
          <w:tcPr>
            <w:tcW w:w="220" w:type="dxa"/>
            <w:vAlign w:val="bottom"/>
          </w:tcPr>
          <w:p>
            <w:pPr>
              <w:spacing w:after="0"/>
              <w:rPr>
                <w:sz w:val="20"/>
                <w:szCs w:val="20"/>
                <w:color w:val="auto"/>
              </w:rPr>
            </w:pPr>
          </w:p>
        </w:tc>
        <w:tc>
          <w:tcPr>
            <w:tcW w:w="10380" w:type="dxa"/>
            <w:vAlign w:val="bottom"/>
            <w:tcBorders>
              <w:bottom w:val="single" w:sz="8" w:color="auto"/>
            </w:tcBorders>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01</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Lease Agreement dated April 26, 2018, between ACM Research (Shanghai), Inc. and Shanghai Zhangjiang Group Co.,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01</w:t>
              </w:r>
            </w:hyperlink>
          </w:p>
        </w:tc>
        <w:tc>
          <w:tcPr>
            <w:tcW w:w="4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3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02</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32.01*</w:t>
            </w:r>
          </w:p>
        </w:tc>
        <w:tc>
          <w:tcPr>
            <w:tcW w:w="2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Filed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19"/>
                <w:szCs w:val="19"/>
                <w:color w:val="auto"/>
              </w:rPr>
            </w:pPr>
          </w:p>
        </w:tc>
        <w:tc>
          <w:tcPr>
            <w:tcW w:w="8440" w:type="dxa"/>
            <w:vAlign w:val="bottom"/>
            <w:gridSpan w:val="3"/>
          </w:tcPr>
          <w:p>
            <w:pPr>
              <w:ind w:left="124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r>
      <w:tr>
        <w:trPr>
          <w:trHeight w:val="610"/>
        </w:trPr>
        <w:tc>
          <w:tcPr>
            <w:tcW w:w="2980" w:type="dxa"/>
            <w:vAlign w:val="bottom"/>
          </w:tcPr>
          <w:p>
            <w:pPr>
              <w:spacing w:after="0"/>
              <w:rPr>
                <w:sz w:val="20"/>
                <w:szCs w:val="20"/>
                <w:color w:val="auto"/>
              </w:rPr>
            </w:pPr>
            <w:r>
              <w:rPr>
                <w:rFonts w:ascii="Arial" w:cs="Arial" w:eastAsia="Arial" w:hAnsi="Arial"/>
                <w:sz w:val="18"/>
                <w:szCs w:val="18"/>
                <w:color w:val="auto"/>
              </w:rPr>
              <w:t>Dated: October 15, 2018</w:t>
            </w:r>
          </w:p>
        </w:tc>
        <w:tc>
          <w:tcPr>
            <w:tcW w:w="2020" w:type="dxa"/>
            <w:vAlign w:val="bottom"/>
          </w:tcPr>
          <w:p>
            <w:pPr>
              <w:ind w:left="1240"/>
              <w:spacing w:after="0"/>
              <w:rPr>
                <w:sz w:val="20"/>
                <w:szCs w:val="20"/>
                <w:color w:val="auto"/>
              </w:rPr>
            </w:pPr>
            <w:r>
              <w:rPr>
                <w:rFonts w:ascii="Arial" w:cs="Arial" w:eastAsia="Arial" w:hAnsi="Arial"/>
                <w:sz w:val="18"/>
                <w:szCs w:val="18"/>
                <w:color w:val="auto"/>
              </w:rPr>
              <w:t>By:</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D</w:t>
            </w:r>
            <w:r>
              <w:rPr>
                <w:rFonts w:ascii="Arial" w:cs="Arial" w:eastAsia="Arial" w:hAnsi="Arial"/>
                <w:sz w:val="12"/>
                <w:szCs w:val="12"/>
                <w:color w:val="auto"/>
                <w:w w:val="95"/>
              </w:rPr>
              <w:t>AVID</w:t>
            </w:r>
            <w:r>
              <w:rPr>
                <w:rFonts w:ascii="Arial" w:cs="Arial" w:eastAsia="Arial" w:hAnsi="Arial"/>
                <w:sz w:val="18"/>
                <w:szCs w:val="18"/>
                <w:color w:val="auto"/>
                <w:w w:val="95"/>
              </w:rPr>
              <w:t xml:space="preserve"> H. W</w:t>
            </w:r>
            <w:r>
              <w:rPr>
                <w:rFonts w:ascii="Arial" w:cs="Arial" w:eastAsia="Arial" w:hAnsi="Arial"/>
                <w:sz w:val="12"/>
                <w:szCs w:val="12"/>
                <w:color w:val="auto"/>
                <w:w w:val="95"/>
              </w:rPr>
              <w:t>ANG</w:t>
            </w:r>
          </w:p>
        </w:tc>
        <w:tc>
          <w:tcPr>
            <w:tcW w:w="5100" w:type="dxa"/>
            <w:vAlign w:val="bottom"/>
          </w:tcPr>
          <w:p>
            <w:pPr>
              <w:spacing w:after="0"/>
              <w:rPr>
                <w:sz w:val="24"/>
                <w:szCs w:val="24"/>
                <w:color w:val="auto"/>
              </w:rPr>
            </w:pPr>
          </w:p>
        </w:tc>
      </w:tr>
      <w:tr>
        <w:trPr>
          <w:trHeight w:val="228"/>
        </w:trPr>
        <w:tc>
          <w:tcPr>
            <w:tcW w:w="2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420" w:type="dxa"/>
            <w:vAlign w:val="bottom"/>
            <w:gridSpan w:val="2"/>
          </w:tcPr>
          <w:p>
            <w:pPr>
              <w:ind w:left="40"/>
              <w:spacing w:after="0"/>
              <w:rPr>
                <w:sz w:val="20"/>
                <w:szCs w:val="20"/>
                <w:color w:val="auto"/>
              </w:rPr>
            </w:pPr>
            <w:r>
              <w:rPr>
                <w:rFonts w:ascii="Arial" w:cs="Arial" w:eastAsia="Arial" w:hAnsi="Arial"/>
                <w:sz w:val="18"/>
                <w:szCs w:val="18"/>
                <w:color w:val="auto"/>
              </w:rPr>
              <w:t>David H. Wang</w:t>
            </w:r>
          </w:p>
        </w:tc>
      </w:tr>
      <w:tr>
        <w:trPr>
          <w:trHeight w:val="222"/>
        </w:trPr>
        <w:tc>
          <w:tcPr>
            <w:tcW w:w="2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4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3027"/>
        </w:trPr>
        <w:tc>
          <w:tcPr>
            <w:tcW w:w="29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3" w:name="page4"/>
    <w:bookmarkEnd w:id="3"/>
    <w:p>
      <w:pPr>
        <w:ind w:left="9220"/>
        <w:spacing w:after="0"/>
        <w:rPr>
          <w:sz w:val="20"/>
          <w:szCs w:val="20"/>
          <w:color w:val="auto"/>
        </w:rPr>
      </w:pPr>
      <w:r>
        <w:rPr>
          <w:rFonts w:ascii="Arial" w:cs="Arial" w:eastAsia="Arial" w:hAnsi="Arial"/>
          <w:sz w:val="16"/>
          <w:szCs w:val="16"/>
          <w:b w:val="1"/>
          <w:bCs w:val="1"/>
          <w:color w:val="auto"/>
        </w:rPr>
        <w:t>Exhibit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7829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158" w:lineRule="exact"/>
        <w:rPr>
          <w:sz w:val="20"/>
          <w:szCs w:val="20"/>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Amendment No. 1 on Form 10-Q/A to the Quarterly Report on Form 10-Q of ACM Research, Inc. for the quarterly period ended June 30, 2018 (as so amended, “this quarterly report”).</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rPr>
              <w:t>Dated: October 15, 2018</w:t>
            </w:r>
          </w:p>
        </w:tc>
        <w:tc>
          <w:tcPr>
            <w:tcW w:w="2020" w:type="dxa"/>
            <w:vAlign w:val="bottom"/>
          </w:tcPr>
          <w:p>
            <w:pPr>
              <w:ind w:left="1240"/>
              <w:spacing w:after="0"/>
              <w:rPr>
                <w:sz w:val="20"/>
                <w:szCs w:val="20"/>
                <w:color w:val="auto"/>
              </w:rPr>
            </w:pPr>
            <w:r>
              <w:rPr>
                <w:rFonts w:ascii="Arial" w:cs="Arial" w:eastAsia="Arial" w:hAnsi="Arial"/>
                <w:sz w:val="18"/>
                <w:szCs w:val="18"/>
                <w:color w:val="auto"/>
              </w:rPr>
              <w:t>By:</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D</w:t>
            </w:r>
            <w:r>
              <w:rPr>
                <w:rFonts w:ascii="Arial" w:cs="Arial" w:eastAsia="Arial" w:hAnsi="Arial"/>
                <w:sz w:val="12"/>
                <w:szCs w:val="12"/>
                <w:color w:val="auto"/>
                <w:w w:val="95"/>
              </w:rPr>
              <w:t>AVID</w:t>
            </w:r>
            <w:r>
              <w:rPr>
                <w:rFonts w:ascii="Arial" w:cs="Arial" w:eastAsia="Arial" w:hAnsi="Arial"/>
                <w:sz w:val="18"/>
                <w:szCs w:val="18"/>
                <w:color w:val="auto"/>
                <w:w w:val="95"/>
              </w:rPr>
              <w:t xml:space="preserve"> H. W</w:t>
            </w:r>
            <w:r>
              <w:rPr>
                <w:rFonts w:ascii="Arial" w:cs="Arial" w:eastAsia="Arial" w:hAnsi="Arial"/>
                <w:sz w:val="12"/>
                <w:szCs w:val="12"/>
                <w:color w:val="auto"/>
                <w:w w:val="95"/>
              </w:rPr>
              <w:t>ANG</w:t>
            </w:r>
          </w:p>
        </w:tc>
        <w:tc>
          <w:tcPr>
            <w:tcW w:w="5100" w:type="dxa"/>
            <w:vAlign w:val="bottom"/>
          </w:tcPr>
          <w:p>
            <w:pPr>
              <w:spacing w:after="0"/>
              <w:rPr>
                <w:sz w:val="17"/>
                <w:szCs w:val="17"/>
                <w:color w:val="auto"/>
              </w:rPr>
            </w:pPr>
          </w:p>
        </w:tc>
      </w:tr>
      <w:tr>
        <w:trPr>
          <w:trHeight w:val="228"/>
        </w:trPr>
        <w:tc>
          <w:tcPr>
            <w:tcW w:w="2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420" w:type="dxa"/>
            <w:vAlign w:val="bottom"/>
            <w:gridSpan w:val="2"/>
          </w:tcPr>
          <w:p>
            <w:pPr>
              <w:ind w:left="40"/>
              <w:spacing w:after="0"/>
              <w:rPr>
                <w:sz w:val="20"/>
                <w:szCs w:val="20"/>
                <w:color w:val="auto"/>
              </w:rPr>
            </w:pPr>
            <w:r>
              <w:rPr>
                <w:rFonts w:ascii="Arial" w:cs="Arial" w:eastAsia="Arial" w:hAnsi="Arial"/>
                <w:sz w:val="18"/>
                <w:szCs w:val="18"/>
                <w:color w:val="auto"/>
              </w:rPr>
              <w:t>David H. Wang</w:t>
            </w:r>
          </w:p>
        </w:tc>
      </w:tr>
      <w:tr>
        <w:trPr>
          <w:trHeight w:val="216"/>
        </w:trPr>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4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29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42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r>
      <w:tr>
        <w:trPr>
          <w:trHeight w:val="1515"/>
        </w:trPr>
        <w:tc>
          <w:tcPr>
            <w:tcW w:w="29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Lisa Feng, certify that:</w:t>
      </w:r>
    </w:p>
    <w:p>
      <w:pPr>
        <w:spacing w:after="0" w:line="158" w:lineRule="exact"/>
        <w:rPr>
          <w:sz w:val="20"/>
          <w:szCs w:val="20"/>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Amendment No. 1 on Form 10-Q/A to the Quarterly Report on Form 10-Q of ACM Research, Inc. for the quarterly period ended June 30, 2018 (as so amended, “this quarterly report”).</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rPr>
              <w:t>Dated: October 15, 2018</w:t>
            </w:r>
          </w:p>
        </w:tc>
        <w:tc>
          <w:tcPr>
            <w:tcW w:w="2180" w:type="dxa"/>
            <w:vAlign w:val="bottom"/>
          </w:tcPr>
          <w:p>
            <w:pPr>
              <w:ind w:left="1240"/>
              <w:spacing w:after="0"/>
              <w:rPr>
                <w:sz w:val="20"/>
                <w:szCs w:val="20"/>
                <w:color w:val="auto"/>
              </w:rPr>
            </w:pPr>
            <w:r>
              <w:rPr>
                <w:rFonts w:ascii="Arial" w:cs="Arial" w:eastAsia="Arial" w:hAnsi="Arial"/>
                <w:sz w:val="18"/>
                <w:szCs w:val="18"/>
                <w:color w:val="auto"/>
              </w:rPr>
              <w:t>By</w:t>
            </w: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L</w:t>
            </w:r>
            <w:r>
              <w:rPr>
                <w:rFonts w:ascii="Arial" w:cs="Arial" w:eastAsia="Arial" w:hAnsi="Arial"/>
                <w:sz w:val="12"/>
                <w:szCs w:val="12"/>
                <w:color w:val="auto"/>
                <w:w w:val="92"/>
              </w:rPr>
              <w:t>ISA</w:t>
            </w:r>
            <w:r>
              <w:rPr>
                <w:rFonts w:ascii="Arial" w:cs="Arial" w:eastAsia="Arial" w:hAnsi="Arial"/>
                <w:sz w:val="18"/>
                <w:szCs w:val="18"/>
                <w:color w:val="auto"/>
                <w:w w:val="92"/>
              </w:rPr>
              <w:t xml:space="preserve"> F</w:t>
            </w:r>
            <w:r>
              <w:rPr>
                <w:rFonts w:ascii="Arial" w:cs="Arial" w:eastAsia="Arial" w:hAnsi="Arial"/>
                <w:sz w:val="12"/>
                <w:szCs w:val="12"/>
                <w:color w:val="auto"/>
                <w:w w:val="92"/>
              </w:rPr>
              <w:t>ENG</w:t>
            </w:r>
          </w:p>
        </w:tc>
        <w:tc>
          <w:tcPr>
            <w:tcW w:w="5360" w:type="dxa"/>
            <w:vAlign w:val="bottom"/>
          </w:tcPr>
          <w:p>
            <w:pPr>
              <w:spacing w:after="0"/>
              <w:rPr>
                <w:sz w:val="17"/>
                <w:szCs w:val="17"/>
                <w:color w:val="auto"/>
              </w:rPr>
            </w:pPr>
          </w:p>
        </w:tc>
      </w:tr>
      <w:tr>
        <w:trPr>
          <w:trHeight w:val="228"/>
        </w:trPr>
        <w:tc>
          <w:tcPr>
            <w:tcW w:w="2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Lisa Feng</w:t>
            </w:r>
          </w:p>
        </w:tc>
      </w:tr>
      <w:tr>
        <w:trPr>
          <w:trHeight w:val="216"/>
        </w:trPr>
        <w:tc>
          <w:tcPr>
            <w:tcW w:w="2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Interim Chief Financial Officer, Chief Accounting Officer and Treasurer</w:t>
            </w:r>
          </w:p>
        </w:tc>
      </w:tr>
      <w:tr>
        <w:trPr>
          <w:trHeight w:val="222"/>
        </w:trPr>
        <w:tc>
          <w:tcPr>
            <w:tcW w:w="2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26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r>
      <w:tr>
        <w:trPr>
          <w:trHeight w:val="1299"/>
        </w:trPr>
        <w:tc>
          <w:tcPr>
            <w:tcW w:w="29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2019-12-28T19:07:55Z</dcterms:created>
  <dcterms:modified xsi:type="dcterms:W3CDTF">2019-12-28T19:07:55Z</dcterms:modified>
</cp:coreProperties>
</file>