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Arial" w:cs="Arial" w:eastAsia="Arial" w:hAnsi="Arial"/>
                <w:sz w:val="21"/>
                <w:szCs w:val="21"/>
                <w:u w:val="single" w:color="auto"/>
                <w:color w:val="0000EE"/>
                <w:w w:val="93"/>
              </w:rPr>
            </w:pPr>
            <w:hyperlink r:id="rId13">
              <w:r>
                <w:rPr>
                  <w:rFonts w:ascii="Arial" w:cs="Arial" w:eastAsia="Arial" w:hAnsi="Arial"/>
                  <w:sz w:val="21"/>
                  <w:szCs w:val="21"/>
                  <w:u w:val="single" w:color="auto"/>
                  <w:color w:val="0000EE"/>
                  <w:w w:val="93"/>
                </w:rPr>
                <w:t>Hu Chenming</w:t>
              </w:r>
            </w:hyperlink>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ACM Research,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ACMR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C/O ACM RESEARCH, INC.</w:t>
            </w:r>
          </w:p>
        </w:tc>
        <w:tc>
          <w:tcPr>
            <w:tcW w:w="134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7"/>
                <w:szCs w:val="17"/>
                <w:color w:val="0000FF"/>
              </w:rPr>
              <w:t>07/13/2020</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5"/>
            <w:vMerge w:val="restart"/>
          </w:tcPr>
          <w:p>
            <w:pPr>
              <w:spacing w:after="0"/>
              <w:rPr>
                <w:sz w:val="20"/>
                <w:szCs w:val="20"/>
                <w:color w:val="auto"/>
              </w:rPr>
            </w:pPr>
            <w:r>
              <w:rPr>
                <w:rFonts w:ascii="Arial" w:cs="Arial" w:eastAsia="Arial" w:hAnsi="Arial"/>
                <w:sz w:val="17"/>
                <w:szCs w:val="17"/>
                <w:color w:val="0000FF"/>
              </w:rPr>
              <w:t>42307 OSGOOD ROAD, SUITE I</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FREMONT</w:t>
            </w:r>
          </w:p>
        </w:tc>
        <w:tc>
          <w:tcPr>
            <w:tcW w:w="260" w:type="dxa"/>
            <w:vAlign w:val="bottom"/>
          </w:tcPr>
          <w:p>
            <w:pPr>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94539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4"/>
          </w:tcPr>
          <w:p>
            <w:pPr>
              <w:ind w:left="820"/>
              <w:spacing w:after="0"/>
              <w:rPr>
                <w:sz w:val="20"/>
                <w:szCs w:val="20"/>
                <w:color w:val="auto"/>
              </w:rPr>
            </w:pPr>
            <w:r>
              <w:rPr>
                <w:rFonts w:ascii="Arial" w:cs="Arial" w:eastAsia="Arial" w:hAnsi="Arial"/>
                <w:sz w:val="17"/>
                <w:szCs w:val="17"/>
                <w:color w:val="0000FF"/>
              </w:rPr>
              <w:t>07/13/2020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14,000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84.15</w:t>
            </w:r>
            <w:r>
              <w:rPr>
                <w:rFonts w:ascii="Arial" w:cs="Arial" w:eastAsia="Arial" w:hAnsi="Arial"/>
                <w:sz w:val="22"/>
                <w:szCs w:val="22"/>
                <w:color w:val="008000"/>
                <w:w w:val="94"/>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7,806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80" w:firstLine="7"/>
        <w:spacing w:after="0" w:line="30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represents a weighted average price. The shares were sold in multiple transactions at prices ranging from $83.29 to $85.00,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19"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Mark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07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w:t>
      </w:r>
      <w:r>
        <w:rPr>
          <w:sz w:val="20"/>
          <w:szCs w:val="20"/>
          <w:color w:val="auto"/>
        </w:rPr>
        <w:tab/>
      </w:r>
      <w:r>
        <w:rPr>
          <w:rFonts w:ascii="Arial" w:cs="Arial" w:eastAsia="Arial" w:hAnsi="Arial"/>
          <w:sz w:val="15"/>
          <w:szCs w:val="15"/>
          <w:color w:val="0000FF"/>
        </w:rPr>
        <w:t>07/15/2020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4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Chenming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0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2039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16320"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2020-07-15T19:02:18Z</dcterms:created>
  <dcterms:modified xsi:type="dcterms:W3CDTF">2020-07-15T19:02:18Z</dcterms:modified>
</cp:coreProperties>
</file>