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14,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9"/>
        </w:trPr>
        <w:tc>
          <w:tcPr>
            <w:tcW w:w="5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2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ACMR</w:t>
            </w:r>
          </w:p>
        </w:tc>
        <w:tc>
          <w:tcPr>
            <w:tcW w:w="22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14, 2025, we issued a press release entitled “ACM Research Updates 2024 Revenue Outlook and Provides Initial Outlook for 2025 Revenue.” The full text of the press release is furnished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22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ACM Research, Inc. dated January 14, 2025</w:t>
      </w:r>
    </w:p>
    <w:p>
      <w:pPr>
        <w:spacing w:after="0" w:line="22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14, 2025</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Updates 2024 Revenue Outlook and Provides Initial Outlook for 2025 Revenue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—Updates 2024 Revenue Outlook to $755 to $770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—Projected 2025 Revenue of $850 to $950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—ACM to Participate at Upcoming Conferences—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FREMONT, Calif., Jan. 14, 2025 (GLOBE NEWSWIRE) – ACM Research, Inc. (“ACM”) (NASDAQ: ACMR), a leading supplier of wafer processing solutions for semiconductor and advanced packaging applications, today has updated its full year 2024 revenue outlook to a range of $755 million to $770 million, versus a range of $725 million to $745 million as was provided in ACM’s third quarter 2024 earnings release issued on November 7, 2024.</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ACM also announced that it expects revenue for the full year 2025 to be in the range of $850 million to $950 million. This expectation is based on ACM management’s current assessment of the impact from international trade policies, together with various expected spending scenarios of key customers, supply chain constraints, and the timing of acceptances for first tools under evaluation in the field, among other factors.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planning for continued growth in 2025 amidst the ever-evolving geopolitical environment,” said Dr. David Wang, ACM’s President and Chief Executive Officer. “We anticipate continued investments in production capacity by our mainland China customers, with incremental contribution from single-wafer SPM, Tahoe, Furnace and other new products, and we believe the impact to our supply chain from the new U.S. component export restrictions on ACM Shanghai’s tool production is manageable. At the same time, we remain committed to developing world-class tools to expand our business into markets beyond mainland China, which we believe will play a growing role in the coming years.”</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ACM plans to release its fourth quarter and full year 2024 financial results in late February 2025. The 2024 revenue outlook included in this press release is preliminary. Actual fourth quarter and full year 2024 revenue results are subject to review and audit procedures by ACM’s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ACM will participate in group and one-on-one meetings hosted by UBS on January 15, 2025 (China time) in Pudong, Shanghai, followed by a virtual presentation and one-on-one meetings at the 27th Annual Needham Growth Conference on January 16, 2025 (U.S.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4" w:lineRule="exact"/>
        <w:rPr>
          <w:sz w:val="20"/>
          <w:szCs w:val="20"/>
          <w:color w:val="auto"/>
        </w:rPr>
      </w:pPr>
    </w:p>
    <w:p>
      <w:pPr>
        <w:ind w:firstLine="8"/>
        <w:spacing w:after="0" w:line="282" w:lineRule="auto"/>
        <w:tabs>
          <w:tab w:leader="none" w:pos="2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3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6"/>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34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3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960" w:type="dxa"/>
            <w:vAlign w:val="bottom"/>
          </w:tcPr>
          <w:p>
            <w:pPr>
              <w:ind w:left="48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33"/>
        </w:trPr>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2025-01-14T06:33:36Z</dcterms:created>
  <dcterms:modified xsi:type="dcterms:W3CDTF">2025-01-14T06:33:36Z</dcterms:modified>
</cp:coreProperties>
</file>