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Wang David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ACM RESEARCH,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42307 OSGOOD ROAD, SUITE I</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ACM Research, Inc.</w:t>
              </w:r>
            </w:hyperlink>
            <w:r>
              <w:rPr/>
              <w:t xml:space="preserve"> [ </w:t>
            </w:r>
            <w:r>
              <w:rPr>
                <w:rFonts w:ascii="Times;serif" w:hAnsi="Times;serif"/>
                <w:color w:val="0000FF"/>
                <w:sz w:val="24"/>
                <w:shd w:fill="FFFFFF" w:val="clear"/>
              </w:rPr>
              <w:t>ACMR</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4"/>
              <w:gridCol w:w="988"/>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61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966"/>
        <w:gridCol w:w="906"/>
        <w:gridCol w:w="801"/>
        <w:gridCol w:w="891"/>
        <w:gridCol w:w="1101"/>
        <w:gridCol w:w="801"/>
        <w:gridCol w:w="966"/>
        <w:gridCol w:w="831"/>
        <w:gridCol w:w="846"/>
      </w:tblGrid>
      <w:tr>
        <w:trPr>
          <w:tblHeader w:val="true"/>
        </w:trPr>
        <w:tc>
          <w:tcPr>
            <w:tcW w:w="126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13.24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08/10/2023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08/09/2033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will vest and become exercisable as to 270,000 shares on August 10, 2024 and the remaining 810,000 shares will vest and become exercisable in equal monthly installments over the following 36 months, subject to continued service through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Chief Executive Officer, President and Director</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McKechnie, Attorney-in-Fact for David H. Wang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08/14/2023</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721580" TargetMode="External"/><Relationship Id="rId4" Type="http://schemas.openxmlformats.org/officeDocument/2006/relationships/hyperlink" Target="http://www.sec.gov/cgi-bin/browse-edgar?action=getcompany&amp;CIK=000168006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3382</Characters>
  <CharactersWithSpaces>3936</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