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6, 2021</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35" w:right="339" w:bottom="1440" w:gutter="0" w:footer="0" w:header="0"/>
          <w:type w:val="continuous"/>
        </w:sectPr>
      </w:pPr>
    </w:p>
    <w:p>
      <w:pPr>
        <w:spacing w:after="0" w:line="5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439"/>
        </w:trPr>
        <w:tc>
          <w:tcPr>
            <w:tcW w:w="5540" w:type="dxa"/>
            <w:vAlign w:val="bottom"/>
            <w:gridSpan w:val="2"/>
          </w:tcPr>
          <w:p>
            <w:pPr>
              <w:ind w:left="1940"/>
              <w:spacing w:after="0"/>
              <w:rPr>
                <w:sz w:val="20"/>
                <w:szCs w:val="20"/>
                <w:color w:val="auto"/>
              </w:rPr>
            </w:pPr>
            <w:r>
              <w:rPr>
                <w:rFonts w:ascii="Arial" w:cs="Arial" w:eastAsia="Arial" w:hAnsi="Arial"/>
                <w:sz w:val="18"/>
                <w:szCs w:val="18"/>
                <w:b w:val="1"/>
                <w:bCs w:val="1"/>
                <w:color w:val="auto"/>
              </w:rPr>
              <w:t>Title of each class</w:t>
            </w: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Trading symbol</w:t>
            </w: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34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ACMR</w:t>
            </w:r>
          </w:p>
        </w:tc>
        <w:tc>
          <w:tcPr>
            <w:tcW w:w="340" w:type="dxa"/>
            <w:vAlign w:val="bottom"/>
          </w:tcPr>
          <w:p>
            <w:pPr>
              <w:spacing w:after="0"/>
              <w:rPr>
                <w:sz w:val="20"/>
                <w:szCs w:val="20"/>
                <w:color w:val="auto"/>
              </w:rPr>
            </w:pPr>
          </w:p>
        </w:tc>
        <w:tc>
          <w:tcPr>
            <w:tcW w:w="3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6, 2021, we issued a press release announcing financial results for the first quarter of 2021. The full text of the press release is furnished as Exhibit 99.01 hereto and is incorporated herein by reference.</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gridSpan w:val="4"/>
          </w:tcPr>
          <w:p>
            <w:pPr>
              <w:ind w:left="140"/>
              <w:spacing w:after="0"/>
              <w:rPr>
                <w:sz w:val="20"/>
                <w:szCs w:val="20"/>
                <w:color w:val="auto"/>
              </w:rPr>
            </w:pPr>
            <w:r>
              <w:rPr>
                <w:rFonts w:ascii="Arial" w:cs="Arial" w:eastAsia="Arial" w:hAnsi="Arial"/>
                <w:sz w:val="18"/>
                <w:szCs w:val="18"/>
                <w:b w:val="1"/>
                <w:bCs w:val="1"/>
                <w:color w:val="auto"/>
              </w:rPr>
              <w:t>Exhibit</w:t>
            </w:r>
          </w:p>
        </w:tc>
        <w:tc>
          <w:tcPr>
            <w:tcW w:w="10080" w:type="dxa"/>
            <w:vAlign w:val="bottom"/>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391"/>
        </w:trPr>
        <w:tc>
          <w:tcPr>
            <w:tcW w:w="860" w:type="dxa"/>
            <w:vAlign w:val="bottom"/>
            <w:tcBorders>
              <w:top w:val="single" w:sz="8" w:color="auto"/>
            </w:tcBorders>
            <w:gridSpan w:val="3"/>
          </w:tcPr>
          <w:p>
            <w:pPr>
              <w:jc w:val="center"/>
              <w:ind w:right="200"/>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01</w:t>
              </w:r>
            </w:hyperlink>
          </w:p>
        </w:tc>
        <w:tc>
          <w:tcPr>
            <w:tcW w:w="300" w:type="dxa"/>
            <w:vAlign w:val="bottom"/>
          </w:tcPr>
          <w:p>
            <w:pPr>
              <w:spacing w:after="0"/>
              <w:rPr>
                <w:sz w:val="24"/>
                <w:szCs w:val="24"/>
                <w:color w:val="auto"/>
              </w:rPr>
            </w:pPr>
          </w:p>
        </w:tc>
        <w:tc>
          <w:tcPr>
            <w:tcW w:w="10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of ACM Research, Inc. dated May 6, 2021</w:t>
            </w:r>
          </w:p>
        </w:tc>
      </w:tr>
      <w:tr>
        <w:trPr>
          <w:trHeight w:val="453"/>
        </w:trPr>
        <w:tc>
          <w:tcPr>
            <w:tcW w:w="240" w:type="dxa"/>
            <w:vAlign w:val="bottom"/>
          </w:tcPr>
          <w:p>
            <w:pPr>
              <w:spacing w:after="0"/>
              <w:rPr>
                <w:sz w:val="24"/>
                <w:szCs w:val="24"/>
                <w:color w:val="auto"/>
              </w:rPr>
            </w:pPr>
          </w:p>
        </w:tc>
        <w:tc>
          <w:tcPr>
            <w:tcW w:w="40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auto"/>
                <w:w w:val="99"/>
              </w:rPr>
              <w:t>104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XBRL document)</w:t>
            </w:r>
          </w:p>
        </w:tc>
      </w:tr>
      <w:tr>
        <w:trPr>
          <w:trHeight w:val="582"/>
        </w:trPr>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tcPr>
          <w:p>
            <w:pPr>
              <w:jc w:val="right"/>
              <w:ind w:right="5495"/>
              <w:spacing w:after="0"/>
              <w:rPr>
                <w:sz w:val="20"/>
                <w:szCs w:val="20"/>
                <w:color w:val="auto"/>
              </w:rPr>
            </w:pPr>
            <w:r>
              <w:rPr>
                <w:rFonts w:ascii="Arial" w:cs="Arial" w:eastAsia="Arial" w:hAnsi="Arial"/>
                <w:sz w:val="14"/>
                <w:szCs w:val="14"/>
                <w:color w:val="auto"/>
              </w:rPr>
              <w:t>2</w:t>
            </w:r>
          </w:p>
        </w:tc>
      </w:tr>
      <w:tr>
        <w:trPr>
          <w:trHeight w:val="46"/>
        </w:trPr>
        <w:tc>
          <w:tcPr>
            <w:tcW w:w="2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2021</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165100</wp:posOffset>
            </wp:positionV>
            <wp:extent cx="899795" cy="5740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9979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Reports First Quarter 2021 Results</w:t>
      </w:r>
    </w:p>
    <w:p>
      <w:pPr>
        <w:spacing w:after="0" w:line="25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FREMONT, California, May 6, 2021 (Globe Newswire) – ACM Research, Inc. (“ACM” or the “Company”) (NASDAQ:ACMR), a leading supplier of wafer cleaning technologies for advanced semiconductor devices, today reported financial results for its first fiscal quarter ended March 31, 2021.</w:t>
      </w:r>
    </w:p>
    <w:p>
      <w:pPr>
        <w:spacing w:after="0" w:line="15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ACM’s President and Chief Executive Officer Dr. David Wang commented, “We are off to a great start for 2021, with incremental contribution from new products and new customers, and solid execution by our manufacturing team. For the first quarter, we grew revenue by 80% year-over-year, achieved record shipments of $74 million, and expanded production capacity with the addition of a second building at our factory in the Chuansha area of Pudong. We continue to execute on our mission to become a major global player in the semiconductor equipment industry.”</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Dr. Wang continued, “We are optimistic about our operating plans and business outlook for 2021. We continue to anticipate solid growth from our flagship cleaning products, with meaningful contributions from our semi-critical cleaning and electrochemical plating (ECP) products. We have made significant progress in North America, including hiring a seasoned team of industry veterans with decades of experience with major semiconductor manufacturers. Although timing is still uncertain for the STAR Market IPO of our subsidiary ACM Research (Shanghai), Inc., we are confident that the IPO will be completed successfully.”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i w:val="1"/>
                <w:iCs w:val="1"/>
                <w:color w:val="auto"/>
                <w:w w:val="79"/>
              </w:rPr>
              <w:t>(dollars in thousands,</w:t>
            </w:r>
          </w:p>
        </w:tc>
        <w:tc>
          <w:tcPr>
            <w:tcW w:w="1380" w:type="dxa"/>
            <w:vAlign w:val="bottom"/>
            <w:gridSpan w:val="3"/>
          </w:tcPr>
          <w:p>
            <w:pPr>
              <w:jc w:val="right"/>
              <w:spacing w:after="0"/>
              <w:rPr>
                <w:sz w:val="20"/>
                <w:szCs w:val="20"/>
                <w:color w:val="auto"/>
              </w:rPr>
            </w:pPr>
            <w:r>
              <w:rPr>
                <w:rFonts w:ascii="Arial" w:cs="Arial" w:eastAsia="Arial" w:hAnsi="Arial"/>
                <w:sz w:val="18"/>
                <w:szCs w:val="18"/>
                <w:i w:val="1"/>
                <w:iCs w:val="1"/>
                <w:color w:val="auto"/>
                <w:w w:val="96"/>
              </w:rPr>
              <w:t>except per share</w:t>
            </w:r>
          </w:p>
        </w:tc>
        <w:tc>
          <w:tcPr>
            <w:tcW w:w="500" w:type="dxa"/>
            <w:vAlign w:val="bottom"/>
            <w:gridSpan w:val="2"/>
          </w:tcPr>
          <w:p>
            <w:pPr>
              <w:jc w:val="right"/>
              <w:ind w:right="47"/>
              <w:spacing w:after="0"/>
              <w:rPr>
                <w:sz w:val="20"/>
                <w:szCs w:val="20"/>
                <w:color w:val="auto"/>
              </w:rPr>
            </w:pPr>
            <w:r>
              <w:rPr>
                <w:rFonts w:ascii="Arial" w:cs="Arial" w:eastAsia="Arial" w:hAnsi="Arial"/>
                <w:sz w:val="18"/>
                <w:szCs w:val="18"/>
                <w:i w:val="1"/>
                <w:iCs w:val="1"/>
                <w:color w:val="auto"/>
                <w:w w:val="87"/>
              </w:rPr>
              <w:t>data)</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43,732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24,348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43,732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24,348</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42.2%</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3,450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1,218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4,660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1,907</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 attributable to ACM Research,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5,470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1,705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7,727</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2,394</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0.41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0.13</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Diluted EPS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0.25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0.08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0.35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r>
    </w:tbl>
    <w:p>
      <w:pPr>
        <w:spacing w:after="0" w:line="214" w:lineRule="exact"/>
        <w:rPr>
          <w:sz w:val="20"/>
          <w:szCs w:val="20"/>
          <w:color w:val="auto"/>
        </w:rPr>
      </w:pPr>
    </w:p>
    <w:p>
      <w:pPr>
        <w:ind w:left="340" w:right="260" w:hanging="332"/>
        <w:spacing w:after="0" w:line="311"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(loss) attributable to ACM Research, Inc. and basic and diluted EPS, also exclude unrealized gain on trading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fiscal year 2021, the Company continues to expect revenue to be in the range of $205 million to $230 million. This expectation assumes, among other factors, improvement with respect to the global COVID-19 pandemic and stability in US-China trade policy. The range of ACM’s 2021 outlook reflects, among other things, variances in spending scenarios for the production ramps of key customers, the trajectory of the DRAM recovery, and the timing of acceptances for first tools under evaluation in the field.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Highlights and Recent Developments</w:t>
      </w:r>
    </w:p>
    <w:p>
      <w:pPr>
        <w:spacing w:after="0" w:line="252" w:lineRule="exact"/>
        <w:rPr>
          <w:sz w:val="20"/>
          <w:szCs w:val="20"/>
          <w:color w:val="auto"/>
        </w:rPr>
      </w:pPr>
    </w:p>
    <w:p>
      <w:pPr>
        <w:ind w:left="340" w:right="120" w:hanging="332"/>
        <w:spacing w:after="0" w:line="26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Shipments. </w:t>
      </w:r>
      <w:r>
        <w:rPr>
          <w:rFonts w:ascii="Arial" w:cs="Arial" w:eastAsia="Arial" w:hAnsi="Arial"/>
          <w:sz w:val="18"/>
          <w:szCs w:val="18"/>
          <w:color w:val="auto"/>
        </w:rPr>
        <w:t>Total shipments in the first quarter of 2021 were $74 million, versus $12 million in the first quarter of 2020 and $67 million in the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2020. Total shipments include deliveries for revenue in the quarter and deliveries of first tool systems awaiting customer acceptance for potential revenue in future quarters.</w:t>
      </w:r>
    </w:p>
    <w:p>
      <w:pPr>
        <w:spacing w:after="0" w:line="202" w:lineRule="exact"/>
        <w:rPr>
          <w:rFonts w:ascii="Arial" w:cs="Arial" w:eastAsia="Arial" w:hAnsi="Arial"/>
          <w:sz w:val="18"/>
          <w:szCs w:val="18"/>
          <w:color w:val="auto"/>
        </w:rPr>
      </w:pPr>
    </w:p>
    <w:p>
      <w:pPr>
        <w:ind w:left="340" w:right="80" w:hanging="332"/>
        <w:spacing w:after="0" w:line="26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Scaling Production Capacity. </w:t>
      </w:r>
      <w:r>
        <w:rPr>
          <w:rFonts w:ascii="Arial" w:cs="Arial" w:eastAsia="Arial" w:hAnsi="Arial"/>
          <w:sz w:val="18"/>
          <w:szCs w:val="18"/>
          <w:color w:val="auto"/>
        </w:rPr>
        <w:t>During the first quarter of 2021, ACM Shanghai leased an additional building immediately adjacent to its factory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Chuansha area of Shanghai’s Pudong district. The second building increases available floor space for production by 100,000 square feet, bringing the total available floor space in Chuansha to 200,000 square feet.</w:t>
      </w:r>
    </w:p>
    <w:p>
      <w:pPr>
        <w:spacing w:after="0" w:line="202" w:lineRule="exact"/>
        <w:rPr>
          <w:rFonts w:ascii="Arial" w:cs="Arial" w:eastAsia="Arial" w:hAnsi="Arial"/>
          <w:sz w:val="18"/>
          <w:szCs w:val="18"/>
          <w:color w:val="auto"/>
        </w:rPr>
      </w:pPr>
    </w:p>
    <w:p>
      <w:pPr>
        <w:ind w:left="340" w:right="120" w:hanging="332"/>
        <w:spacing w:after="0" w:line="303"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Broadened Ultra Fn Furnace Portfolio. </w:t>
      </w:r>
      <w:r>
        <w:rPr>
          <w:rFonts w:ascii="Arial" w:cs="Arial" w:eastAsia="Arial" w:hAnsi="Arial"/>
          <w:sz w:val="16"/>
          <w:szCs w:val="16"/>
          <w:color w:val="auto"/>
        </w:rPr>
        <w:t>During the first quarter of 2021, the Company broadened its Ultra Fn furnace dry processing tool portfolio</w:t>
      </w:r>
      <w:r>
        <w:rPr>
          <w:rFonts w:ascii="Arial" w:cs="Arial" w:eastAsia="Arial" w:hAnsi="Arial"/>
          <w:sz w:val="16"/>
          <w:szCs w:val="16"/>
          <w:b w:val="1"/>
          <w:bCs w:val="1"/>
          <w:color w:val="auto"/>
        </w:rPr>
        <w:t xml:space="preserve"> </w:t>
      </w:r>
      <w:r>
        <w:rPr>
          <w:rFonts w:ascii="Arial" w:cs="Arial" w:eastAsia="Arial" w:hAnsi="Arial"/>
          <w:sz w:val="16"/>
          <w:szCs w:val="16"/>
          <w:color w:val="auto"/>
        </w:rPr>
        <w:t>with additional semiconductor manufacturing processes, including un-doped poly and doped poly low-pressure chemical vapor deposition (LPCVD). The new capabilities build on the configurable system’s previously announced oxide, silicon nitride (SiN) LPCVD, and alloy annealing process capabilities. ACM has delivered multiple tools supporting these new applications and expects to deliver additional units in the coming quarters.</w:t>
      </w:r>
    </w:p>
    <w:p>
      <w:pPr>
        <w:spacing w:after="0" w:line="177" w:lineRule="exact"/>
        <w:rPr>
          <w:rFonts w:ascii="Arial" w:cs="Arial" w:eastAsia="Arial" w:hAnsi="Arial"/>
          <w:sz w:val="16"/>
          <w:szCs w:val="16"/>
          <w:color w:val="auto"/>
        </w:rPr>
      </w:pPr>
    </w:p>
    <w:p>
      <w:pPr>
        <w:ind w:left="340" w:right="180" w:hanging="332"/>
        <w:spacing w:after="0" w:line="26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Update on Engagement with Major First Tier Customers. </w:t>
      </w:r>
      <w:r>
        <w:rPr>
          <w:rFonts w:ascii="Arial" w:cs="Arial" w:eastAsia="Arial" w:hAnsi="Arial"/>
          <w:sz w:val="18"/>
          <w:szCs w:val="18"/>
          <w:color w:val="auto"/>
        </w:rPr>
        <w:t>With resources added to its sales team, ACM is building a sales pipeline via ongoing</w:t>
      </w:r>
      <w:r>
        <w:rPr>
          <w:rFonts w:ascii="Arial" w:cs="Arial" w:eastAsia="Arial" w:hAnsi="Arial"/>
          <w:sz w:val="18"/>
          <w:szCs w:val="18"/>
          <w:b w:val="1"/>
          <w:bCs w:val="1"/>
          <w:color w:val="auto"/>
        </w:rPr>
        <w:t xml:space="preserve"> </w:t>
      </w:r>
      <w:r>
        <w:rPr>
          <w:rFonts w:ascii="Arial" w:cs="Arial" w:eastAsia="Arial" w:hAnsi="Arial"/>
          <w:sz w:val="18"/>
          <w:szCs w:val="18"/>
          <w:color w:val="auto"/>
        </w:rPr>
        <w:t>engagement and technology discussions with U.S. and Taiwan-based prospects. The Company believes it can secure initial orders from one or more new major first tier customers in 2021.</w:t>
      </w:r>
    </w:p>
    <w:p>
      <w:pPr>
        <w:spacing w:after="0" w:line="202" w:lineRule="exact"/>
        <w:rPr>
          <w:rFonts w:ascii="Arial" w:cs="Arial" w:eastAsia="Arial" w:hAnsi="Arial"/>
          <w:sz w:val="18"/>
          <w:szCs w:val="18"/>
          <w:color w:val="auto"/>
        </w:rPr>
      </w:pPr>
    </w:p>
    <w:p>
      <w:pPr>
        <w:ind w:left="340" w:hanging="332"/>
        <w:spacing w:after="0" w:line="25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Update on ACM Shanghai IPO Activities. </w:t>
      </w:r>
      <w:r>
        <w:rPr>
          <w:rFonts w:ascii="Arial" w:cs="Arial" w:eastAsia="Arial" w:hAnsi="Arial"/>
          <w:sz w:val="18"/>
          <w:szCs w:val="18"/>
          <w:color w:val="auto"/>
        </w:rPr>
        <w:t>ACM Shanghai's application for an initial public offering of its shares on the STAR Market was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Listing Committee of the Shanghai Stock Exchange Commission (the “SSEC”) on September 30, 2020. Subsequently a short-seller report issued on October 8, 2020, followed by a class-action lawsuit on December 21, 2020 that cited the short-seller report, resulted in additional inquiries by the SSEC. In response to those inquiries, ACM completed and submitted to the SSEC a second Verification Report in late March 2021. Completion of the IPO is now dependent upon, among other factors, a successful review by the SSEC and registration by the China Securities Regulatory Commission.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figures refer to the first quarter of 2021and comparisons are with the first quarter of 2020, unless otherwise noted.</w:t>
      </w:r>
    </w:p>
    <w:p>
      <w:pPr>
        <w:spacing w:after="0" w:line="248" w:lineRule="exact"/>
        <w:rPr>
          <w:sz w:val="20"/>
          <w:szCs w:val="20"/>
          <w:color w:val="auto"/>
        </w:rPr>
      </w:pPr>
    </w:p>
    <w:p>
      <w:pPr>
        <w:ind w:left="340" w:hanging="332"/>
        <w:spacing w:after="0" w:line="28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was $43.7 million, up 79.6%, reflecting an increase in revenue from single wafer wet cleaning tools, advanced packaging and other back-end</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equipment.</w:t>
      </w:r>
    </w:p>
    <w:p>
      <w:pPr>
        <w:spacing w:after="0" w:line="188" w:lineRule="exact"/>
        <w:rPr>
          <w:rFonts w:ascii="Arial" w:cs="Arial" w:eastAsia="Arial" w:hAnsi="Arial"/>
          <w:sz w:val="18"/>
          <w:szCs w:val="18"/>
          <w:color w:val="auto"/>
        </w:rPr>
      </w:pPr>
    </w:p>
    <w:p>
      <w:pPr>
        <w:ind w:left="340" w:right="440" w:hanging="332"/>
        <w:spacing w:after="0" w:line="26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Gross margin </w:t>
      </w:r>
      <w:r>
        <w:rPr>
          <w:rFonts w:ascii="Arial" w:cs="Arial" w:eastAsia="Arial" w:hAnsi="Arial"/>
          <w:sz w:val="18"/>
          <w:szCs w:val="18"/>
          <w:color w:val="auto"/>
        </w:rPr>
        <w:t>was 41.3%, compared to 42.0% in the first quarter of 2020. Gross margin was within the range of 40% to 45%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long-term business model. The Company expects gross margin to vary from period to period due to a variety of factors, such as sales volume and product mix.</w:t>
      </w:r>
    </w:p>
    <w:p>
      <w:pPr>
        <w:spacing w:after="0" w:line="377" w:lineRule="exact"/>
        <w:rPr>
          <w:rFonts w:ascii="Arial" w:cs="Arial" w:eastAsia="Arial" w:hAnsi="Arial"/>
          <w:sz w:val="18"/>
          <w:szCs w:val="18"/>
          <w:color w:val="auto"/>
        </w:rPr>
      </w:pPr>
    </w:p>
    <w:p>
      <w:pPr>
        <w:ind w:left="5580" w:hanging="76"/>
        <w:spacing w:after="0"/>
        <w:tabs>
          <w:tab w:leader="none" w:pos="5580" w:val="left"/>
        </w:tabs>
        <w:numPr>
          <w:ilvl w:val="1"/>
          <w:numId w:val="4"/>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ind w:left="332" w:right="160" w:hanging="332"/>
        <w:spacing w:after="0" w:line="222" w:lineRule="exact"/>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were $14.6 million, an increase of 62.0%. Non-GAAP operating expenses, which exclude the effects of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were $13.5 million, up 60.8%. Non</w:t>
      </w:r>
      <w:r>
        <w:rPr>
          <w:rFonts w:ascii="MS PGothic" w:cs="MS PGothic" w:eastAsia="MS PGothic" w:hAnsi="MS PGothic"/>
          <w:sz w:val="18"/>
          <w:szCs w:val="18"/>
          <w:color w:val="auto"/>
        </w:rPr>
        <w:t>‑</w:t>
      </w:r>
      <w:r>
        <w:rPr>
          <w:rFonts w:ascii="Arial" w:cs="Arial" w:eastAsia="Arial" w:hAnsi="Arial"/>
          <w:sz w:val="18"/>
          <w:szCs w:val="18"/>
          <w:color w:val="auto"/>
        </w:rPr>
        <w:t>GAAP operating expenses as a percent of revenue decreased to 30.8%, compared to 34.4% in the first quarter of 2020.</w:t>
      </w:r>
    </w:p>
    <w:p>
      <w:pPr>
        <w:spacing w:after="0" w:line="226" w:lineRule="exact"/>
        <w:rPr>
          <w:rFonts w:ascii="Arial" w:cs="Arial" w:eastAsia="Arial" w:hAnsi="Arial"/>
          <w:sz w:val="18"/>
          <w:szCs w:val="18"/>
          <w:color w:val="auto"/>
        </w:rPr>
      </w:pPr>
    </w:p>
    <w:p>
      <w:pPr>
        <w:ind w:left="332" w:hanging="332"/>
        <w:spacing w:after="0" w:line="282"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of $3.5 million reflected an increase of 183% due to the increased revenue and operating leverage. Non-GAAP operating income of</w:t>
      </w:r>
      <w:r>
        <w:rPr>
          <w:rFonts w:ascii="Arial" w:cs="Arial" w:eastAsia="Arial" w:hAnsi="Arial"/>
          <w:sz w:val="18"/>
          <w:szCs w:val="18"/>
          <w:b w:val="1"/>
          <w:bCs w:val="1"/>
          <w:color w:val="auto"/>
        </w:rPr>
        <w:t xml:space="preserve"> </w:t>
      </w:r>
      <w:r>
        <w:rPr>
          <w:rFonts w:ascii="Arial" w:cs="Arial" w:eastAsia="Arial" w:hAnsi="Arial"/>
          <w:sz w:val="18"/>
          <w:szCs w:val="18"/>
          <w:color w:val="auto"/>
        </w:rPr>
        <w:t>$4.7 million reflected an increase of 144%.</w:t>
      </w:r>
    </w:p>
    <w:p>
      <w:pPr>
        <w:spacing w:after="0" w:line="188" w:lineRule="exact"/>
        <w:rPr>
          <w:rFonts w:ascii="Arial" w:cs="Arial" w:eastAsia="Arial" w:hAnsi="Arial"/>
          <w:sz w:val="18"/>
          <w:szCs w:val="18"/>
          <w:color w:val="auto"/>
        </w:rPr>
      </w:pPr>
    </w:p>
    <w:p>
      <w:pPr>
        <w:jc w:val="both"/>
        <w:ind w:left="332" w:right="200" w:hanging="332"/>
        <w:spacing w:after="0" w:line="266"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Unrealized loss on trading securities </w:t>
      </w:r>
      <w:r>
        <w:rPr>
          <w:rFonts w:ascii="Arial" w:cs="Arial" w:eastAsia="Arial" w:hAnsi="Arial"/>
          <w:sz w:val="18"/>
          <w:szCs w:val="18"/>
          <w:color w:val="auto"/>
        </w:rPr>
        <w:t>was $1.0 million in the first quarter of 2021. The loss reflects the change in market value of ACM Shanghai’s</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 investment in STAR Market IPO shares of Semiconductor Manufacturing International Corporation (“SMIC”), which began trading in mid-July 2020. The value was marked-to-market at quarter-end and is excluded from non-GAAP results.</w:t>
      </w:r>
    </w:p>
    <w:p>
      <w:pPr>
        <w:spacing w:after="0" w:line="202" w:lineRule="exact"/>
        <w:rPr>
          <w:rFonts w:ascii="Arial" w:cs="Arial" w:eastAsia="Arial" w:hAnsi="Arial"/>
          <w:sz w:val="18"/>
          <w:szCs w:val="18"/>
          <w:color w:val="auto"/>
        </w:rPr>
      </w:pPr>
    </w:p>
    <w:p>
      <w:pPr>
        <w:ind w:left="332" w:right="320" w:hanging="332"/>
        <w:spacing w:after="0" w:line="258"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Net income attributable to ACM Research, Inc. </w:t>
      </w:r>
      <w:r>
        <w:rPr>
          <w:rFonts w:ascii="Arial" w:cs="Arial" w:eastAsia="Arial" w:hAnsi="Arial"/>
          <w:sz w:val="18"/>
          <w:szCs w:val="18"/>
          <w:color w:val="auto"/>
        </w:rPr>
        <w:t>was $5.5 million, compared to $1.7 million in the first quarter of 2020. Non-GAAP 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attributable to ACM Research, Inc. in the first quarter of 2021, excluding the effect of stock-based compensation and unrealized loss on trading securities, was $7.7 million as compared to $2.4 million in the first quarter of 2020. Tax-related items (compared to a normalized tax rate), and the effects of foreign-exchange fluctuations on operating results provided net benefits of $3.8 million and $0.6 million in the first quarters of 2021 and 2020, respectively.</w:t>
      </w:r>
    </w:p>
    <w:p>
      <w:pPr>
        <w:spacing w:after="0" w:line="210" w:lineRule="exact"/>
        <w:rPr>
          <w:rFonts w:ascii="Arial" w:cs="Arial" w:eastAsia="Arial" w:hAnsi="Arial"/>
          <w:sz w:val="18"/>
          <w:szCs w:val="18"/>
          <w:color w:val="auto"/>
        </w:rPr>
      </w:pPr>
    </w:p>
    <w:p>
      <w:pPr>
        <w:ind w:left="332" w:hanging="332"/>
        <w:spacing w:after="0" w:line="261"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Net income per diluted share attributable to ACM Research, Inc. </w:t>
      </w:r>
      <w:r>
        <w:rPr>
          <w:rFonts w:ascii="Arial" w:cs="Arial" w:eastAsia="Arial" w:hAnsi="Arial"/>
          <w:sz w:val="18"/>
          <w:szCs w:val="18"/>
          <w:color w:val="auto"/>
        </w:rPr>
        <w:t>was $0.25, compared to $0.08 in the first quarter of 2020. Non-GAAP 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per diluted share, which excludes the effect of stock-based compensation and unrealized loss on trading securities, was $0.35 in the first quarter of 2021, compared to $0.11 in the first quarter of 2020. Tax items and effects of foreign-exchange fluctuations on operating results provided net benefits per share of $0.17 and $0.03 in the first quarters of 2021 and 2020, respectively.</w:t>
      </w:r>
    </w:p>
    <w:p>
      <w:pPr>
        <w:spacing w:after="0" w:line="381" w:lineRule="exact"/>
        <w:rPr>
          <w:rFonts w:ascii="Arial" w:cs="Arial" w:eastAsia="Arial" w:hAnsi="Arial"/>
          <w:sz w:val="18"/>
          <w:szCs w:val="18"/>
          <w:color w:val="auto"/>
        </w:rPr>
      </w:pPr>
    </w:p>
    <w:p>
      <w:pPr>
        <w:ind w:left="5572" w:hanging="76"/>
        <w:spacing w:after="0"/>
        <w:tabs>
          <w:tab w:leader="none" w:pos="5572" w:val="left"/>
        </w:tabs>
        <w:numPr>
          <w:ilvl w:val="1"/>
          <w:numId w:val="5"/>
        </w:numPr>
        <w:rPr>
          <w:rFonts w:ascii="Arial" w:cs="Arial" w:eastAsia="Arial" w:hAnsi="Arial"/>
          <w:sz w:val="14"/>
          <w:szCs w:val="14"/>
          <w:color w:val="auto"/>
        </w:rPr>
      </w:pPr>
      <w:r>
        <w:rPr>
          <w:rFonts w:ascii="Arial" w:cs="Arial" w:eastAsia="Arial" w:hAnsi="Arial"/>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6" w:name="page7"/>
    <w:bookmarkEnd w:id="6"/>
    <w:p>
      <w:pPr>
        <w:ind w:left="340" w:right="40" w:hanging="332"/>
        <w:spacing w:after="0" w:line="312"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Cash and equivalents </w:t>
      </w:r>
      <w:r>
        <w:rPr>
          <w:rFonts w:ascii="Arial" w:cs="Arial" w:eastAsia="Arial" w:hAnsi="Arial"/>
          <w:sz w:val="17"/>
          <w:szCs w:val="17"/>
          <w:color w:val="auto"/>
        </w:rPr>
        <w:t>at quarter-end were $78.8 million, versus $71.8 million at the end of the fourth quarter of 2020 and $52.3 million at the end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first quarter of 2020. The quarter-on-quarter increase was primarily due to positive cash flow from operations during the quarter.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Details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conference call to discuss results will be held on Friday, May 7, 2021, at 8:00 a.m. Eastern Time (8:00 p.m. China Time). Dial-in details for the call are as follows. Please reference conference ID 7084698.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Phone Number</w:t>
            </w:r>
          </w:p>
        </w:tc>
        <w:tc>
          <w:tcPr>
            <w:tcW w:w="1820" w:type="dxa"/>
            <w:vAlign w:val="bottom"/>
            <w:gridSpan w:val="2"/>
          </w:tcPr>
          <w:p>
            <w:pPr>
              <w:ind w:left="440"/>
              <w:spacing w:after="0"/>
              <w:rPr>
                <w:sz w:val="20"/>
                <w:szCs w:val="20"/>
                <w:color w:val="auto"/>
              </w:rPr>
            </w:pPr>
            <w:r>
              <w:rPr>
                <w:rFonts w:ascii="Arial" w:cs="Arial" w:eastAsia="Arial" w:hAnsi="Arial"/>
                <w:sz w:val="18"/>
                <w:szCs w:val="18"/>
                <w:b w:val="1"/>
                <w:bCs w:val="1"/>
                <w:color w:val="auto"/>
                <w:w w:val="91"/>
              </w:rPr>
              <w:t>Toll-Free Number</w:t>
            </w:r>
          </w:p>
        </w:tc>
      </w:tr>
      <w:tr>
        <w:trPr>
          <w:trHeight w:val="20"/>
        </w:trPr>
        <w:tc>
          <w:tcPr>
            <w:tcW w:w="2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22"/>
        </w:trPr>
        <w:tc>
          <w:tcPr>
            <w:tcW w:w="2260" w:type="dxa"/>
            <w:vAlign w:val="bottom"/>
          </w:tcPr>
          <w:p>
            <w:pPr>
              <w:spacing w:after="0"/>
              <w:rPr>
                <w:sz w:val="20"/>
                <w:szCs w:val="20"/>
                <w:color w:val="auto"/>
              </w:rPr>
            </w:pPr>
            <w:r>
              <w:rPr>
                <w:rFonts w:ascii="Arial" w:cs="Arial" w:eastAsia="Arial" w:hAnsi="Arial"/>
                <w:sz w:val="18"/>
                <w:szCs w:val="18"/>
                <w:color w:val="auto"/>
              </w:rPr>
              <w:t>United States</w:t>
            </w:r>
          </w:p>
        </w:tc>
        <w:tc>
          <w:tcPr>
            <w:tcW w:w="1800" w:type="dxa"/>
            <w:vAlign w:val="bottom"/>
            <w:gridSpan w:val="2"/>
          </w:tcPr>
          <w:p>
            <w:pPr>
              <w:spacing w:after="0"/>
              <w:rPr>
                <w:sz w:val="20"/>
                <w:szCs w:val="20"/>
                <w:color w:val="auto"/>
              </w:rPr>
            </w:pPr>
            <w:r>
              <w:rPr>
                <w:rFonts w:ascii="Arial" w:cs="Arial" w:eastAsia="Arial" w:hAnsi="Arial"/>
                <w:sz w:val="18"/>
                <w:szCs w:val="18"/>
                <w:color w:val="auto"/>
              </w:rPr>
              <w:t>+1 (661) 567-1217</w:t>
            </w:r>
          </w:p>
        </w:tc>
        <w:tc>
          <w:tcPr>
            <w:tcW w:w="1820" w:type="dxa"/>
            <w:vAlign w:val="bottom"/>
            <w:gridSpan w:val="2"/>
          </w:tcPr>
          <w:p>
            <w:pPr>
              <w:ind w:left="440"/>
              <w:spacing w:after="0"/>
              <w:rPr>
                <w:sz w:val="20"/>
                <w:szCs w:val="20"/>
                <w:color w:val="auto"/>
              </w:rPr>
            </w:pPr>
            <w:r>
              <w:rPr>
                <w:rFonts w:ascii="Arial" w:cs="Arial" w:eastAsia="Arial" w:hAnsi="Arial"/>
                <w:sz w:val="18"/>
                <w:szCs w:val="18"/>
                <w:color w:val="auto"/>
                <w:w w:val="91"/>
              </w:rPr>
              <w:t>+1 (833) 562-0137</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Hong Kong</w:t>
            </w:r>
          </w:p>
        </w:tc>
        <w:tc>
          <w:tcPr>
            <w:tcW w:w="1800" w:type="dxa"/>
            <w:vAlign w:val="bottom"/>
            <w:gridSpan w:val="2"/>
          </w:tcPr>
          <w:p>
            <w:pPr>
              <w:spacing w:after="0"/>
              <w:rPr>
                <w:sz w:val="20"/>
                <w:szCs w:val="20"/>
                <w:color w:val="auto"/>
              </w:rPr>
            </w:pPr>
            <w:r>
              <w:rPr>
                <w:rFonts w:ascii="Arial" w:cs="Arial" w:eastAsia="Arial" w:hAnsi="Arial"/>
                <w:sz w:val="18"/>
                <w:szCs w:val="18"/>
                <w:color w:val="auto"/>
              </w:rPr>
              <w:t>+852 5819 4851</w:t>
            </w:r>
          </w:p>
        </w:tc>
        <w:tc>
          <w:tcPr>
            <w:tcW w:w="1820" w:type="dxa"/>
            <w:vAlign w:val="bottom"/>
            <w:gridSpan w:val="2"/>
          </w:tcPr>
          <w:p>
            <w:pPr>
              <w:ind w:left="440"/>
              <w:spacing w:after="0"/>
              <w:rPr>
                <w:sz w:val="20"/>
                <w:szCs w:val="20"/>
                <w:color w:val="auto"/>
              </w:rPr>
            </w:pPr>
            <w:r>
              <w:rPr>
                <w:rFonts w:ascii="Arial" w:cs="Arial" w:eastAsia="Arial" w:hAnsi="Arial"/>
                <w:sz w:val="18"/>
                <w:szCs w:val="18"/>
                <w:color w:val="auto"/>
                <w:w w:val="96"/>
              </w:rPr>
              <w:t>+852 8009 66253</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Mainland China</w:t>
            </w:r>
          </w:p>
        </w:tc>
        <w:tc>
          <w:tcPr>
            <w:tcW w:w="1800" w:type="dxa"/>
            <w:vAlign w:val="bottom"/>
            <w:gridSpan w:val="2"/>
          </w:tcPr>
          <w:p>
            <w:pPr>
              <w:spacing w:after="0"/>
              <w:rPr>
                <w:sz w:val="20"/>
                <w:szCs w:val="20"/>
                <w:color w:val="auto"/>
              </w:rPr>
            </w:pPr>
            <w:r>
              <w:rPr>
                <w:rFonts w:ascii="Arial" w:cs="Arial" w:eastAsia="Arial" w:hAnsi="Arial"/>
                <w:sz w:val="18"/>
                <w:szCs w:val="18"/>
                <w:color w:val="auto"/>
              </w:rPr>
              <w:t>+86 8008700169</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+86 4006828609</w:t>
            </w: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recording of the webcast will be available on the investor page of the ACM website at </w:t>
      </w:r>
      <w:r>
        <w:rPr>
          <w:rFonts w:ascii="Arial" w:cs="Arial" w:eastAsia="Arial" w:hAnsi="Arial"/>
          <w:sz w:val="18"/>
          <w:szCs w:val="18"/>
          <w:u w:val="single" w:color="auto"/>
          <w:color w:val="auto"/>
        </w:rPr>
        <w:t>www.acmrcsh.com</w:t>
      </w:r>
      <w:r>
        <w:rPr>
          <w:rFonts w:ascii="Arial" w:cs="Arial" w:eastAsia="Arial" w:hAnsi="Arial"/>
          <w:sz w:val="18"/>
          <w:szCs w:val="18"/>
          <w:color w:val="auto"/>
        </w:rPr>
        <w:t xml:space="preserve"> for one week following the call.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Non-GAAP Financial Measures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ACM presents non-GAAP gross margin, operating expenses, operating income, net income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EPS exclude non-cash change in fair value of financial assets and liabilities, which ACM also believes is not indicative of its core operating results. A reconciliation of each non-GAAP financial measure to the most directly comparable GAAP financial measure is provided below under “Reconciliation of Non-GAAP to GAAP Financial Measures.”</w:t>
      </w:r>
    </w:p>
    <w:p>
      <w:pPr>
        <w:spacing w:after="0" w:line="2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2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5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Certain statements contained in the third paragraph of this press release, under the heading “Outlook” above, and in the fourth bullet under “Operating Highlights and Recent Developments” above are not historical facts and may be forward-looking statements within the meaning of the Private Securities Litigation Reform Act of 1995. Forward-looking statements include statements regarding the intent, belief and current expectations with respect to: the demand for ACM’s tools, including specifically in fiscal year 2021; the expansion in 2021 of ACM’s product offering, production capacity and base of major customers; the timing and ability of ACM to secure orders from new customers; and ACM’s plans for completion of the STAR Market initial public offering of shares of ACM Shanghai, which are expectations only, reflect management's current views, are based on certain assumptions, and involve risks and uncertainties. Actual results, events, or performance may differ materially from the above forward-looking statements due to a number of important factors, and will be dependent upon a variety of factors, including, but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 may be unable to obtain the qualification and acceptance of its delivered tools when anticipated or at all, which would delay or preclude ACM’s recognition of revenue from the sale of those tools; suppliers may not be able to meet ACM’s demands on a timely basis; ACM’s technologies and tools may not gain market acceptance; ACM may be unable to compete effectively by, among other things, enhancing its existing tools, adding additional production capacity and engaging additional major customers; volatile global economic, market, industry and other conditions could result in sharply lower demand for products containing semiconductors and for the Company's products and in disruption of capital and credit markets; trade regulations, currency fluctuations, political instability and war may materially adversely affect ACM due to its substantial non-U.S. customer and supplier base and its substantial non-U.S. manufacturing operations. The completion and timing of ACM Shanghai’s obtaining of remaining regulatory approval for the STAR Market IPO and listing of its shares are subject to numerous risks, such as the receipt of all necessary Chinese governmental approvals, that are outside ACM’s control. ACM cannot guarantee any future results, levels of activity, performance or achievements. ACM undertakes no obligation to publicly update these forward-looking statements to reflect events or circumstances that occur after the date hereof or to reflect any change in its expectations regarding these forward-looking statements or the occurrence of unanticipated events.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ACM Research, Inc.</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ACM develops, manufactures, and sells semiconductor process equipment for single-wafer or batch wet cleaning, electroplating, stress-free polishing and thermal processes that are critical to advanced semiconductor device manufacturing, as well as wafer-level packaging. The Company is committed to delivering customized, high performance, cost-effective process solutions that semiconductor manufacturers can use in numerous manufacturing steps to improve productivity and product yield.</w:t>
      </w:r>
    </w:p>
    <w:p>
      <w:pPr>
        <w:spacing w:after="0" w:line="214" w:lineRule="exact"/>
        <w:rPr>
          <w:sz w:val="20"/>
          <w:szCs w:val="20"/>
          <w:color w:val="auto"/>
        </w:rPr>
      </w:pPr>
    </w:p>
    <w:p>
      <w:pPr>
        <w:ind w:right="120" w:firstLine="8"/>
        <w:spacing w:after="0" w:line="263" w:lineRule="auto"/>
        <w:tabs>
          <w:tab w:leader="none" w:pos="182" w:val="left"/>
        </w:tabs>
        <w:numPr>
          <w:ilvl w:val="0"/>
          <w:numId w:val="7"/>
        </w:numPr>
        <w:rPr>
          <w:rFonts w:ascii="Arial" w:cs="Arial" w:eastAsia="Arial" w:hAnsi="Arial"/>
          <w:sz w:val="18"/>
          <w:szCs w:val="18"/>
          <w:color w:val="auto"/>
        </w:rPr>
      </w:pPr>
      <w:r>
        <w:rPr>
          <w:rFonts w:ascii="Arial" w:cs="Arial" w:eastAsia="Arial" w:hAnsi="Arial"/>
          <w:sz w:val="18"/>
          <w:szCs w:val="18"/>
          <w:color w:val="auto"/>
        </w:rPr>
        <w:t>ACM Research, Inc. ULTRA Furnace and the ACM Research logo are trademarks of ACM Research, Inc. For convenience, these trademarks appear in this press release without ™ symbols, but that practice does not mean that ACM will not assert, to the fullest extent under applicable law, its rights to the trademarks.</w:t>
      </w:r>
    </w:p>
    <w:p>
      <w:pPr>
        <w:spacing w:after="0" w:line="354" w:lineRule="exact"/>
        <w:rPr>
          <w:rFonts w:ascii="Arial" w:cs="Arial" w:eastAsia="Arial" w:hAnsi="Arial"/>
          <w:sz w:val="18"/>
          <w:szCs w:val="18"/>
          <w:color w:val="auto"/>
        </w:rPr>
      </w:pPr>
    </w:p>
    <w:p>
      <w:pPr>
        <w:ind w:left="5580" w:hanging="76"/>
        <w:spacing w:after="0"/>
        <w:tabs>
          <w:tab w:leader="none" w:pos="5580" w:val="left"/>
        </w:tabs>
        <w:numPr>
          <w:ilvl w:val="1"/>
          <w:numId w:val="7"/>
        </w:numPr>
        <w:rPr>
          <w:rFonts w:ascii="Arial" w:cs="Arial" w:eastAsia="Arial" w:hAnsi="Arial"/>
          <w:sz w:val="14"/>
          <w:szCs w:val="14"/>
          <w:color w:val="auto"/>
        </w:rPr>
      </w:pPr>
      <w:r>
        <w:rPr>
          <w:rFonts w:ascii="Arial" w:cs="Arial" w:eastAsia="Arial" w:hAnsi="Arial"/>
          <w:sz w:val="14"/>
          <w:szCs w:val="14"/>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gridSpan w:val="3"/>
          </w:tcPr>
          <w:p>
            <w:pPr>
              <w:spacing w:after="0"/>
              <w:rPr>
                <w:sz w:val="20"/>
                <w:szCs w:val="20"/>
                <w:color w:val="auto"/>
              </w:rPr>
            </w:pPr>
            <w:r>
              <w:rPr>
                <w:rFonts w:ascii="Arial" w:cs="Arial" w:eastAsia="Arial" w:hAnsi="Arial"/>
                <w:sz w:val="18"/>
                <w:szCs w:val="18"/>
                <w:color w:val="auto"/>
              </w:rPr>
              <w:t>In the United States:</w:t>
            </w:r>
          </w:p>
        </w:tc>
        <w:tc>
          <w:tcPr>
            <w:tcW w:w="1960" w:type="dxa"/>
            <w:vAlign w:val="bottom"/>
            <w:gridSpan w:val="2"/>
          </w:tcPr>
          <w:p>
            <w:pPr>
              <w:spacing w:after="0"/>
              <w:rPr>
                <w:sz w:val="20"/>
                <w:szCs w:val="20"/>
                <w:color w:val="auto"/>
              </w:rPr>
            </w:pPr>
            <w:r>
              <w:rPr>
                <w:rFonts w:ascii="Arial" w:cs="Arial" w:eastAsia="Arial" w:hAnsi="Arial"/>
                <w:sz w:val="18"/>
                <w:szCs w:val="18"/>
                <w:color w:val="auto"/>
              </w:rPr>
              <w:t>The Blueshirt Group</w:t>
            </w:r>
          </w:p>
        </w:tc>
      </w:tr>
      <w:tr>
        <w:trPr>
          <w:trHeight w:val="222"/>
        </w:trPr>
        <w:tc>
          <w:tcPr>
            <w:tcW w:w="6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Ralph Fong</w:t>
            </w:r>
          </w:p>
        </w:tc>
      </w:tr>
      <w:tr>
        <w:trPr>
          <w:trHeight w:val="216"/>
        </w:trPr>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+1 (415) 489-2195</w:t>
            </w:r>
          </w:p>
        </w:tc>
        <w:tc>
          <w:tcPr>
            <w:tcW w:w="60" w:type="dxa"/>
            <w:vAlign w:val="bottom"/>
          </w:tcPr>
          <w:p>
            <w:pPr>
              <w:spacing w:after="0"/>
              <w:rPr>
                <w:sz w:val="18"/>
                <w:szCs w:val="18"/>
                <w:color w:val="auto"/>
              </w:rPr>
            </w:pPr>
          </w:p>
        </w:tc>
      </w:tr>
      <w:tr>
        <w:trPr>
          <w:trHeight w:val="190"/>
        </w:trPr>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96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i w:val="1"/>
                <w:iCs w:val="1"/>
                <w:color w:val="auto"/>
                <w:w w:val="91"/>
              </w:rPr>
              <w:t>ralph@blueshirtgroup.com</w:t>
            </w:r>
          </w:p>
        </w:tc>
      </w:tr>
      <w:tr>
        <w:trPr>
          <w:trHeight w:val="412"/>
        </w:trPr>
        <w:tc>
          <w:tcPr>
            <w:tcW w:w="2820" w:type="dxa"/>
            <w:vAlign w:val="bottom"/>
            <w:gridSpan w:val="3"/>
          </w:tcPr>
          <w:p>
            <w:pPr>
              <w:spacing w:after="0"/>
              <w:rPr>
                <w:sz w:val="20"/>
                <w:szCs w:val="20"/>
                <w:color w:val="auto"/>
              </w:rPr>
            </w:pPr>
            <w:r>
              <w:rPr>
                <w:rFonts w:ascii="Arial" w:cs="Arial" w:eastAsia="Arial" w:hAnsi="Arial"/>
                <w:sz w:val="18"/>
                <w:szCs w:val="18"/>
                <w:color w:val="auto"/>
              </w:rPr>
              <w:t>In China:</w:t>
            </w:r>
          </w:p>
        </w:tc>
        <w:tc>
          <w:tcPr>
            <w:tcW w:w="1960" w:type="dxa"/>
            <w:vAlign w:val="bottom"/>
            <w:gridSpan w:val="2"/>
          </w:tcPr>
          <w:p>
            <w:pPr>
              <w:spacing w:after="0"/>
              <w:rPr>
                <w:sz w:val="20"/>
                <w:szCs w:val="20"/>
                <w:color w:val="auto"/>
              </w:rPr>
            </w:pPr>
            <w:r>
              <w:rPr>
                <w:rFonts w:ascii="Arial" w:cs="Arial" w:eastAsia="Arial" w:hAnsi="Arial"/>
                <w:sz w:val="18"/>
                <w:szCs w:val="18"/>
                <w:color w:val="auto"/>
                <w:w w:val="96"/>
              </w:rPr>
              <w:t>The Blueshirt Group Asia</w:t>
            </w:r>
          </w:p>
        </w:tc>
      </w:tr>
      <w:tr>
        <w:trPr>
          <w:trHeight w:val="222"/>
        </w:trPr>
        <w:tc>
          <w:tcPr>
            <w:tcW w:w="64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Gary Dvorchak, CFA</w:t>
            </w:r>
          </w:p>
        </w:tc>
      </w:tr>
      <w:tr>
        <w:trPr>
          <w:trHeight w:val="216"/>
        </w:trPr>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+86 (138) 1079-1480</w:t>
            </w:r>
          </w:p>
        </w:tc>
        <w:tc>
          <w:tcPr>
            <w:tcW w:w="60" w:type="dxa"/>
            <w:vAlign w:val="bottom"/>
          </w:tcPr>
          <w:p>
            <w:pPr>
              <w:spacing w:after="0"/>
              <w:rPr>
                <w:sz w:val="18"/>
                <w:szCs w:val="18"/>
                <w:color w:val="auto"/>
              </w:rPr>
            </w:pPr>
          </w:p>
        </w:tc>
      </w:tr>
      <w:tr>
        <w:trPr>
          <w:trHeight w:val="190"/>
        </w:trPr>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9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i w:val="1"/>
                <w:iCs w:val="1"/>
                <w:color w:val="auto"/>
                <w:w w:val="91"/>
              </w:rPr>
              <w:t>gary@blueshirtgroup.com</w:t>
            </w:r>
          </w:p>
        </w:tc>
        <w:tc>
          <w:tcPr>
            <w:tcW w:w="60" w:type="dxa"/>
            <w:vAlign w:val="bottom"/>
          </w:tcPr>
          <w:p>
            <w:pPr>
              <w:spacing w:after="0"/>
              <w:rPr>
                <w:sz w:val="16"/>
                <w:szCs w:val="16"/>
                <w:color w:val="auto"/>
              </w:rPr>
            </w:pPr>
          </w:p>
        </w:tc>
      </w:tr>
    </w:tbl>
    <w:p>
      <w:pPr>
        <w:spacing w:after="0" w:line="200" w:lineRule="exact"/>
        <w:rPr>
          <w:sz w:val="20"/>
          <w:szCs w:val="20"/>
          <w:color w:val="auto"/>
        </w:rPr>
      </w:pPr>
    </w:p>
    <w:p>
      <w:pPr>
        <w:spacing w:after="0" w:line="227"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200" w:type="dxa"/>
            <w:vAlign w:val="bottom"/>
          </w:tcPr>
          <w:p>
            <w:pPr>
              <w:spacing w:after="0"/>
              <w:rPr>
                <w:sz w:val="20"/>
                <w:szCs w:val="20"/>
                <w:color w:val="auto"/>
              </w:rPr>
            </w:pPr>
          </w:p>
        </w:tc>
        <w:tc>
          <w:tcPr>
            <w:tcW w:w="138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March 31, 2021</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2020</w:t>
            </w:r>
          </w:p>
        </w:tc>
        <w:tc>
          <w:tcPr>
            <w:tcW w:w="0" w:type="dxa"/>
            <w:vAlign w:val="bottom"/>
          </w:tcPr>
          <w:p>
            <w:pPr>
              <w:spacing w:after="0"/>
              <w:rPr>
                <w:sz w:val="1"/>
                <w:szCs w:val="1"/>
                <w:color w:val="auto"/>
              </w:rPr>
            </w:pPr>
          </w:p>
        </w:tc>
      </w:tr>
      <w:tr>
        <w:trPr>
          <w:trHeight w:val="202"/>
        </w:trPr>
        <w:tc>
          <w:tcPr>
            <w:tcW w:w="8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gridSpan w:val="4"/>
          </w:tcPr>
          <w:p>
            <w:pPr>
              <w:jc w:val="center"/>
              <w:ind w:left="570"/>
              <w:spacing w:after="0" w:line="201" w:lineRule="exact"/>
              <w:rPr>
                <w:sz w:val="20"/>
                <w:szCs w:val="20"/>
                <w:color w:val="auto"/>
              </w:rPr>
            </w:pPr>
            <w:r>
              <w:rPr>
                <w:rFonts w:ascii="Arial" w:cs="Arial" w:eastAsia="Arial" w:hAnsi="Arial"/>
                <w:sz w:val="18"/>
                <w:szCs w:val="18"/>
                <w:i w:val="1"/>
                <w:iCs w:val="1"/>
                <w:color w:val="auto"/>
                <w:w w:val="93"/>
              </w:rPr>
              <w:t>(Unaudited)</w:t>
            </w: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6"/>
          </w:tcPr>
          <w:p>
            <w:pPr>
              <w:jc w:val="center"/>
              <w:ind w:right="220"/>
              <w:spacing w:after="0"/>
              <w:rPr>
                <w:sz w:val="20"/>
                <w:szCs w:val="20"/>
                <w:color w:val="auto"/>
              </w:rPr>
            </w:pPr>
            <w:r>
              <w:rPr>
                <w:rFonts w:ascii="Arial" w:cs="Arial" w:eastAsia="Arial" w:hAnsi="Arial"/>
                <w:sz w:val="18"/>
                <w:szCs w:val="18"/>
                <w:i w:val="1"/>
                <w:iCs w:val="1"/>
                <w:color w:val="auto"/>
                <w:w w:val="89"/>
              </w:rPr>
              <w:t>(In thousands, except share and per</w:t>
            </w:r>
          </w:p>
        </w:tc>
        <w:tc>
          <w:tcPr>
            <w:tcW w:w="0" w:type="dxa"/>
            <w:vAlign w:val="bottom"/>
          </w:tcPr>
          <w:p>
            <w:pPr>
              <w:spacing w:after="0"/>
              <w:rPr>
                <w:sz w:val="1"/>
                <w:szCs w:val="1"/>
                <w:color w:val="auto"/>
              </w:rPr>
            </w:pPr>
          </w:p>
        </w:tc>
      </w:tr>
      <w:tr>
        <w:trPr>
          <w:trHeight w:val="230"/>
        </w:trPr>
        <w:tc>
          <w:tcPr>
            <w:tcW w:w="8200" w:type="dxa"/>
            <w:vAlign w:val="bottom"/>
            <w:vMerge w:val="restart"/>
          </w:tcPr>
          <w:p>
            <w:pPr>
              <w:ind w:left="3860"/>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4"/>
          </w:tcPr>
          <w:p>
            <w:pPr>
              <w:jc w:val="center"/>
              <w:ind w:left="590"/>
              <w:spacing w:after="0"/>
              <w:rPr>
                <w:sz w:val="20"/>
                <w:szCs w:val="20"/>
                <w:color w:val="auto"/>
              </w:rPr>
            </w:pPr>
            <w:r>
              <w:rPr>
                <w:rFonts w:ascii="Arial" w:cs="Arial" w:eastAsia="Arial" w:hAnsi="Arial"/>
                <w:sz w:val="18"/>
                <w:szCs w:val="18"/>
                <w:i w:val="1"/>
                <w:iCs w:val="1"/>
                <w:color w:val="auto"/>
                <w:w w:val="90"/>
              </w:rPr>
              <w:t>share data)</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71,766</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Trading securities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28,239</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w w:val="93"/>
              </w:rPr>
              <w:t>Accounts receivable, less allowance for doubtful accounts of $0 as of March 31, 2021 and December 31, 2020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56,441</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9,679</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88,639</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5,892</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8,192</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Land use right,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9,646</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Deferred tax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11,076</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Other long-term assets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40,475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40,496</w:t>
            </w:r>
          </w:p>
        </w:tc>
        <w:tc>
          <w:tcPr>
            <w:tcW w:w="0" w:type="dxa"/>
            <w:vAlign w:val="bottom"/>
          </w:tcPr>
          <w:p>
            <w:pPr>
              <w:spacing w:after="0"/>
              <w:rPr>
                <w:sz w:val="1"/>
                <w:szCs w:val="1"/>
                <w:color w:val="auto"/>
              </w:rPr>
            </w:pPr>
          </w:p>
        </w:tc>
      </w:tr>
      <w:tr>
        <w:trPr>
          <w:trHeight w:val="257"/>
        </w:trPr>
        <w:tc>
          <w:tcPr>
            <w:tcW w:w="82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371,819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200" w:type="dxa"/>
            <w:vAlign w:val="bottom"/>
          </w:tcPr>
          <w:p>
            <w:pPr>
              <w:ind w:left="270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26,147</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borrowings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44,721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35,603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from customers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17,888</w:t>
            </w:r>
          </w:p>
        </w:tc>
        <w:tc>
          <w:tcPr>
            <w:tcW w:w="0" w:type="dxa"/>
            <w:vAlign w:val="bottom"/>
          </w:tcPr>
          <w:p>
            <w:pPr>
              <w:spacing w:after="0"/>
              <w:rPr>
                <w:sz w:val="1"/>
                <w:szCs w:val="1"/>
                <w:color w:val="auto"/>
              </w:rPr>
            </w:pP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rPr>
              <w:t>FIN-48 payable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payables and accrued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18,805</w:t>
            </w:r>
          </w:p>
        </w:tc>
        <w:tc>
          <w:tcPr>
            <w:tcW w:w="0" w:type="dxa"/>
            <w:vAlign w:val="bottom"/>
          </w:tcPr>
          <w:p>
            <w:pPr>
              <w:spacing w:after="0"/>
              <w:rPr>
                <w:sz w:val="1"/>
                <w:szCs w:val="1"/>
                <w:color w:val="auto"/>
              </w:rPr>
            </w:pPr>
          </w:p>
        </w:tc>
      </w:tr>
      <w:tr>
        <w:trPr>
          <w:trHeight w:val="223"/>
        </w:trPr>
        <w:tc>
          <w:tcPr>
            <w:tcW w:w="820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liability</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rPr>
              <w:t>Long-term borrowings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17,979</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operating lease liability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rPr>
              <w:t>Deferred tax liability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tcPr>
          <w:p>
            <w:pPr>
              <w:ind w:left="50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156,572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133,087</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 Class A, par value $0.0001: 50,000,000 shares authorized as of March 31, 2021 and December</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31, 2020; 17,239,967 shares issued and outstanding as of March 31, 2021 and 16,896,693 shares issued and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December 31, 2020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8200" w:type="dxa"/>
            <w:vAlign w:val="bottom"/>
          </w:tcPr>
          <w:p>
            <w:pPr>
              <w:spacing w:after="0" w:line="201" w:lineRule="exact"/>
              <w:rPr>
                <w:sz w:val="20"/>
                <w:szCs w:val="20"/>
                <w:color w:val="auto"/>
              </w:rPr>
            </w:pPr>
            <w:r>
              <w:rPr>
                <w:rFonts w:ascii="Arial" w:cs="Arial" w:eastAsia="Arial" w:hAnsi="Arial"/>
                <w:sz w:val="18"/>
                <w:szCs w:val="18"/>
                <w:color w:val="auto"/>
                <w:w w:val="92"/>
              </w:rPr>
              <w:t>Common stock–Class B, par value $0.0001: 2,409,738 shares authorized as of March 31, 2021 and December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w w:val="93"/>
              </w:rPr>
              <w:t>31, 2020; 1,769,272 shares issued and outstanding as of March 31, 2021 and 1,802,606 shares issued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180"/>
              <w:spacing w:after="0"/>
              <w:rPr>
                <w:sz w:val="20"/>
                <w:szCs w:val="20"/>
                <w:color w:val="auto"/>
              </w:rPr>
            </w:pPr>
            <w:r>
              <w:rPr>
                <w:rFonts w:ascii="Arial" w:cs="Arial" w:eastAsia="Arial" w:hAnsi="Arial"/>
                <w:sz w:val="18"/>
                <w:szCs w:val="18"/>
                <w:color w:val="auto"/>
              </w:rPr>
              <w:t>outstanding as of December 31, 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102,004</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Accumulated surplus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34,287</w:t>
            </w:r>
          </w:p>
        </w:tc>
        <w:tc>
          <w:tcPr>
            <w:tcW w:w="0" w:type="dxa"/>
            <w:vAlign w:val="bottom"/>
          </w:tcPr>
          <w:p>
            <w:pPr>
              <w:spacing w:after="0"/>
              <w:rPr>
                <w:sz w:val="1"/>
                <w:szCs w:val="1"/>
                <w:color w:val="auto"/>
              </w:rPr>
            </w:pPr>
          </w:p>
        </w:tc>
      </w:tr>
      <w:tr>
        <w:trPr>
          <w:trHeight w:val="223"/>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b w:val="1"/>
                <w:bCs w:val="1"/>
                <w:color w:val="auto"/>
              </w:rPr>
              <w:t>Total ACM Research, Inc. stockholders’ equity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148,311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141,150</w:t>
            </w:r>
          </w:p>
        </w:tc>
        <w:tc>
          <w:tcPr>
            <w:tcW w:w="0" w:type="dxa"/>
            <w:vAlign w:val="bottom"/>
          </w:tcPr>
          <w:p>
            <w:pPr>
              <w:spacing w:after="0"/>
              <w:rPr>
                <w:sz w:val="1"/>
                <w:szCs w:val="1"/>
                <w:color w:val="auto"/>
              </w:rPr>
            </w:pPr>
          </w:p>
        </w:tc>
      </w:tr>
      <w:tr>
        <w:trPr>
          <w:trHeight w:val="223"/>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66,936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215,247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208,170</w:t>
            </w:r>
          </w:p>
        </w:tc>
        <w:tc>
          <w:tcPr>
            <w:tcW w:w="0" w:type="dxa"/>
            <w:vAlign w:val="bottom"/>
          </w:tcPr>
          <w:p>
            <w:pPr>
              <w:spacing w:after="0"/>
              <w:rPr>
                <w:sz w:val="1"/>
                <w:szCs w:val="1"/>
                <w:color w:val="auto"/>
              </w:rPr>
            </w:pPr>
          </w:p>
        </w:tc>
      </w:tr>
      <w:tr>
        <w:trPr>
          <w:trHeight w:val="256"/>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371,819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76"/>
        </w:trPr>
        <w:tc>
          <w:tcPr>
            <w:tcW w:w="8200" w:type="dxa"/>
            <w:vAlign w:val="bottom"/>
          </w:tcPr>
          <w:p>
            <w:pPr>
              <w:ind w:left="5500"/>
              <w:spacing w:after="0"/>
              <w:rPr>
                <w:sz w:val="20"/>
                <w:szCs w:val="20"/>
                <w:color w:val="auto"/>
              </w:rPr>
            </w:pPr>
            <w:r>
              <w:rPr>
                <w:rFonts w:ascii="Arial" w:cs="Arial" w:eastAsia="Arial" w:hAnsi="Arial"/>
                <w:sz w:val="14"/>
                <w:szCs w:val="14"/>
                <w:color w:val="auto"/>
              </w:rPr>
              <w:t>- 7 -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8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02"/>
        </w:trPr>
        <w:tc>
          <w:tcPr>
            <w:tcW w:w="8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5"/>
          </w:tcPr>
          <w:p>
            <w:pPr>
              <w:jc w:val="center"/>
              <w:ind w:right="320"/>
              <w:spacing w:after="0" w:line="201" w:lineRule="exact"/>
              <w:rPr>
                <w:sz w:val="20"/>
                <w:szCs w:val="20"/>
                <w:color w:val="auto"/>
              </w:rPr>
            </w:pPr>
            <w:r>
              <w:rPr>
                <w:rFonts w:ascii="Arial" w:cs="Arial" w:eastAsia="Arial" w:hAnsi="Arial"/>
                <w:sz w:val="18"/>
                <w:szCs w:val="18"/>
                <w:i w:val="1"/>
                <w:iCs w:val="1"/>
                <w:color w:val="auto"/>
                <w:w w:val="93"/>
              </w:rPr>
              <w:t>(Unaudited)</w:t>
            </w:r>
          </w:p>
        </w:tc>
      </w:tr>
      <w:tr>
        <w:trPr>
          <w:trHeight w:val="216"/>
        </w:trPr>
        <w:tc>
          <w:tcPr>
            <w:tcW w:w="8680" w:type="dxa"/>
            <w:vAlign w:val="bottom"/>
          </w:tcPr>
          <w:p>
            <w:pPr>
              <w:spacing w:after="0"/>
              <w:rPr>
                <w:sz w:val="18"/>
                <w:szCs w:val="18"/>
                <w:color w:val="auto"/>
              </w:rPr>
            </w:pPr>
          </w:p>
        </w:tc>
        <w:tc>
          <w:tcPr>
            <w:tcW w:w="2560" w:type="dxa"/>
            <w:vAlign w:val="bottom"/>
            <w:gridSpan w:val="6"/>
          </w:tcPr>
          <w:p>
            <w:pPr>
              <w:jc w:val="center"/>
              <w:ind w:right="120"/>
              <w:spacing w:after="0"/>
              <w:rPr>
                <w:sz w:val="20"/>
                <w:szCs w:val="20"/>
                <w:color w:val="auto"/>
              </w:rPr>
            </w:pPr>
            <w:r>
              <w:rPr>
                <w:rFonts w:ascii="Arial" w:cs="Arial" w:eastAsia="Arial" w:hAnsi="Arial"/>
                <w:sz w:val="18"/>
                <w:szCs w:val="18"/>
                <w:i w:val="1"/>
                <w:iCs w:val="1"/>
                <w:color w:val="auto"/>
                <w:w w:val="88"/>
              </w:rPr>
              <w:t>( In thousands, except share and</w:t>
            </w:r>
          </w:p>
        </w:tc>
      </w:tr>
      <w:tr>
        <w:trPr>
          <w:trHeight w:val="230"/>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jc w:val="center"/>
              <w:ind w:right="300"/>
              <w:spacing w:after="0"/>
              <w:rPr>
                <w:sz w:val="20"/>
                <w:szCs w:val="20"/>
                <w:color w:val="auto"/>
              </w:rPr>
            </w:pPr>
            <w:r>
              <w:rPr>
                <w:rFonts w:ascii="Arial" w:cs="Arial" w:eastAsia="Arial" w:hAnsi="Arial"/>
                <w:sz w:val="18"/>
                <w:szCs w:val="18"/>
                <w:i w:val="1"/>
                <w:iCs w:val="1"/>
                <w:color w:val="auto"/>
                <w:w w:val="90"/>
              </w:rPr>
              <w:t>per share data)</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24,348</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25,687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14,120</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3,677</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 net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14,595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9,010</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Unrealized loss on trading securities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(1,047)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Equity income in net income of affiliates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 and redeemable non-controlling interests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r>
      <w:tr>
        <w:trPr>
          <w:trHeight w:val="256"/>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income attributable to ACM Research, Inc.</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(1,332)</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(1,900)</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w w:val="98"/>
              </w:rPr>
              <w:t>Less: Comprehensive income attributable to non-controlling interests and redeemable non-controlling interests</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r>
      <w:tr>
        <w:trPr>
          <w:trHeight w:val="256"/>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Comprehensive income attributable to ACM Research, Inc.</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ACM Research, Inc. per common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used in computing per share amounts: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18,786,870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18,120,363</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21,868,280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21,066,636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5"/>
        </w:trPr>
        <w:tc>
          <w:tcPr>
            <w:tcW w:w="8680" w:type="dxa"/>
            <w:vAlign w:val="bottom"/>
          </w:tcPr>
          <w:p>
            <w:pPr>
              <w:ind w:left="5500"/>
              <w:spacing w:after="0"/>
              <w:rPr>
                <w:sz w:val="20"/>
                <w:szCs w:val="20"/>
                <w:color w:val="auto"/>
              </w:rPr>
            </w:pPr>
            <w:r>
              <w:rPr>
                <w:rFonts w:ascii="Arial" w:cs="Arial" w:eastAsia="Arial" w:hAnsi="Arial"/>
                <w:sz w:val="14"/>
                <w:szCs w:val="14"/>
                <w:color w:val="auto"/>
              </w:rPr>
              <w:t>- 8 -</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8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Revenue by Product Category, by Equipment Type and by Region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Revenue By Product Category</w:t>
            </w: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Single Wafer Cleaning Tools (SAPS, TEBO, Tahoe) and Semi-Critical Cleaning Equipment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32,413</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ECP (front-end and packaging), Furnace and Other Technologies</w:t>
            </w:r>
          </w:p>
        </w:tc>
        <w:tc>
          <w:tcPr>
            <w:tcW w:w="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5,550</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Advanced Packaging (excluding ECP), and Services &amp; Spare Parts</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5,769</w:t>
            </w: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43,732</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24,348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60" w:type="dxa"/>
            <w:vAlign w:val="bottom"/>
            <w:tcBorders>
              <w:bottom w:val="single" w:sz="8" w:color="auto"/>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868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 By Equipment Type (Front-end / Back-end)</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Wet Cleaning and Other Front-end Processing Tools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31,900</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22,784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Advanced Packaging, Other Back-end Processing Tools, and Services &amp; Spare Parts</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11,832</w:t>
            </w: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43,732</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24,348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60" w:type="dxa"/>
            <w:vAlign w:val="bottom"/>
            <w:tcBorders>
              <w:bottom w:val="single" w:sz="8" w:color="auto"/>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868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 By Region</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Mainland China</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43,696</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24,289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Regions</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43,732</w:t>
            </w:r>
          </w:p>
        </w:tc>
        <w:tc>
          <w:tcPr>
            <w:tcW w:w="4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24,348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500"/>
              <w:spacing w:after="0"/>
              <w:rPr>
                <w:sz w:val="20"/>
                <w:szCs w:val="20"/>
                <w:color w:val="auto"/>
              </w:rPr>
            </w:pPr>
            <w:r>
              <w:rPr>
                <w:rFonts w:ascii="Arial" w:cs="Arial" w:eastAsia="Arial" w:hAnsi="Arial"/>
                <w:sz w:val="14"/>
                <w:szCs w:val="14"/>
                <w:color w:val="auto"/>
              </w:rPr>
              <w:t>- 9 -</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5"/>
        </w:trPr>
        <w:tc>
          <w:tcPr>
            <w:tcW w:w="86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86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3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described under “Use of Non-GAAP Financial Measures” above, ACM presents non-GAAP gross margin, operating expenses, operating income, net income attributable to ACM Research, Inc., and basic and diluted earnings per share as supplemental measures to GAAP financial measures, each of which excludes stock-based compensation (“SBC”) from the equivalent GAAP financial line items. In addition, non-GAAP net income (loss) attributable to ACM Research, Inc., and basic and diluted earnings per share exclude non-cash change in fair value of financial liabilities and unrealized gain on trading securities. The following table reconciles gross margin, operating expenses, operating income, net income attributable to ACM Research, Inc., and basic and diluted earnings per share to the related non-GAAP financial measures: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 March 31,</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Actual</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3"/>
              </w:rPr>
              <w:t>Other non-</w:t>
            </w:r>
          </w:p>
        </w:tc>
        <w:tc>
          <w:tcPr>
            <w:tcW w:w="200" w:type="dxa"/>
            <w:vAlign w:val="bottom"/>
          </w:tcPr>
          <w:p>
            <w:pPr>
              <w:spacing w:after="0"/>
              <w:rPr>
                <w:sz w:val="17"/>
                <w:szCs w:val="17"/>
                <w:color w:val="auto"/>
              </w:rPr>
            </w:pPr>
          </w:p>
        </w:tc>
        <w:tc>
          <w:tcPr>
            <w:tcW w:w="1000" w:type="dxa"/>
            <w:vAlign w:val="bottom"/>
          </w:tcPr>
          <w:p>
            <w:pPr>
              <w:jc w:val="center"/>
              <w:ind w:right="210"/>
              <w:spacing w:after="0" w:line="198" w:lineRule="exact"/>
              <w:rPr>
                <w:sz w:val="20"/>
                <w:szCs w:val="20"/>
                <w:color w:val="auto"/>
              </w:rPr>
            </w:pPr>
            <w:r>
              <w:rPr>
                <w:rFonts w:ascii="Arial" w:cs="Arial" w:eastAsia="Arial" w:hAnsi="Arial"/>
                <w:sz w:val="18"/>
                <w:szCs w:val="18"/>
                <w:b w:val="1"/>
                <w:bCs w:val="1"/>
                <w:color w:val="auto"/>
                <w:w w:val="90"/>
              </w:rPr>
              <w:t>Adjusted</w:t>
            </w:r>
          </w:p>
        </w:tc>
        <w:tc>
          <w:tcPr>
            <w:tcW w:w="160" w:type="dxa"/>
            <w:vAlign w:val="bottom"/>
          </w:tcPr>
          <w:p>
            <w:pPr>
              <w:spacing w:after="0"/>
              <w:rPr>
                <w:sz w:val="17"/>
                <w:szCs w:val="17"/>
                <w:color w:val="auto"/>
              </w:rPr>
            </w:pPr>
          </w:p>
        </w:tc>
        <w:tc>
          <w:tcPr>
            <w:tcW w:w="94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Actual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Adjusted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6"/>
              </w:rPr>
              <w:t>(GAAP)</w:t>
            </w:r>
          </w:p>
        </w:tc>
        <w:tc>
          <w:tcPr>
            <w:tcW w:w="180" w:type="dxa"/>
            <w:vAlign w:val="bottom"/>
          </w:tcPr>
          <w:p>
            <w:pPr>
              <w:spacing w:after="0"/>
              <w:rPr>
                <w:sz w:val="18"/>
                <w:szCs w:val="18"/>
                <w:color w:val="auto"/>
              </w:rPr>
            </w:pPr>
          </w:p>
        </w:tc>
        <w:tc>
          <w:tcPr>
            <w:tcW w:w="820" w:type="dxa"/>
            <w:vAlign w:val="bottom"/>
          </w:tcPr>
          <w:p>
            <w:pPr>
              <w:jc w:val="right"/>
              <w:ind w:right="311"/>
              <w:spacing w:after="0"/>
              <w:rPr>
                <w:sz w:val="20"/>
                <w:szCs w:val="20"/>
                <w:color w:val="auto"/>
              </w:rPr>
            </w:pPr>
            <w:r>
              <w:rPr>
                <w:rFonts w:ascii="Arial" w:cs="Arial" w:eastAsia="Arial" w:hAnsi="Arial"/>
                <w:sz w:val="18"/>
                <w:szCs w:val="18"/>
                <w:b w:val="1"/>
                <w:bCs w:val="1"/>
                <w:color w:val="auto"/>
              </w:rPr>
              <w:t>SBC</w:t>
            </w:r>
          </w:p>
        </w:tc>
        <w:tc>
          <w:tcPr>
            <w:tcW w:w="16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operating</w:t>
            </w:r>
          </w:p>
        </w:tc>
        <w:tc>
          <w:tcPr>
            <w:tcW w:w="200" w:type="dxa"/>
            <w:vAlign w:val="bottom"/>
          </w:tcPr>
          <w:p>
            <w:pPr>
              <w:spacing w:after="0"/>
              <w:rPr>
                <w:sz w:val="18"/>
                <w:szCs w:val="18"/>
                <w:color w:val="auto"/>
              </w:rPr>
            </w:pPr>
          </w:p>
        </w:tc>
        <w:tc>
          <w:tcPr>
            <w:tcW w:w="100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(Non-</w:t>
            </w:r>
          </w:p>
        </w:tc>
        <w:tc>
          <w:tcPr>
            <w:tcW w:w="160" w:type="dxa"/>
            <w:vAlign w:val="bottom"/>
          </w:tcPr>
          <w:p>
            <w:pPr>
              <w:spacing w:after="0"/>
              <w:rPr>
                <w:sz w:val="18"/>
                <w:szCs w:val="18"/>
                <w:color w:val="auto"/>
              </w:rPr>
            </w:pPr>
          </w:p>
        </w:tc>
        <w:tc>
          <w:tcPr>
            <w:tcW w:w="9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6"/>
              </w:rPr>
              <w:t>(GAAP)</w:t>
            </w:r>
          </w:p>
        </w:tc>
        <w:tc>
          <w:tcPr>
            <w:tcW w:w="200" w:type="dxa"/>
            <w:vAlign w:val="bottom"/>
          </w:tcPr>
          <w:p>
            <w:pPr>
              <w:spacing w:after="0"/>
              <w:rPr>
                <w:sz w:val="18"/>
                <w:szCs w:val="18"/>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SBC</w:t>
            </w:r>
          </w:p>
        </w:tc>
        <w:tc>
          <w:tcPr>
            <w:tcW w:w="140" w:type="dxa"/>
            <w:vAlign w:val="bottom"/>
          </w:tcPr>
          <w:p>
            <w:pPr>
              <w:spacing w:after="0"/>
              <w:rPr>
                <w:sz w:val="18"/>
                <w:szCs w:val="18"/>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(Non-</w:t>
            </w:r>
          </w:p>
        </w:tc>
        <w:tc>
          <w:tcPr>
            <w:tcW w:w="0" w:type="dxa"/>
            <w:vAlign w:val="bottom"/>
          </w:tcPr>
          <w:p>
            <w:pPr>
              <w:spacing w:after="0"/>
              <w:rPr>
                <w:sz w:val="1"/>
                <w:szCs w:val="1"/>
                <w:color w:val="auto"/>
              </w:rPr>
            </w:pPr>
          </w:p>
        </w:tc>
      </w:tr>
      <w:tr>
        <w:trPr>
          <w:trHeight w:val="126"/>
        </w:trPr>
        <w:tc>
          <w:tcPr>
            <w:tcW w:w="3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200" w:type="dxa"/>
            <w:vAlign w:val="bottom"/>
          </w:tcPr>
          <w:p>
            <w:pPr>
              <w:spacing w:after="0"/>
              <w:rPr>
                <w:sz w:val="10"/>
                <w:szCs w:val="10"/>
                <w:color w:val="auto"/>
              </w:rPr>
            </w:pPr>
          </w:p>
        </w:tc>
        <w:tc>
          <w:tcPr>
            <w:tcW w:w="100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6"/>
              </w:rPr>
              <w:t>GAAP)</w:t>
            </w:r>
          </w:p>
        </w:tc>
        <w:tc>
          <w:tcPr>
            <w:tcW w:w="1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3"/>
            <w:vMerge w:val="restart"/>
          </w:tcPr>
          <w:p>
            <w:pPr>
              <w:jc w:val="center"/>
              <w:ind w:right="260"/>
              <w:spacing w:after="0"/>
              <w:rPr>
                <w:sz w:val="20"/>
                <w:szCs w:val="20"/>
                <w:color w:val="auto"/>
              </w:rPr>
            </w:pPr>
            <w:r>
              <w:rPr>
                <w:rFonts w:ascii="Arial" w:cs="Arial" w:eastAsia="Arial" w:hAnsi="Arial"/>
                <w:sz w:val="18"/>
                <w:szCs w:val="18"/>
                <w:b w:val="1"/>
                <w:bCs w:val="1"/>
                <w:color w:val="auto"/>
                <w:w w:val="99"/>
              </w:rPr>
              <w:t>GAAP)</w:t>
            </w:r>
          </w:p>
        </w:tc>
        <w:tc>
          <w:tcPr>
            <w:tcW w:w="0" w:type="dxa"/>
            <w:vAlign w:val="bottom"/>
          </w:tcPr>
          <w:p>
            <w:pPr>
              <w:spacing w:after="0"/>
              <w:rPr>
                <w:sz w:val="1"/>
                <w:szCs w:val="1"/>
                <w:color w:val="auto"/>
              </w:rPr>
            </w:pPr>
          </w:p>
        </w:tc>
      </w:tr>
      <w:tr>
        <w:trPr>
          <w:trHeight w:val="115"/>
        </w:trPr>
        <w:tc>
          <w:tcPr>
            <w:tcW w:w="3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i w:val="1"/>
                <w:iCs w:val="1"/>
                <w:color w:val="auto"/>
                <w:w w:val="88"/>
              </w:rPr>
              <w:t>(In thousands)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43,732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43,732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24,348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(25,687)</w:t>
            </w:r>
          </w:p>
        </w:tc>
        <w:tc>
          <w:tcPr>
            <w:tcW w:w="180" w:type="dxa"/>
            <w:vAlign w:val="bottom"/>
          </w:tcPr>
          <w:p>
            <w:pPr>
              <w:spacing w:after="0"/>
              <w:rPr>
                <w:sz w:val="19"/>
                <w:szCs w:val="19"/>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(25,616)</w:t>
            </w:r>
          </w:p>
        </w:tc>
        <w:tc>
          <w:tcPr>
            <w:tcW w:w="1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(14,120)</w:t>
            </w:r>
          </w:p>
        </w:tc>
        <w:tc>
          <w:tcPr>
            <w:tcW w:w="20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18,045</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(71)</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18,116</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10,228</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i w:val="1"/>
                <w:iCs w:val="1"/>
                <w:color w:val="auto"/>
              </w:rPr>
              <w:t>Gross margin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41.3%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0.2%</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41.4%</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42.0%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0.2%</w:t>
            </w:r>
          </w:p>
        </w:tc>
        <w:tc>
          <w:tcPr>
            <w:tcW w:w="1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42.2%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(5,308)</w:t>
            </w:r>
          </w:p>
        </w:tc>
        <w:tc>
          <w:tcPr>
            <w:tcW w:w="18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(4,803)</w:t>
            </w:r>
          </w:p>
        </w:tc>
        <w:tc>
          <w:tcPr>
            <w:tcW w:w="1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(3,005)</w:t>
            </w:r>
          </w:p>
        </w:tc>
        <w:tc>
          <w:tcPr>
            <w:tcW w:w="2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(5,504)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(5,275)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(3,677)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23"/>
        </w:trPr>
        <w:tc>
          <w:tcPr>
            <w:tcW w:w="370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(3,783)</w:t>
            </w:r>
          </w:p>
        </w:tc>
        <w:tc>
          <w:tcPr>
            <w:tcW w:w="180" w:type="dxa"/>
            <w:vAlign w:val="bottom"/>
          </w:tcPr>
          <w:p>
            <w:pPr>
              <w:spacing w:after="0"/>
              <w:rPr>
                <w:sz w:val="19"/>
                <w:szCs w:val="19"/>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(3,378)</w:t>
            </w:r>
          </w:p>
        </w:tc>
        <w:tc>
          <w:tcPr>
            <w:tcW w:w="1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(2,328)</w:t>
            </w:r>
          </w:p>
        </w:tc>
        <w:tc>
          <w:tcPr>
            <w:tcW w:w="20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3,450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(1,210)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4,660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1,218</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(689)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i w:val="1"/>
                <w:iCs w:val="1"/>
                <w:color w:val="auto"/>
              </w:rPr>
              <w:t>Operating margin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7.9%</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2.8%</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10.7%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5.0%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2.8%</w:t>
            </w:r>
          </w:p>
        </w:tc>
        <w:tc>
          <w:tcPr>
            <w:tcW w:w="1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7.8%</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Unrealized loss on trading securities</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(1,047)</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Net income attributable to ACM Research, Inc. $</w:t>
            </w: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rPr>
              <w:t>5,470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1"/>
              <w:spacing w:after="0"/>
              <w:rPr>
                <w:sz w:val="20"/>
                <w:szCs w:val="20"/>
                <w:color w:val="auto"/>
              </w:rPr>
            </w:pPr>
            <w:r>
              <w:rPr>
                <w:rFonts w:ascii="Arial" w:cs="Arial" w:eastAsia="Arial" w:hAnsi="Arial"/>
                <w:sz w:val="18"/>
                <w:szCs w:val="18"/>
                <w:b w:val="1"/>
                <w:bCs w:val="1"/>
                <w:color w:val="auto"/>
              </w:rPr>
              <w:t>(1,210)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(1,047)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7,727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1,705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(689)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2,394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EPS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Diluted EPS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0.25</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0.35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4"/>
                <w:szCs w:val="14"/>
                <w:color w:val="auto"/>
              </w:rPr>
              <w:t>- 10 -</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2021-05-06T16:04:31Z</dcterms:created>
  <dcterms:modified xsi:type="dcterms:W3CDTF">2021-05-06T16:04:31Z</dcterms:modified>
</cp:coreProperties>
</file>