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30, 2022</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ACM Research,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529" w:right="339" w:bottom="1440" w:gutter="0" w:footer="0" w:header="0"/>
        </w:sectPr>
      </w:pPr>
    </w:p>
    <w:p>
      <w:pPr>
        <w:spacing w:after="0" w:line="201"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8"/>
          <w:szCs w:val="18"/>
          <w:i w:val="1"/>
          <w:iCs w:val="1"/>
          <w:color w:val="auto"/>
        </w:rPr>
        <w:t>(State or Other</w:t>
      </w:r>
    </w:p>
    <w:p>
      <w:pPr>
        <w:spacing w:after="0" w:line="9"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7"/>
          <w:szCs w:val="17"/>
          <w:i w:val="1"/>
          <w:iCs w:val="1"/>
          <w:color w:val="auto"/>
        </w:rPr>
        <w:t>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8"/>
          <w:szCs w:val="18"/>
          <w:b w:val="1"/>
          <w:bCs w:val="1"/>
          <w:color w:val="auto"/>
        </w:rPr>
        <w:t>001-38273</w:t>
      </w:r>
    </w:p>
    <w:p>
      <w:pPr>
        <w:spacing w:after="0" w:line="31"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8"/>
          <w:szCs w:val="18"/>
          <w:i w:val="1"/>
          <w:iCs w:val="1"/>
          <w:color w:val="auto"/>
        </w:rPr>
        <w:t>(Commission</w:t>
      </w:r>
    </w:p>
    <w:p>
      <w:pPr>
        <w:spacing w:after="0" w:line="9"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8"/>
          <w:szCs w:val="18"/>
          <w:i w:val="1"/>
          <w:iCs w:val="1"/>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94-3290283</w:t>
      </w:r>
    </w:p>
    <w:p>
      <w:pPr>
        <w:spacing w:after="0" w:line="31"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i w:val="1"/>
          <w:iCs w:val="1"/>
          <w:color w:val="auto"/>
        </w:rPr>
        <w:t>(IRS Employer</w:t>
      </w:r>
    </w:p>
    <w:p>
      <w:pPr>
        <w:spacing w:after="0" w:line="9"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7"/>
          <w:szCs w:val="17"/>
          <w:i w:val="1"/>
          <w:iCs w:val="1"/>
          <w:color w:val="auto"/>
        </w:rPr>
        <w:t>Identification No.)</w:t>
      </w:r>
    </w:p>
    <w:p>
      <w:pPr>
        <w:spacing w:after="0" w:line="211" w:lineRule="exact"/>
        <w:rPr>
          <w:sz w:val="24"/>
          <w:szCs w:val="24"/>
          <w:color w:val="auto"/>
        </w:rPr>
      </w:pPr>
    </w:p>
    <w:p>
      <w:pPr>
        <w:sectPr>
          <w:pgSz w:w="11900" w:h="16838" w:orient="portrait"/>
          <w:cols w:equalWidth="0" w:num="3">
            <w:col w:w="4400" w:space="720"/>
            <w:col w:w="2880" w:space="720"/>
            <w:col w:w="2520"/>
          </w:cols>
          <w:pgMar w:left="320" w:top="529" w:right="339" w:bottom="1440" w:gutter="0" w:footer="0" w:header="0"/>
          <w:type w:val="continuous"/>
        </w:sectPr>
      </w:pPr>
    </w:p>
    <w:p>
      <w:pPr>
        <w:spacing w:after="0" w:line="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42307 Osgood Road, Suite I</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Fremont, California</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94539</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i w:val="1"/>
          <w:i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29"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445-3700</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80" w:type="dxa"/>
            <w:vAlign w:val="bottom"/>
          </w:tcPr>
          <w:p>
            <w:pPr>
              <w:spacing w:after="0"/>
              <w:rPr>
                <w:sz w:val="20"/>
                <w:szCs w:val="20"/>
                <w:color w:val="auto"/>
              </w:rPr>
            </w:pPr>
          </w:p>
        </w:tc>
      </w:tr>
      <w:tr>
        <w:trPr>
          <w:trHeight w:val="439"/>
        </w:trPr>
        <w:tc>
          <w:tcPr>
            <w:tcW w:w="564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9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5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440" w:type="dxa"/>
            <w:vAlign w:val="bottom"/>
          </w:tcPr>
          <w:p>
            <w:pPr>
              <w:spacing w:after="0"/>
              <w:rPr>
                <w:sz w:val="20"/>
                <w:szCs w:val="20"/>
                <w:color w:val="auto"/>
              </w:rPr>
            </w:pPr>
          </w:p>
        </w:tc>
        <w:tc>
          <w:tcPr>
            <w:tcW w:w="1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ACMR</w:t>
            </w:r>
          </w:p>
        </w:tc>
        <w:tc>
          <w:tcPr>
            <w:tcW w:w="520" w:type="dxa"/>
            <w:vAlign w:val="bottom"/>
          </w:tcPr>
          <w:p>
            <w:pPr>
              <w:spacing w:after="0"/>
              <w:rPr>
                <w:sz w:val="20"/>
                <w:szCs w:val="20"/>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4" w:lineRule="exact"/>
        <w:rPr>
          <w:sz w:val="24"/>
          <w:szCs w:val="24"/>
          <w:color w:val="auto"/>
        </w:rPr>
      </w:pPr>
    </w:p>
    <w:p>
      <w:pPr>
        <w:ind w:left="90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held our 2022 Annual Meeting of Stockholders on June 30, 2022. The board of directors solicited proxies pursuant to a proxy statement that we filed with the Securities and Exchange Commission under Section 14(a) of the Securities Exchange Act of 1934 on May 20, 2022, as supplemented by a proxy supplement filed on May 23, 2022. There was no solicitation in opposition to the board’s solicitation.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the meeting, holders of Class A and Class B common stock were asked to consider and vote upon the two proposals set forth below. Each share of Class A common stock was entitled to one vote with respect to each matter submitted to a vote at the meeting, and each share of Class B common stock was entitled to twenty votes with respect to each matter submitted to a vote at the meeting. Shares of Class A and Class B common stock representing 132,855,462 votes, or 85.3% of the total votes attributable to all outstanding shares of Class A and Class B common stock, were present in person or by proxy at the meeting.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voting results reported below are final.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matters considered and voted on by the stockholders at the meeting and the votes of the stockholders were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1. Stockholders voted as follows with respect to the election of each of the nominees for director identified in the proxy statement.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8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2920" w:type="dxa"/>
            <w:vAlign w:val="bottom"/>
            <w:tcBorders>
              <w:bottom w:val="single" w:sz="8" w:color="auto"/>
            </w:tcBorders>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0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Withhold</w:t>
            </w:r>
          </w:p>
        </w:tc>
        <w:tc>
          <w:tcPr>
            <w:tcW w:w="240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H. Wang</w:t>
            </w:r>
          </w:p>
        </w:tc>
        <w:tc>
          <w:tcPr>
            <w:tcW w:w="292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9"/>
              </w:rPr>
              <w:t>120,203,118</w:t>
            </w:r>
          </w:p>
        </w:tc>
        <w:tc>
          <w:tcPr>
            <w:tcW w:w="20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5,562,357</w:t>
            </w:r>
          </w:p>
        </w:tc>
        <w:tc>
          <w:tcPr>
            <w:tcW w:w="240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7,089,987</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Haiping Dun</w:t>
            </w:r>
          </w:p>
        </w:tc>
        <w:tc>
          <w:tcPr>
            <w:tcW w:w="29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119,933,880</w:t>
            </w:r>
          </w:p>
        </w:tc>
        <w:tc>
          <w:tcPr>
            <w:tcW w:w="20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5,831,595</w:t>
            </w:r>
          </w:p>
        </w:tc>
        <w:tc>
          <w:tcPr>
            <w:tcW w:w="24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7,089,987</w:t>
            </w: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Chenming C. Hu</w:t>
            </w:r>
          </w:p>
        </w:tc>
        <w:tc>
          <w:tcPr>
            <w:tcW w:w="292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9"/>
              </w:rPr>
              <w:t>118,013,359</w:t>
            </w:r>
          </w:p>
        </w:tc>
        <w:tc>
          <w:tcPr>
            <w:tcW w:w="20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7,752,116</w:t>
            </w:r>
          </w:p>
        </w:tc>
        <w:tc>
          <w:tcPr>
            <w:tcW w:w="240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7,089,987</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Tracy Liu</w:t>
            </w:r>
          </w:p>
        </w:tc>
        <w:tc>
          <w:tcPr>
            <w:tcW w:w="29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118,775,329</w:t>
            </w:r>
          </w:p>
        </w:tc>
        <w:tc>
          <w:tcPr>
            <w:tcW w:w="20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6,990,146</w:t>
            </w:r>
          </w:p>
        </w:tc>
        <w:tc>
          <w:tcPr>
            <w:tcW w:w="24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7,089,987</w:t>
            </w: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Xiao Xing</w:t>
            </w:r>
          </w:p>
        </w:tc>
        <w:tc>
          <w:tcPr>
            <w:tcW w:w="292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9"/>
              </w:rPr>
              <w:t>125,516,335</w:t>
            </w:r>
          </w:p>
        </w:tc>
        <w:tc>
          <w:tcPr>
            <w:tcW w:w="20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249,140</w:t>
            </w:r>
          </w:p>
        </w:tc>
        <w:tc>
          <w:tcPr>
            <w:tcW w:w="240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7,089,987</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this vote, each of the five nominees was elected as a director to serve until the 2023 Annual Meeting of Stockholders and until his or her successor is duly elected and qualified.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Proposal 2. Stockholders ratified the appointment of Armanino LLP as our independent auditor for the fiscal year ending December 31, 2022, by the following vote: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60" w:type="dxa"/>
            <w:vAlign w:val="bottom"/>
            <w:tcBorders>
              <w:bottom w:val="single" w:sz="8" w:color="auto"/>
            </w:tcBorders>
          </w:tcPr>
          <w:p>
            <w:pPr>
              <w:spacing w:after="0"/>
              <w:rPr>
                <w:sz w:val="21"/>
                <w:szCs w:val="21"/>
                <w:color w:val="auto"/>
              </w:rPr>
            </w:pPr>
          </w:p>
        </w:tc>
        <w:tc>
          <w:tcPr>
            <w:tcW w:w="3080" w:type="dxa"/>
            <w:vAlign w:val="bottom"/>
            <w:tcBorders>
              <w:bottom w:val="single" w:sz="8" w:color="auto"/>
            </w:tcBorders>
          </w:tcPr>
          <w:p>
            <w:pPr>
              <w:jc w:val="center"/>
              <w:ind w:left="155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Ratification of Appointment of Armanino LLP for 2022</w:t>
            </w:r>
          </w:p>
        </w:tc>
        <w:tc>
          <w:tcPr>
            <w:tcW w:w="30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132,824,918</w:t>
            </w:r>
          </w:p>
        </w:tc>
        <w:tc>
          <w:tcPr>
            <w:tcW w:w="11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3,833</w:t>
            </w:r>
          </w:p>
        </w:tc>
        <w:tc>
          <w:tcPr>
            <w:tcW w:w="11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26,711</w:t>
            </w:r>
          </w:p>
        </w:tc>
      </w:tr>
      <w:tr>
        <w:trPr>
          <w:trHeight w:val="399"/>
        </w:trPr>
        <w:tc>
          <w:tcPr>
            <w:tcW w:w="59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ACM RESEARCH, INC.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17145</wp:posOffset>
            </wp:positionV>
            <wp:extent cx="33604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0420" cy="1714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Mark McKechnie</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2022-06-30T15:36:31Z</dcterms:created>
  <dcterms:modified xsi:type="dcterms:W3CDTF">2022-06-30T15:36:31Z</dcterms:modified>
</cp:coreProperties>
</file>