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12,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(State or Other</w:t>
      </w:r>
    </w:p>
    <w:p>
      <w:pPr>
        <w:spacing w:after="0" w:line="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i w:val="1"/>
          <w:iCs w:val="1"/>
          <w:color w:val="auto"/>
        </w:rPr>
        <w:t>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i w:val="1"/>
          <w:iCs w:val="1"/>
          <w:color w:val="auto"/>
        </w:rPr>
        <w:t>(Commission</w:t>
      </w:r>
    </w:p>
    <w:p>
      <w:pPr>
        <w:spacing w:after="0" w:line="9"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i w:val="1"/>
          <w:i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i w:val="1"/>
          <w:iCs w:val="1"/>
          <w:color w:val="auto"/>
        </w:rPr>
        <w:t>Identification No.)</w:t>
      </w:r>
    </w:p>
    <w:p>
      <w:pPr>
        <w:spacing w:after="0" w:line="200" w:lineRule="exact"/>
        <w:rPr>
          <w:sz w:val="24"/>
          <w:szCs w:val="24"/>
          <w:color w:val="auto"/>
        </w:rPr>
      </w:pPr>
    </w:p>
    <w:p>
      <w:pPr>
        <w:sectPr>
          <w:pgSz w:w="11900" w:h="16838" w:orient="portrait"/>
          <w:cols w:equalWidth="0" w:num="3">
            <w:col w:w="4380" w:space="720"/>
            <w:col w:w="2880" w:space="720"/>
            <w:col w:w="254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5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340" w:type="dxa"/>
            <w:vAlign w:val="bottom"/>
          </w:tcPr>
          <w:p>
            <w:pPr>
              <w:spacing w:after="0"/>
              <w:rPr>
                <w:sz w:val="20"/>
                <w:szCs w:val="20"/>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ACMR</w:t>
            </w:r>
          </w:p>
        </w:tc>
        <w:tc>
          <w:tcPr>
            <w:tcW w:w="320" w:type="dxa"/>
            <w:vAlign w:val="bottom"/>
          </w:tcPr>
          <w:p>
            <w:pPr>
              <w:spacing w:after="0"/>
              <w:rPr>
                <w:sz w:val="20"/>
                <w:szCs w:val="20"/>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of our operating subsidiary ACM Research (Shanghai), Inc. (“ACM Shanghai”) are listed on the Sci-Tech innovation board (the “STAR Market”) of the Shanghai Stock Exchange (the “SSE”). In accordance with the SSE’s rules governing the STAR Market, ACM Shanghai filed with the SSE a Record of March 2024 Investor Relations Activity (the “Record”). The SSE posted the Record to the SSE’s website on March 12, 2024. A copy of the Record is attached as Exhibit 99.1 hereto.</w:t>
      </w:r>
    </w:p>
    <w:p>
      <w:pPr>
        <w:spacing w:after="0" w:line="18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is intended to be furnished and shall not be deemed “filed” for purposes of Section 18 of the Securities Exchange Act of 1934, as amended, or otherwise subject to the liabilities of that Section, nor shall it be deemed to be incorporated by reference into any filing of ACM Research, Inc. under the Securities Act of 1933, as amended.</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ind w:left="180"/>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26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color w:val="auto"/>
        </w:rPr>
        <w:t>Record of March 2024 Investor Relations Activity filed by ACM Research (Shanghai), Inc. with the Shanghai Stock Exchange on March</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12, 2024</w:t>
      </w:r>
    </w:p>
    <w:p>
      <w:pPr>
        <w:spacing w:after="0" w:line="207" w:lineRule="exact"/>
        <w:rPr>
          <w:sz w:val="20"/>
          <w:szCs w:val="20"/>
          <w:color w:val="auto"/>
        </w:rPr>
      </w:pPr>
    </w:p>
    <w:p>
      <w:pPr>
        <w:ind w:right="4780" w:firstLine="325"/>
        <w:spacing w:after="0" w:line="532" w:lineRule="auto"/>
        <w:tabs>
          <w:tab w:leader="none" w:pos="113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XBRL document) * Unofficial English translation of original document prepared in Mandarin Chinese.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26035</wp:posOffset>
            </wp:positionV>
            <wp:extent cx="33604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21, 2024</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164465</wp:posOffset>
            </wp:positionV>
            <wp:extent cx="351155" cy="2311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115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Stock Code: </w:t>
            </w:r>
            <w:r>
              <w:rPr>
                <w:rFonts w:ascii="Times New Roman" w:cs="Times New Roman" w:eastAsia="Times New Roman" w:hAnsi="Times New Roman"/>
                <w:sz w:val="18"/>
                <w:szCs w:val="18"/>
                <w:b w:val="1"/>
                <w:bCs w:val="1"/>
                <w:color w:val="auto"/>
              </w:rPr>
              <w:t>688082</w:t>
            </w:r>
          </w:p>
        </w:tc>
        <w:tc>
          <w:tcPr>
            <w:tcW w:w="1560" w:type="dxa"/>
            <w:vAlign w:val="bottom"/>
          </w:tcPr>
          <w:p>
            <w:pPr>
              <w:spacing w:after="0"/>
              <w:rPr>
                <w:sz w:val="20"/>
                <w:szCs w:val="20"/>
                <w:color w:val="auto"/>
              </w:rPr>
            </w:pPr>
          </w:p>
        </w:tc>
        <w:tc>
          <w:tcPr>
            <w:tcW w:w="6340" w:type="dxa"/>
            <w:vAlign w:val="bottom"/>
            <w:gridSpan w:val="2"/>
          </w:tcPr>
          <w:p>
            <w:pPr>
              <w:ind w:left="4620"/>
              <w:spacing w:after="0"/>
              <w:rPr>
                <w:sz w:val="20"/>
                <w:szCs w:val="20"/>
                <w:color w:val="auto"/>
              </w:rPr>
            </w:pPr>
            <w:r>
              <w:rPr>
                <w:rFonts w:ascii="Times New Roman" w:cs="Times New Roman" w:eastAsia="Times New Roman" w:hAnsi="Times New Roman"/>
                <w:sz w:val="18"/>
                <w:szCs w:val="18"/>
                <w:b w:val="1"/>
                <w:bCs w:val="1"/>
                <w:color w:val="auto"/>
                <w:w w:val="99"/>
              </w:rPr>
              <w:t>Short Name: ACMSH</w:t>
            </w:r>
          </w:p>
        </w:tc>
        <w:tc>
          <w:tcPr>
            <w:tcW w:w="0" w:type="dxa"/>
            <w:vAlign w:val="bottom"/>
          </w:tcPr>
          <w:p>
            <w:pPr>
              <w:spacing w:after="0"/>
              <w:rPr>
                <w:sz w:val="1"/>
                <w:szCs w:val="1"/>
                <w:color w:val="auto"/>
              </w:rPr>
            </w:pPr>
          </w:p>
        </w:tc>
      </w:tr>
      <w:tr>
        <w:trPr>
          <w:trHeight w:val="432"/>
        </w:trPr>
        <w:tc>
          <w:tcPr>
            <w:tcW w:w="3360" w:type="dxa"/>
            <w:vAlign w:val="bottom"/>
          </w:tcPr>
          <w:p>
            <w:pPr>
              <w:spacing w:after="0"/>
              <w:rPr>
                <w:sz w:val="24"/>
                <w:szCs w:val="24"/>
                <w:color w:val="auto"/>
              </w:rPr>
            </w:pPr>
          </w:p>
        </w:tc>
        <w:tc>
          <w:tcPr>
            <w:tcW w:w="7900" w:type="dxa"/>
            <w:vAlign w:val="bottom"/>
            <w:gridSpan w:val="3"/>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9"/>
              </w:rPr>
              <w:t>ACM Research (Shanghai), Inc.</w:t>
            </w:r>
          </w:p>
        </w:tc>
        <w:tc>
          <w:tcPr>
            <w:tcW w:w="0" w:type="dxa"/>
            <w:vAlign w:val="bottom"/>
          </w:tcPr>
          <w:p>
            <w:pPr>
              <w:spacing w:after="0"/>
              <w:rPr>
                <w:sz w:val="1"/>
                <w:szCs w:val="1"/>
                <w:color w:val="auto"/>
              </w:rPr>
            </w:pPr>
          </w:p>
        </w:tc>
      </w:tr>
      <w:tr>
        <w:trPr>
          <w:trHeight w:val="432"/>
        </w:trPr>
        <w:tc>
          <w:tcPr>
            <w:tcW w:w="3360" w:type="dxa"/>
            <w:vAlign w:val="bottom"/>
          </w:tcPr>
          <w:p>
            <w:pPr>
              <w:spacing w:after="0"/>
              <w:rPr>
                <w:sz w:val="24"/>
                <w:szCs w:val="24"/>
                <w:color w:val="auto"/>
              </w:rPr>
            </w:pPr>
          </w:p>
        </w:tc>
        <w:tc>
          <w:tcPr>
            <w:tcW w:w="7900" w:type="dxa"/>
            <w:vAlign w:val="bottom"/>
            <w:gridSpan w:val="3"/>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9"/>
              </w:rPr>
              <w:t>Record of Investor Relations Activities</w:t>
            </w:r>
          </w:p>
        </w:tc>
        <w:tc>
          <w:tcPr>
            <w:tcW w:w="0" w:type="dxa"/>
            <w:vAlign w:val="bottom"/>
          </w:tcPr>
          <w:p>
            <w:pPr>
              <w:spacing w:after="0"/>
              <w:rPr>
                <w:sz w:val="1"/>
                <w:szCs w:val="1"/>
                <w:color w:val="auto"/>
              </w:rPr>
            </w:pPr>
          </w:p>
        </w:tc>
      </w:tr>
      <w:tr>
        <w:trPr>
          <w:trHeight w:val="432"/>
        </w:trPr>
        <w:tc>
          <w:tcPr>
            <w:tcW w:w="3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340" w:type="dxa"/>
            <w:vAlign w:val="bottom"/>
            <w:gridSpan w:val="2"/>
          </w:tcPr>
          <w:p>
            <w:pPr>
              <w:jc w:val="center"/>
              <w:ind w:right="4940"/>
              <w:spacing w:after="0"/>
              <w:rPr>
                <w:sz w:val="20"/>
                <w:szCs w:val="20"/>
                <w:color w:val="auto"/>
              </w:rPr>
            </w:pPr>
            <w:r>
              <w:rPr>
                <w:rFonts w:ascii="Times New Roman" w:cs="Times New Roman" w:eastAsia="Times New Roman" w:hAnsi="Times New Roman"/>
                <w:sz w:val="18"/>
                <w:szCs w:val="18"/>
                <w:b w:val="1"/>
                <w:bCs w:val="1"/>
                <w:color w:val="auto"/>
                <w:w w:val="98"/>
              </w:rPr>
              <w:t>No.: 2024-02</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tcPr>
          <w:p>
            <w:pPr>
              <w:spacing w:after="0"/>
              <w:rPr>
                <w:sz w:val="19"/>
                <w:szCs w:val="19"/>
                <w:color w:val="auto"/>
              </w:rPr>
            </w:pPr>
          </w:p>
        </w:tc>
        <w:tc>
          <w:tcPr>
            <w:tcW w:w="7880" w:type="dxa"/>
            <w:vAlign w:val="bottom"/>
            <w:tcBorders>
              <w:bottom w:val="single" w:sz="8" w:color="auto"/>
            </w:tcBorders>
            <w:gridSpan w:val="2"/>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360" w:type="dxa"/>
            <w:vAlign w:val="bottom"/>
            <w:tcBorders>
              <w:left w:val="single" w:sz="8" w:color="auto"/>
              <w:right w:val="single" w:sz="8" w:color="auto"/>
            </w:tcBorders>
          </w:tcPr>
          <w:p>
            <w:pPr>
              <w:ind w:left="120"/>
              <w:spacing w:after="0" w:line="162" w:lineRule="exact"/>
              <w:rPr>
                <w:sz w:val="20"/>
                <w:szCs w:val="20"/>
                <w:color w:val="auto"/>
              </w:rPr>
            </w:pPr>
            <w:r>
              <w:rPr>
                <w:rFonts w:ascii="Times New Roman" w:cs="Times New Roman" w:eastAsia="Times New Roman" w:hAnsi="Times New Roman"/>
                <w:sz w:val="18"/>
                <w:szCs w:val="18"/>
                <w:b w:val="1"/>
                <w:bCs w:val="1"/>
                <w:color w:val="auto"/>
              </w:rPr>
              <w:t>Categories of investor</w:t>
            </w:r>
          </w:p>
        </w:tc>
        <w:tc>
          <w:tcPr>
            <w:tcW w:w="7880" w:type="dxa"/>
            <w:vAlign w:val="bottom"/>
            <w:tcBorders>
              <w:right w:val="single" w:sz="8" w:color="auto"/>
            </w:tcBorders>
            <w:gridSpan w:val="2"/>
          </w:tcPr>
          <w:p>
            <w:pPr>
              <w:ind w:left="100"/>
              <w:spacing w:after="0" w:line="162"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object survey □Analyst meeting</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relations activities</w:t>
            </w:r>
          </w:p>
        </w:tc>
        <w:tc>
          <w:tcPr>
            <w:tcW w:w="156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Media interview</w:t>
            </w:r>
          </w:p>
        </w:tc>
        <w:tc>
          <w:tcPr>
            <w:tcW w:w="6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Performance briefing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156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Press conference</w:t>
            </w:r>
          </w:p>
        </w:tc>
        <w:tc>
          <w:tcPr>
            <w:tcW w:w="6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□Roadshow</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360" w:type="dxa"/>
            <w:vAlign w:val="bottom"/>
            <w:tcBorders>
              <w:left w:val="single" w:sz="8" w:color="auto"/>
              <w:bottom w:val="single" w:sz="8" w:color="auto"/>
              <w:right w:val="single" w:sz="8" w:color="auto"/>
            </w:tcBorders>
          </w:tcPr>
          <w:p>
            <w:pPr>
              <w:spacing w:after="0"/>
              <w:rPr>
                <w:sz w:val="24"/>
                <w:szCs w:val="24"/>
                <w:color w:val="auto"/>
              </w:rPr>
            </w:pPr>
          </w:p>
        </w:tc>
        <w:tc>
          <w:tcPr>
            <w:tcW w:w="7880" w:type="dxa"/>
            <w:vAlign w:val="bottom"/>
            <w:tcBorders>
              <w:bottom w:val="single" w:sz="8" w:color="auto"/>
              <w:right w:val="single" w:sz="8" w:color="auto"/>
            </w:tcBorders>
            <w:gridSpan w:val="2"/>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Site visit   □Others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March 7, 2024</w:t>
            </w:r>
          </w:p>
        </w:tc>
        <w:tc>
          <w:tcPr>
            <w:tcW w:w="632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Venue</w:t>
            </w:r>
          </w:p>
        </w:tc>
        <w:tc>
          <w:tcPr>
            <w:tcW w:w="1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Conference call</w:t>
            </w:r>
          </w:p>
        </w:tc>
        <w:tc>
          <w:tcPr>
            <w:tcW w:w="632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360" w:type="dxa"/>
            <w:vAlign w:val="bottom"/>
            <w:tcBorders>
              <w:left w:val="single" w:sz="8" w:color="auto"/>
              <w:right w:val="single" w:sz="8" w:color="auto"/>
            </w:tcBorders>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Participants of the</w:t>
            </w:r>
          </w:p>
        </w:tc>
        <w:tc>
          <w:tcPr>
            <w:tcW w:w="7880" w:type="dxa"/>
            <w:vAlign w:val="bottom"/>
            <w:tcBorders>
              <w:right w:val="single" w:sz="8" w:color="auto"/>
            </w:tcBorders>
            <w:gridSpan w:val="2"/>
          </w:tcPr>
          <w:p>
            <w:pPr>
              <w:ind w:left="100"/>
              <w:spacing w:after="0" w:line="194" w:lineRule="exact"/>
              <w:rPr>
                <w:sz w:val="20"/>
                <w:szCs w:val="20"/>
                <w:color w:val="auto"/>
              </w:rPr>
            </w:pPr>
            <w:r>
              <w:rPr>
                <w:rFonts w:ascii="Times New Roman" w:cs="Times New Roman" w:eastAsia="Times New Roman" w:hAnsi="Times New Roman"/>
                <w:sz w:val="18"/>
                <w:szCs w:val="18"/>
                <w:color w:val="auto"/>
              </w:rPr>
              <w:t>Chairman: HUI WANG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listed company</w:t>
            </w:r>
          </w:p>
        </w:tc>
        <w:tc>
          <w:tcPr>
            <w:tcW w:w="78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General Manager: JIAN WANG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78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Person in Charge of Financial Matters: LISA YI LU FENG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60" w:type="dxa"/>
            <w:vAlign w:val="bottom"/>
            <w:tcBorders>
              <w:left w:val="single" w:sz="8" w:color="auto"/>
              <w:bottom w:val="single" w:sz="8" w:color="auto"/>
              <w:right w:val="single" w:sz="8" w:color="auto"/>
            </w:tcBorders>
          </w:tcPr>
          <w:p>
            <w:pPr>
              <w:spacing w:after="0"/>
              <w:rPr>
                <w:sz w:val="20"/>
                <w:szCs w:val="20"/>
                <w:color w:val="auto"/>
              </w:rPr>
            </w:pPr>
          </w:p>
        </w:tc>
        <w:tc>
          <w:tcPr>
            <w:tcW w:w="788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Board Secretary: MINGZHU LUO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60" w:type="dxa"/>
            <w:vAlign w:val="bottom"/>
            <w:tcBorders>
              <w:left w:val="single" w:sz="8" w:color="auto"/>
              <w:right w:val="single" w:sz="8" w:color="auto"/>
            </w:tcBorders>
          </w:tcPr>
          <w:p>
            <w:pPr>
              <w:spacing w:after="0"/>
              <w:rPr>
                <w:sz w:val="17"/>
                <w:szCs w:val="17"/>
                <w:color w:val="auto"/>
              </w:rPr>
            </w:pPr>
          </w:p>
        </w:tc>
        <w:tc>
          <w:tcPr>
            <w:tcW w:w="7880" w:type="dxa"/>
            <w:vAlign w:val="bottom"/>
            <w:tcBorders>
              <w:right w:val="single" w:sz="8" w:color="auto"/>
            </w:tcBorders>
            <w:gridSpan w:val="2"/>
          </w:tcPr>
          <w:p>
            <w:pPr>
              <w:ind w:left="10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I. Company Introduction: </w:t>
            </w:r>
            <w:r>
              <w:rPr>
                <w:rFonts w:ascii="Times New Roman" w:cs="Times New Roman" w:eastAsia="Times New Roman" w:hAnsi="Times New Roman"/>
                <w:sz w:val="18"/>
                <w:szCs w:val="18"/>
                <w:color w:val="auto"/>
              </w:rPr>
              <w:t>Leaders of ACM Research (Shanghai), Inc. (the “Company”) gave a brief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78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introduction to the Company’s 2023 annual performance and financial position and responded to concerns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60" w:type="dxa"/>
            <w:vAlign w:val="bottom"/>
            <w:tcBorders>
              <w:left w:val="single" w:sz="8" w:color="auto"/>
              <w:right w:val="single" w:sz="8" w:color="auto"/>
            </w:tcBorders>
          </w:tcPr>
          <w:p>
            <w:pPr>
              <w:spacing w:after="0"/>
              <w:rPr>
                <w:sz w:val="20"/>
                <w:szCs w:val="20"/>
                <w:color w:val="auto"/>
              </w:rPr>
            </w:pPr>
          </w:p>
        </w:tc>
        <w:tc>
          <w:tcPr>
            <w:tcW w:w="1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investors.</w:t>
            </w:r>
          </w:p>
        </w:tc>
        <w:tc>
          <w:tcPr>
            <w:tcW w:w="63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3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Summary of investor relations activities</w:t>
            </w:r>
          </w:p>
        </w:tc>
        <w:tc>
          <w:tcPr>
            <w:tcW w:w="15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II. Q&amp;A</w:t>
            </w:r>
          </w:p>
        </w:tc>
        <w:tc>
          <w:tcPr>
            <w:tcW w:w="63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360" w:type="dxa"/>
            <w:vAlign w:val="bottom"/>
            <w:tcBorders>
              <w:left w:val="single" w:sz="8" w:color="auto"/>
              <w:right w:val="single" w:sz="8" w:color="auto"/>
            </w:tcBorders>
            <w:vMerge w:val="continue"/>
          </w:tcPr>
          <w:p>
            <w:pPr>
              <w:spacing w:after="0"/>
              <w:rPr>
                <w:sz w:val="11"/>
                <w:szCs w:val="11"/>
                <w:color w:val="auto"/>
              </w:rPr>
            </w:pPr>
          </w:p>
        </w:tc>
        <w:tc>
          <w:tcPr>
            <w:tcW w:w="788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 What is the current status of new orders for the Company?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3360" w:type="dxa"/>
            <w:vAlign w:val="bottom"/>
            <w:tcBorders>
              <w:left w:val="single" w:sz="8" w:color="auto"/>
              <w:right w:val="single" w:sz="8" w:color="auto"/>
            </w:tcBorders>
          </w:tcPr>
          <w:p>
            <w:pPr>
              <w:spacing w:after="0"/>
              <w:rPr>
                <w:sz w:val="7"/>
                <w:szCs w:val="7"/>
                <w:color w:val="auto"/>
              </w:rPr>
            </w:pPr>
          </w:p>
        </w:tc>
        <w:tc>
          <w:tcPr>
            <w:tcW w:w="7880" w:type="dxa"/>
            <w:vAlign w:val="bottom"/>
            <w:tcBorders>
              <w:right w:val="single" w:sz="8" w:color="auto"/>
            </w:tcBorders>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360" w:type="dxa"/>
            <w:vAlign w:val="bottom"/>
            <w:tcBorders>
              <w:left w:val="single" w:sz="8" w:color="auto"/>
              <w:right w:val="single" w:sz="8" w:color="auto"/>
            </w:tcBorders>
          </w:tcPr>
          <w:p>
            <w:pPr>
              <w:spacing w:after="0"/>
              <w:rPr>
                <w:sz w:val="19"/>
                <w:szCs w:val="19"/>
                <w:color w:val="auto"/>
              </w:rPr>
            </w:pPr>
          </w:p>
        </w:tc>
        <w:tc>
          <w:tcPr>
            <w:tcW w:w="78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In general, the Company targets to disclose backlog orders in the third or fourth quarter of each year. In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78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terms of shipments, the growth rate of shipments in 2024 is expected to exceed the growth rate of revenue,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78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primarily because some customers have postponed their deliveries from the previous year to this year.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60" w:type="dxa"/>
            <w:vAlign w:val="bottom"/>
            <w:tcBorders>
              <w:left w:val="single" w:sz="8" w:color="auto"/>
              <w:bottom w:val="single" w:sz="8" w:color="auto"/>
              <w:right w:val="single" w:sz="8" w:color="auto"/>
            </w:tcBorders>
          </w:tcPr>
          <w:p>
            <w:pPr>
              <w:spacing w:after="0"/>
              <w:rPr>
                <w:sz w:val="20"/>
                <w:szCs w:val="20"/>
                <w:color w:val="auto"/>
              </w:rPr>
            </w:pPr>
          </w:p>
        </w:tc>
        <w:tc>
          <w:tcPr>
            <w:tcW w:w="788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Therefore, the Company’s shipment performance in 2024 is expected to be strong.</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3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6" w:right="339" w:bottom="1440" w:gutter="0" w:footer="0" w:header="0"/>
        </w:sectPr>
      </w:pPr>
    </w:p>
    <w:bookmarkStart w:id="4" w:name="page5"/>
    <w:bookmarkEnd w:id="4"/>
    <w:p>
      <w:pPr>
        <w:ind w:left="2380" w:right="380" w:firstLine="4"/>
        <w:spacing w:after="0" w:line="263" w:lineRule="auto"/>
        <w:tabs>
          <w:tab w:leader="none" w:pos="25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308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308985"/>
                    </a:xfrm>
                    <a:prstGeom prst="rect">
                      <a:avLst/>
                    </a:prstGeom>
                    <a:noFill/>
                  </pic:spPr>
                </pic:pic>
              </a:graphicData>
            </a:graphic>
          </wp:anchor>
        </w:drawing>
        <w:t>The Company has set revenue guidance for 2024 at RMB 5-5.8 billion. What are the primary drivers for the Company’s revenue growth in 2024?</w:t>
      </w:r>
    </w:p>
    <w:p>
      <w:pPr>
        <w:ind w:left="2380" w:right="8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growth in the Company’s revenue is influenced by various factors, including advancements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process and developments in the storage and logic sectors, all of which play a significant role in boosting revenue. As of now, we believe the outlook for China’s semiconductor equipment market in 2024 is positive, with both China’s top and second- and third-tier manufacturers showing strong order demand. In addition, we believe the launch of new products and the expansion into overseas markets represent good opportunity for revenue growth.</w:t>
      </w:r>
    </w:p>
    <w:p>
      <w:pPr>
        <w:spacing w:after="0" w:line="185" w:lineRule="exact"/>
        <w:rPr>
          <w:rFonts w:ascii="Times New Roman" w:cs="Times New Roman" w:eastAsia="Times New Roman" w:hAnsi="Times New Roman"/>
          <w:sz w:val="18"/>
          <w:szCs w:val="18"/>
          <w:b w:val="1"/>
          <w:bCs w:val="1"/>
          <w:color w:val="auto"/>
        </w:rPr>
      </w:pPr>
    </w:p>
    <w:p>
      <w:pPr>
        <w:ind w:left="2380" w:firstLine="4"/>
        <w:spacing w:after="0" w:line="256" w:lineRule="auto"/>
        <w:tabs>
          <w:tab w:leader="none" w:pos="25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Company’s gross margin remained elevated due to the sales of ECP equipment in 2023. What is the trend expected for the gross margin in 2024? In addition, what is the main reason for the relatively lower revenue recognition from the single-wafer cleaning equipment and advanced packaging wet processing equipment in 2023?</w:t>
      </w:r>
    </w:p>
    <w:p>
      <w:pPr>
        <w:spacing w:after="0" w:line="3" w:lineRule="exact"/>
        <w:rPr>
          <w:rFonts w:ascii="Times New Roman" w:cs="Times New Roman" w:eastAsia="Times New Roman" w:hAnsi="Times New Roman"/>
          <w:sz w:val="18"/>
          <w:szCs w:val="18"/>
          <w:b w:val="1"/>
          <w:bCs w:val="1"/>
          <w:color w:val="auto"/>
        </w:rPr>
      </w:pPr>
    </w:p>
    <w:p>
      <w:pPr>
        <w:ind w:left="238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In 2023, the increase in sales volume of the Company’s ECP equipment contributed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 of gross margin, especially the front-end ECP equipment, which generally has a higher gross margin. Looking ahead to 2024, we remain optimistic about continuing this trend, with ECP equipment expected to contribute a higher percentage mix of total sales. The Company received batch orders for advanced packaging equipment at the end of 2023, which we expect to contribute to 2024 revenue as the orders are gradually delivered. Our cleaning equipment remains a large proportion of sales revenue and holds a relatively high market share in China. Given such a large revenue base, we expect a relatively lower growth rate for the cleaning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765" w:right="399" w:bottom="1440" w:gutter="0" w:footer="0" w:header="0"/>
        </w:sectPr>
      </w:pPr>
    </w:p>
    <w:bookmarkStart w:id="5" w:name="page6"/>
    <w:bookmarkEnd w:id="5"/>
    <w:p>
      <w:pPr>
        <w:ind w:left="2380" w:right="220" w:firstLine="4"/>
        <w:spacing w:after="0" w:line="263" w:lineRule="auto"/>
        <w:tabs>
          <w:tab w:leader="none" w:pos="25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074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074545"/>
                    </a:xfrm>
                    <a:prstGeom prst="rect">
                      <a:avLst/>
                    </a:prstGeom>
                    <a:noFill/>
                  </pic:spPr>
                </pic:pic>
              </a:graphicData>
            </a:graphic>
          </wp:anchor>
        </w:drawing>
        <w:t>What are the specific differences between revenue recognition for the Company in the A-shares market and ACMR in the US stock market, from the viewpoint of the financial report?</w:t>
      </w:r>
    </w:p>
    <w:p>
      <w:pPr>
        <w:ind w:left="2380" w:right="1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Regarding the Company, its revenue is recognized after verification and acceptance, typically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about two months after the equipment has been delivered to customers. As for the Company’s controlling shareholder, ACMR, in accordance with applicable U.S. accounting standards, its revenue from repeat orders of equipment is recognized upon delivery. However, revenue of first tools is recognized upon customer acceptance/qualification of the tool.</w:t>
      </w:r>
    </w:p>
    <w:p>
      <w:pPr>
        <w:spacing w:after="0" w:line="182" w:lineRule="exact"/>
        <w:rPr>
          <w:rFonts w:ascii="Times New Roman" w:cs="Times New Roman" w:eastAsia="Times New Roman" w:hAnsi="Times New Roman"/>
          <w:sz w:val="18"/>
          <w:szCs w:val="18"/>
          <w:b w:val="1"/>
          <w:bCs w:val="1"/>
          <w:color w:val="auto"/>
        </w:rPr>
      </w:pPr>
    </w:p>
    <w:p>
      <w:pPr>
        <w:ind w:left="2380" w:firstLine="4"/>
        <w:spacing w:after="0" w:line="263" w:lineRule="auto"/>
        <w:tabs>
          <w:tab w:leader="none" w:pos="25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approximate percentage of overseas revenue in the Company’s 2024 revenue guidance of RMB 5-5.8 billion?</w:t>
      </w:r>
    </w:p>
    <w:p>
      <w:pPr>
        <w:ind w:left="2380" w:right="18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We expect that the majority of our revenue will continue to be derived from the Chinese market,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contribution from overseas revenue remaining comparatively minor.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264160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765" w:right="379" w:bottom="1440" w:gutter="0" w:footer="0" w:header="0"/>
        </w:sectPr>
      </w:pPr>
    </w:p>
    <w:bookmarkStart w:id="6" w:name="page7"/>
    <w:bookmarkEnd w:id="6"/>
    <w:p>
      <w:pPr>
        <w:ind w:left="2380" w:right="60" w:firstLine="4"/>
        <w:spacing w:after="0" w:line="256" w:lineRule="auto"/>
        <w:tabs>
          <w:tab w:leader="none" w:pos="25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57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857625"/>
                    </a:xfrm>
                    <a:prstGeom prst="rect">
                      <a:avLst/>
                    </a:prstGeom>
                    <a:noFill/>
                  </pic:spPr>
                </pic:pic>
              </a:graphicData>
            </a:graphic>
          </wp:anchor>
        </w:drawing>
        <w:t>The Company’s gross margin from international business revenue significantly exceeds that from the Chinese market business. As the Company progresses in internationalization efforts, will there continue to be substantial differences in gross margins for the same products between the Chinese market and the international market?</w:t>
      </w:r>
    </w:p>
    <w:p>
      <w:pPr>
        <w:spacing w:after="0" w:line="3" w:lineRule="exact"/>
        <w:rPr>
          <w:rFonts w:ascii="Times New Roman" w:cs="Times New Roman" w:eastAsia="Times New Roman" w:hAnsi="Times New Roman"/>
          <w:sz w:val="18"/>
          <w:szCs w:val="18"/>
          <w:b w:val="1"/>
          <w:bCs w:val="1"/>
          <w:color w:val="auto"/>
        </w:rPr>
      </w:pPr>
    </w:p>
    <w:p>
      <w:pPr>
        <w:ind w:left="23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The Company’s gross margin is primarily affected by the relative mix of its product portfolio as a percentage of total sales. We believe the different mix of product portfolios as a percentage of total sales in the Chinese and international markets will likely be the main factor of differences in gross margins between these markets.</w:t>
      </w:r>
    </w:p>
    <w:p>
      <w:pPr>
        <w:spacing w:after="0" w:line="184" w:lineRule="exact"/>
        <w:rPr>
          <w:rFonts w:ascii="Times New Roman" w:cs="Times New Roman" w:eastAsia="Times New Roman" w:hAnsi="Times New Roman"/>
          <w:sz w:val="18"/>
          <w:szCs w:val="18"/>
          <w:b w:val="1"/>
          <w:bCs w:val="1"/>
          <w:color w:val="auto"/>
        </w:rPr>
      </w:pPr>
    </w:p>
    <w:p>
      <w:pPr>
        <w:ind w:left="2380" w:right="20" w:firstLine="4"/>
        <w:spacing w:after="0" w:line="259" w:lineRule="auto"/>
        <w:tabs>
          <w:tab w:leader="none" w:pos="25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proportion of R&amp;D investments by the Company in 2023 has increased by more than two percentage points compared to last year. What about the proportion of subsequent R&amp;D expenses of the Company?</w:t>
      </w:r>
    </w:p>
    <w:p>
      <w:pPr>
        <w:ind w:left="2380" w:right="74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proportion of the Company’s subsequent R&amp;D expenses is expected to be approximately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15%-16%.</w:t>
      </w:r>
    </w:p>
    <w:p>
      <w:pPr>
        <w:spacing w:after="0" w:line="177" w:lineRule="exact"/>
        <w:rPr>
          <w:rFonts w:ascii="Times New Roman" w:cs="Times New Roman" w:eastAsia="Times New Roman" w:hAnsi="Times New Roman"/>
          <w:sz w:val="18"/>
          <w:szCs w:val="18"/>
          <w:b w:val="1"/>
          <w:bCs w:val="1"/>
          <w:color w:val="auto"/>
        </w:rPr>
      </w:pPr>
    </w:p>
    <w:p>
      <w:pPr>
        <w:ind w:left="2380" w:right="500" w:firstLine="4"/>
        <w:spacing w:after="0" w:line="259" w:lineRule="auto"/>
        <w:tabs>
          <w:tab w:leader="none" w:pos="25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Company’s strategy for expanding its high-end advanced packaging capacity in China? What’s your feel after engaging with top Chinese and foreign advanced packaging customers?</w:t>
      </w:r>
    </w:p>
    <w:p>
      <w:pPr>
        <w:ind w:left="2380" w:right="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Currently, we believe investment in China’s advanced packaging sector tends toward high-end fields.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believe the surge in demand for AI chips, along with increasingly higher packaging requirements, are constantly driving transformation of advanced packaging enterprises to high-end ones. In response, the Company is actively developing new equipment and has garnered interest from both domestic and international customers. Through engagement with top customers both at home and abroad, we believe they are all highly focused on the development of high-end advanced packaging. This is primarily because product structures are evolving in response to changes in downstream market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765" w:right="379" w:bottom="1440" w:gutter="0" w:footer="0" w:header="0"/>
        </w:sectPr>
      </w:pPr>
    </w:p>
    <w:bookmarkStart w:id="7" w:name="page8"/>
    <w:bookmarkEnd w:id="7"/>
    <w:p>
      <w:pPr>
        <w:ind w:left="2380" w:firstLine="4"/>
        <w:spacing w:after="0" w:line="263" w:lineRule="auto"/>
        <w:tabs>
          <w:tab w:leader="none" w:pos="25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074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074545"/>
                    </a:xfrm>
                    <a:prstGeom prst="rect">
                      <a:avLst/>
                    </a:prstGeom>
                    <a:noFill/>
                  </pic:spPr>
                </pic:pic>
              </a:graphicData>
            </a:graphic>
          </wp:anchor>
        </w:drawing>
        <w:t>Besides new products like Track and PECVD equipment, does the Company plan to develop other types of new equipment within the platform development framework?</w:t>
      </w:r>
    </w:p>
    <w:p>
      <w:pPr>
        <w:ind w:left="2380" w:right="8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Company’s current product lineup includes cleaning equipment, semiconductor ECP equipment,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vertical furnace tube series equipment, front-end coating and imaging Track equipment, plasma-enhanced chemical vapor deposition (PECVD) equipment, stress-free polishing equipment, back-end advanced packaging process equipment, and silicon substrate manufacturing process equipment, with Track and PECVD equipment being the latest additions. Currently, the Company does not plan to develop other new types of equipment. This is primarily because we are focusing on stable development, accelerating the verification of Track and PECVD equipment, and pursuing new customer development to achieve sales revenue. Meanwhile, the Company intends to continue to enhance and optimize existing equipment and enrich product categories through further development, with the view to efficiently utilize resources. The Company also intends to grow stronger through strategic, high-quality M&amp;As.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765" w:right="379" w:bottom="1440" w:gutter="0" w:footer="0" w:header="0"/>
        </w:sectPr>
      </w:pPr>
    </w:p>
    <w:bookmarkStart w:id="8" w:name="page9"/>
    <w:bookmarkEnd w:id="8"/>
    <w:p>
      <w:pPr>
        <w:ind w:left="2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0346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034665"/>
                    </a:xfrm>
                    <a:prstGeom prst="rect">
                      <a:avLst/>
                    </a:prstGeom>
                    <a:noFill/>
                  </pic:spPr>
                </pic:pic>
              </a:graphicData>
            </a:graphic>
          </wp:anchor>
        </w:drawing>
        <w:t>10. What is the status of the Company’s TSV electroplating equipment orders?</w:t>
      </w:r>
    </w:p>
    <w:p>
      <w:pPr>
        <w:spacing w:after="0" w:line="31" w:lineRule="exact"/>
        <w:rPr>
          <w:sz w:val="20"/>
          <w:szCs w:val="20"/>
          <w:color w:val="auto"/>
        </w:rPr>
      </w:pPr>
    </w:p>
    <w:p>
      <w:pPr>
        <w:ind w:left="2380" w:firstLine="4"/>
        <w:spacing w:after="0" w:line="255" w:lineRule="auto"/>
        <w:tabs>
          <w:tab w:leader="none" w:pos="261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received repeat orders for TSV electroplating equipment from many customers. Orders for TSV electroplating equipment began to improve in the second half of last year and are expected to maintain high market demand this year.</w:t>
      </w:r>
    </w:p>
    <w:p>
      <w:pPr>
        <w:spacing w:after="0" w:line="182" w:lineRule="exact"/>
        <w:rPr>
          <w:sz w:val="20"/>
          <w:szCs w:val="20"/>
          <w:color w:val="auto"/>
        </w:rPr>
      </w:pPr>
    </w:p>
    <w:p>
      <w:pPr>
        <w:jc w:val="both"/>
        <w:ind w:left="2380" w:right="80" w:firstLine="4"/>
        <w:spacing w:after="0" w:line="256" w:lineRule="auto"/>
        <w:tabs>
          <w:tab w:leader="none" w:pos="2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coverage rate of the Company’s cleaning equipment in terms of process steps? How is the progress of new cleaning equipment launched by the Company over the past two years? The Company aims to achieve a 55%-60% market share in the long-term cleaning equipment market in China. How is this objective being met?</w:t>
      </w:r>
    </w:p>
    <w:p>
      <w:pPr>
        <w:spacing w:after="0" w:line="3" w:lineRule="exact"/>
        <w:rPr>
          <w:rFonts w:ascii="Times New Roman" w:cs="Times New Roman" w:eastAsia="Times New Roman" w:hAnsi="Times New Roman"/>
          <w:sz w:val="18"/>
          <w:szCs w:val="18"/>
          <w:b w:val="1"/>
          <w:bCs w:val="1"/>
          <w:color w:val="auto"/>
        </w:rPr>
      </w:pPr>
    </w:p>
    <w:p>
      <w:pPr>
        <w:ind w:left="2380" w:right="20"/>
        <w:spacing w:after="0" w:line="22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One of the Company’s earliest products was ultrasonic cleaning equipment, utilized in the single-wafer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cleaning process. This cleaning process was the first of its kind developed by the Company and has been globally patented. Subsequently, the Company has introduced various cleaning equipment, including backside cleaning, edge etching cleaning, single-wafer high-temperature SPM, supercritical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cleaning, and single-wafer and wet-bench combination cleaning equipment.</w:t>
      </w:r>
    </w:p>
    <w:p>
      <w:pPr>
        <w:ind w:left="2380" w:right="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present, the Company’s cleaning equipment covers approximately 90%-95% of cleaning steps, which we believe makes us one of the manufacturers with the widest coverage around the world. Also, the Company keeps improving and optimizing its existing cleaning equipment. With these improvements and ongoing market expansion, we believe that the Company can reach the target market share of 55%-60% in the Chinese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267335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765" w:right="379" w:bottom="1440" w:gutter="0" w:footer="0" w:header="0"/>
        </w:sectPr>
      </w:pPr>
    </w:p>
    <w:bookmarkStart w:id="9" w:name="page10"/>
    <w:bookmarkEnd w:id="9"/>
    <w:p>
      <w:pPr>
        <w:ind w:left="2380" w:right="100" w:firstLine="4"/>
        <w:spacing w:after="0" w:line="278" w:lineRule="auto"/>
        <w:tabs>
          <w:tab w:leader="none" w:pos="265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348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348865"/>
                    </a:xfrm>
                    <a:prstGeom prst="rect">
                      <a:avLst/>
                    </a:prstGeom>
                    <a:noFill/>
                  </pic:spPr>
                </pic:pic>
              </a:graphicData>
            </a:graphic>
          </wp:anchor>
        </w:drawing>
        <w:t>Cleaning equipment represented nearly 70% of the Company’s 2023 revenue. Based on current orders, what changes are expected in the product structure of the Company’s 2024 revenue?</w:t>
      </w:r>
    </w:p>
    <w:p>
      <w:pPr>
        <w:spacing w:after="0" w:line="1" w:lineRule="exact"/>
        <w:rPr>
          <w:rFonts w:ascii="Times New Roman" w:cs="Times New Roman" w:eastAsia="Times New Roman" w:hAnsi="Times New Roman"/>
          <w:sz w:val="17"/>
          <w:szCs w:val="17"/>
          <w:b w:val="1"/>
          <w:bCs w:val="1"/>
          <w:color w:val="auto"/>
        </w:rPr>
      </w:pPr>
    </w:p>
    <w:p>
      <w:pPr>
        <w:ind w:left="238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In the Company’s 2024 revenue structure, cleaning equipment is expected to remain the primary source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revenue, followed by copper plating equipment and furnace tube equipment as the second, and packaging equipment as the third. These three segments are the Company’s flagship products. Vertical furnace tube equipment is expected to contribute to 2024 revenue. The other two new products, Track equipment and PECVD equipment, are expected to start contributing to revenue from 2025.</w:t>
      </w:r>
    </w:p>
    <w:p>
      <w:pPr>
        <w:spacing w:after="0" w:line="182" w:lineRule="exact"/>
        <w:rPr>
          <w:rFonts w:ascii="Times New Roman" w:cs="Times New Roman" w:eastAsia="Times New Roman" w:hAnsi="Times New Roman"/>
          <w:sz w:val="17"/>
          <w:szCs w:val="17"/>
          <w:b w:val="1"/>
          <w:bCs w:val="1"/>
          <w:color w:val="auto"/>
        </w:rPr>
      </w:pPr>
    </w:p>
    <w:p>
      <w:pPr>
        <w:ind w:left="2660" w:hanging="276"/>
        <w:spacing w:after="0"/>
        <w:tabs>
          <w:tab w:leader="none" w:pos="2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Company’s approach to the future price trends of semiconductor equipment?</w:t>
      </w:r>
    </w:p>
    <w:p>
      <w:pPr>
        <w:spacing w:after="0" w:line="31" w:lineRule="exact"/>
        <w:rPr>
          <w:sz w:val="20"/>
          <w:szCs w:val="20"/>
          <w:color w:val="auto"/>
        </w:rPr>
      </w:pPr>
    </w:p>
    <w:p>
      <w:pPr>
        <w:ind w:left="2380" w:firstLine="4"/>
        <w:spacing w:after="0" w:line="253" w:lineRule="auto"/>
        <w:tabs>
          <w:tab w:leader="none" w:pos="261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semiconductor equipment industry, high-precision equipment or products that only a few manufactures can produce tend to maintain relatively higher prices. However, for equipment with lower technical barriers, the competition is fierce, resulting in a lower profit margin. Conversely, equipment with high technical barriers and production challenges tends to yield a higher profit margin. This reflects the pricing landscape in the semiconductor equipment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267335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765"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88900</wp:posOffset>
            </wp:positionV>
            <wp:extent cx="351155" cy="2317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351155" cy="231775"/>
                    </a:xfrm>
                    <a:prstGeom prst="rect">
                      <a:avLst/>
                    </a:prstGeom>
                    <a:noFill/>
                  </pic:spPr>
                </pic:pic>
              </a:graphicData>
            </a:graphic>
          </wp:anchor>
        </w:drawing>
        <w:t>Encl.: List of Participants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IGWT Investment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Century Insurance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Talent Reputation Asset Management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Financial Street Capital Operation Group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Shougang Fund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Acorn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Yutian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Zhenke Private Equity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BlackRock CCB Wealth Management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Caitong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Chengtong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Truvalue AssetManagement Co.,Ltd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Oriental Alpha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Eastmoney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Orient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Dongxing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Duona Chuangmeng Investment Management (Shenzhen)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Fengyan Investment Management (Zhejiang Free Trade Zone) Co.,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Fosun Wealth International Holdings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Everbright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Guangdong Zhengyuan Private Equity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GF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Yuexiu Industrial Investment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Guotiao Zhanxin Investment Management (Anhui)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Guodu Venture Capital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Sealand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Development Bank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Guolian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Gowin AMC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Guotai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SDIC Juli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SDIC Fund Management Co.,Ltd.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SDIC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Guosen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Hainan Qianxin Private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Hainan Yuexi Private Equity Fund Management Partnership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Hainan Palm Bay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Haitong International Securities Group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Haitong International Asset Management (Hong Kong)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Haitong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Hanchuan Investment Management (Zhuhai)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38"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88900</wp:posOffset>
            </wp:positionV>
            <wp:extent cx="351155" cy="2317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351155" cy="231775"/>
                    </a:xfrm>
                    <a:prstGeom prst="rect">
                      <a:avLst/>
                    </a:prstGeom>
                    <a:noFill/>
                  </pic:spPr>
                </pic:pic>
              </a:graphicData>
            </a:graphic>
          </wp:anchor>
        </w:drawing>
        <w:t>Hangzhou Zhengxin Private Fund Management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Sequoia Capital Equity Investment Management (Tianjin)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Hongta Securities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Hongyun Private Equity Fund Management (Hainan)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Hunan Dice Runtong Private Equity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Asia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Hua’an Financial Insurance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Hwabao WP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Huachuang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Huafu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Huatai Baoxing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Huatai Financial Holdings (Hong Kong)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Huatai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Jintrust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Springs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Partners Fund Management (Shanghai)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Partners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Jyah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Harvest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JIC Investment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CCB Financial Asset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Jiangsu Ruihua Investment Holdings Group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Jiangsu Addor Equity Investment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Jiangxi Bide Mingqi Private Equity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Kaiyuan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KGI Securities Asia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LyGH Capital Investment Co.,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Minsheng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Securities (China)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Huaxin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BNB Wealth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ABC Life Insurance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Ping An Bank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Qingdao SDIC Dingxing Private Equity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Qingdao Shuangmu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Youngy Investment Holdings Group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RAYS Capital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Shanxi Securities Co., Ltd.</w:t>
      </w:r>
    </w:p>
    <w:p>
      <w:pPr>
        <w:spacing w:after="0" w:line="9" w:lineRule="exact"/>
        <w:rPr>
          <w:sz w:val="20"/>
          <w:szCs w:val="20"/>
          <w:color w:val="auto"/>
        </w:rPr>
      </w:pPr>
    </w:p>
    <w:p>
      <w:pPr>
        <w:ind w:right="4979"/>
        <w:spacing w:after="0" w:line="250" w:lineRule="auto"/>
        <w:rPr>
          <w:sz w:val="20"/>
          <w:szCs w:val="20"/>
          <w:color w:val="auto"/>
        </w:rPr>
      </w:pPr>
      <w:r>
        <w:rPr>
          <w:rFonts w:ascii="Times New Roman" w:cs="Times New Roman" w:eastAsia="Times New Roman" w:hAnsi="Times New Roman"/>
          <w:sz w:val="18"/>
          <w:szCs w:val="18"/>
          <w:color w:val="auto"/>
        </w:rPr>
        <w:t>Shanghai Dawn Petrel Asset Management Center (Limited Partnership) Shanghai Dijun Asset Management Center (Limited Partnership) Shanghai SIIC Fund Management Co., Ltd.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Guoxin Investment &amp; Development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2"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88900</wp:posOffset>
            </wp:positionV>
            <wp:extent cx="351155" cy="231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351155" cy="231775"/>
                    </a:xfrm>
                    <a:prstGeom prst="rect">
                      <a:avLst/>
                    </a:prstGeom>
                    <a:noFill/>
                  </pic:spPr>
                </pic:pic>
              </a:graphicData>
            </a:graphic>
          </wp:anchor>
        </w:drawing>
        <w:t>Shanghai Hedao Asset Management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Hengrui Private Equity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Jiashi Private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Jin'en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Eureka Investment Partner Co.,Ltd.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Shanghai Junhe Licheng Investment Management Center (Limited Partnership)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Lingze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Miyuan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Niu Hu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Pertrust Capital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Pudong Innovation Investment Development (Group)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Pudong Science and Technology Group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Qinmu Asset Management Partnership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Sitico Assets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Sun Rock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All Win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Yiheyuan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Zhongyu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Comein Finance Technology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GuoHui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Commando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Qianhai Tangrong Capital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Shangcheng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Yujin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Xinran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Zhaotu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Pacific Alliance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Taiping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Taiping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Tianyi Ziteng Asset Management (Ningbo)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WZ Group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Western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Tibet YuanCheng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Tibet Changjin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Xinghe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Industrial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Yong’an Financial Insurance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Yuhui Capital Management (Beijing)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Wall Wealth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Changjiang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Zhejiang Fuzhe Equity Investment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Zhejiang Moju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Zheshang Securities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2"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88900</wp:posOffset>
            </wp:positionV>
            <wp:extent cx="351155" cy="2317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351155" cy="231775"/>
                    </a:xfrm>
                    <a:prstGeom prst="rect">
                      <a:avLst/>
                    </a:prstGeom>
                    <a:noFill/>
                  </pic:spPr>
                </pic:pic>
              </a:graphicData>
            </a:graphic>
          </wp:anchor>
        </w:drawing>
        <w:t>Zhengzhou Yunshan Investment Management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CETC Investment Holdings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International Capital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PICC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Zhonghai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Zhong Ou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Zhongtai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Citic Baocheng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CSC Financial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CITIC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Mobile Capital Holdings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China International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Post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Chongqing Environmental Protection Industry Equity Investment Fund Management Co.,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Rosefinch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Zhuhai Gree Financial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Management &amp; Research (Hong Kong)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Neuberger Berman Asia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Anhui Province Railway Development Fund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PGIM Securities Investment Trust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Baoersaijia (Shanghai)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Fangyuan Jinding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Automotive Group Industrial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Tonde Rock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Yiyuanda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APS (Shanghai)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Bosera Funds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Boyu Capital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Caitong Securities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Capital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Northeast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Soochow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Fullgoal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Everbright Pramerica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Guangdong Hengkuo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Guangdong Nanchuan Private Equity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GF Qianhe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Kaide Innovative Entrepreneurship Investment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Ruirong Private Equity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CPIC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Guotai Junan Securities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2"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88900</wp:posOffset>
            </wp:positionV>
            <wp:extent cx="351155" cy="2317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351155" cy="231775"/>
                    </a:xfrm>
                    <a:prstGeom prst="rect">
                      <a:avLst/>
                    </a:prstGeom>
                    <a:noFill/>
                  </pic:spPr>
                </pic:pic>
              </a:graphicData>
            </a:graphic>
          </wp:anchor>
        </w:drawing>
        <w:t>Cathay Securities Investment Trust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SDIC Chuangyi Industrial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SDIC Merchant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Hainan Xinghuo Private Equity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Hangzhou Kaisheng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Hefei Innovation Scitech Venture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Hexie Health Insurance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Manulife Investment Management (Hong Kong)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Hongde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Hubei Railway Development Fund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Huaxi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Hui Bai Chuan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Jiangxi Dacheng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BOCOM Schroders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Jingu Securities Investment Consulting Guangdong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Golden Glede Private Equity Fund Management (Zhuhai Hengqin)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BOE Technology Group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Jiu Tai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Kunshan Dingjia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Lianchu Runda Equity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Cathay Lujiazui Life Insurance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Penghua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Ping An Trust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Qingdao Chengtou Financial Holding Group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Co., Ltd. Beijing Representative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Rongtong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Sumitomo Mitsui DS Private Fund Management (Shanghai)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Sumitomo Mitsui DS Asset Management (Hong Kong)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Shandong Guohui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Shandong Green Capital Investment Group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Shandong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BYSZ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Biaopu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Dehui Group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Fengcang Equity Investment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Fengyang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Fosun High Technology (Group)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Guxin Capital Investment Holding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Guosheng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Eureka Investment Management Partnership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Science and Technology Venture Investment (Group)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Thunder Private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Lingang Overseas Development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2"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88900</wp:posOffset>
            </wp:positionV>
            <wp:extent cx="351155" cy="2317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351155" cy="231775"/>
                    </a:xfrm>
                    <a:prstGeom prst="rect">
                      <a:avLst/>
                    </a:prstGeom>
                    <a:noFill/>
                  </pic:spPr>
                </pic:pic>
              </a:graphicData>
            </a:graphic>
          </wp:anchor>
        </w:drawing>
        <w:t>Shanghai Mingyu Asset Management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Puyuan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SWS Securities Research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Tenbagger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Tinny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Tongtai Private Equity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Tongyuan Investment Development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Weiji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Xingzhi Venture Capital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Yulei Enterprise Development (Group)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Cloud Gate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Zhanxiang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Shenwan Hongyuan Investment Management (Asia)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Hongding Wealth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Huazhen Equity Investment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Qianhai Chengshi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Shiji Zhiyuan Private Equity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Red Pomegranate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Merchants Guoxie No.1 Equity Investment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Schroders International Financial Group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Nature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Hunan Investment Private Equity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Golden Nest Capital Management (Hong Kong)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Cinda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CIB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FAW Equity Investment (Tianjin)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CFHI Rongchuang Technology Development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Yinhua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Maxwealth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ChangAn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CMS Capital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Industrial and Commercial Bank of China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Galaxy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China Securities Co., Ltd.</w:t>
      </w:r>
    </w:p>
    <w:p>
      <w:pPr>
        <w:spacing w:after="0" w:line="207" w:lineRule="exact"/>
        <w:rPr>
          <w:sz w:val="20"/>
          <w:szCs w:val="20"/>
          <w:color w:val="auto"/>
        </w:rPr>
      </w:pPr>
    </w:p>
    <w:p>
      <w:pPr>
        <w:ind w:left="5040"/>
        <w:spacing w:after="0"/>
        <w:tabs>
          <w:tab w:leader="none" w:pos="5560" w:val="left"/>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information is provided in connection with the furnishing of the above Record of March 2024 Investor Relation Activity of ACM Research (Shanghai), Inc. (“ACMSH”) (the “Record”) pursuant to the Current Report on Form 8-K reporting requirements of ACM Research,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742" w:right="6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88900</wp:posOffset>
            </wp:positionV>
            <wp:extent cx="351155" cy="2317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351155" cy="231775"/>
                    </a:xfrm>
                    <a:prstGeom prst="rect">
                      <a:avLst/>
                    </a:prstGeom>
                    <a:noFill/>
                  </pic:spPr>
                </pic:pic>
              </a:graphicData>
            </a:graphic>
          </wp:anchor>
        </w:drawing>
        <w:t>Forward-Looking Statements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Information presented in the Record includes forward-looking statements for purposes of the safe harbor provisions of the Private Securities Litigation Reform Act of 1995. All statements contained in the Record that do not relate to matters of historical fact should be considered forward-looking statements. Forward-looking statements are based on ACMSH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ACMSH may be unable to obtain the qualification and acceptance of its delivered tools when anticipated or at all, which would delay or preclude ACMSH’s recognition of revenue from the sale of those tools; suppliers may not be able to meet ACMSH’s demands on a timely basis; ACMSH’s technologies and tools may not gain market acceptance; ACMSH may be unable to compete effectively by, among other things, enhancing its existing tools, adding additional production capacity and engaging additional major customers; ACMSH may incur significant expenses long before it can recognize revenue from new products, if at all, due to the costs and length of research, development, manufacturing and customer evaluation process cycles; volatile global economic, market, industry and other conditions could result in sharply lower demand for products containing semiconductors and for ACMSH’s products and in disruption of capital and credit markets; ACMSH’s failure to successfully manage its operations, including its inability to hire, train, integrate and manage additional qualified engineers for research and development activities; and trade regulations, including those recently published by the U.S. Department of Commerce imposing certain restrictions on equipment shipments and business practices with China-based semiconductor manufacturers, currency fluctuations, political instability and war, all of which may materially adversely affect ACMSH due to its substantial non-U.S. customer and supplier base and its substantial non-U.S. manufacturing operations. A further description of these risks, uncertainties and other matters can be found in filings ACM Research, Inc. makes with the U.S. Securities and Exchange Commission. Because forward-looking statements involve risks and uncertainties, actual results and events may differ materially from results and events currently expected by ACMSH. ACMSH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3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2"/>
      <w:numFmt w:val="decimal"/>
      <w:start w:val="104"/>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4"/>
    </w:lvl>
  </w:abstractNum>
  <w:abstractNum w:abstractNumId="4">
    <w:nsid w:val="79E2A9E3"/>
    <w:multiLevelType w:val="hybridMultilevel"/>
    <w:lvl w:ilvl="0">
      <w:lvlJc w:val="left"/>
      <w:lvlText w:val="%1."/>
      <w:numFmt w:val="decimal"/>
      <w:start w:val="6"/>
    </w:lvl>
  </w:abstractNum>
  <w:abstractNum w:abstractNumId="5">
    <w:nsid w:val="7545E146"/>
    <w:multiLevelType w:val="hybridMultilevel"/>
    <w:lvl w:ilvl="0">
      <w:lvlJc w:val="left"/>
      <w:lvlText w:val="%1."/>
      <w:numFmt w:val="decimal"/>
      <w:start w:val="9"/>
    </w:lvl>
  </w:abstractNum>
  <w:abstractNum w:abstractNumId="6">
    <w:nsid w:val="515F007C"/>
    <w:multiLevelType w:val="hybridMultilevel"/>
    <w:lvl w:ilvl="0">
      <w:lvlJc w:val="left"/>
      <w:lvlText w:val="%1:"/>
      <w:numFmt w:val="upperLetter"/>
      <w:start w:val="1"/>
    </w:lvl>
  </w:abstractNum>
  <w:abstractNum w:abstractNumId="7">
    <w:nsid w:val="5BD062C2"/>
    <w:multiLevelType w:val="hybridMultilevel"/>
    <w:lvl w:ilvl="0">
      <w:lvlJc w:val="left"/>
      <w:lvlText w:val="%1."/>
      <w:numFmt w:val="decimal"/>
      <w:start w:val="11"/>
    </w:lvl>
  </w:abstractNum>
  <w:abstractNum w:abstractNumId="8">
    <w:nsid w:val="12200854"/>
    <w:multiLevelType w:val="hybridMultilevel"/>
    <w:lvl w:ilvl="0">
      <w:lvlJc w:val="left"/>
      <w:lvlText w:val="%1."/>
      <w:numFmt w:val="decimal"/>
      <w:start w:val="12"/>
    </w:lvl>
  </w:abstractNum>
  <w:abstractNum w:abstractNumId="9">
    <w:nsid w:val="4DB127F8"/>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2024-03-21T08:11:54Z</dcterms:created>
  <dcterms:modified xsi:type="dcterms:W3CDTF">2024-03-21T08:11:54Z</dcterms:modified>
</cp:coreProperties>
</file>