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 SECURITIES AND EXCHANGE COMMISSION</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April 10, 2022</w:t>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ACM Research,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240"/>
          </w:cols>
          <w:pgMar w:left="320" w:top="535" w:right="339" w:bottom="1440" w:gutter="0" w:footer="0" w:header="0"/>
        </w:sectPr>
      </w:pPr>
    </w:p>
    <w:p>
      <w:pPr>
        <w:spacing w:after="0" w:line="205"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300"/>
        <w:spacing w:after="0"/>
        <w:rPr>
          <w:sz w:val="20"/>
          <w:szCs w:val="20"/>
          <w:color w:val="auto"/>
        </w:rPr>
      </w:pPr>
      <w:r>
        <w:rPr>
          <w:rFonts w:ascii="Arial" w:cs="Arial" w:eastAsia="Arial" w:hAnsi="Arial"/>
          <w:sz w:val="18"/>
          <w:szCs w:val="18"/>
          <w:i w:val="1"/>
          <w:iCs w:val="1"/>
          <w:color w:val="auto"/>
        </w:rPr>
        <w:t>(State or Other</w:t>
      </w:r>
    </w:p>
    <w:p>
      <w:pPr>
        <w:spacing w:after="0" w:line="9" w:lineRule="exact"/>
        <w:rPr>
          <w:sz w:val="24"/>
          <w:szCs w:val="24"/>
          <w:color w:val="auto"/>
        </w:rPr>
      </w:pPr>
    </w:p>
    <w:p>
      <w:pPr>
        <w:ind w:left="780"/>
        <w:spacing w:after="0"/>
        <w:rPr>
          <w:sz w:val="20"/>
          <w:szCs w:val="20"/>
          <w:color w:val="auto"/>
        </w:rPr>
      </w:pPr>
      <w:r>
        <w:rPr>
          <w:rFonts w:ascii="Arial" w:cs="Arial" w:eastAsia="Arial" w:hAnsi="Arial"/>
          <w:sz w:val="17"/>
          <w:szCs w:val="17"/>
          <w:i w:val="1"/>
          <w:iCs w:val="1"/>
          <w:color w:val="auto"/>
        </w:rPr>
        <w:t>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900"/>
        <w:spacing w:after="0"/>
        <w:rPr>
          <w:sz w:val="20"/>
          <w:szCs w:val="20"/>
          <w:color w:val="auto"/>
        </w:rPr>
      </w:pPr>
      <w:r>
        <w:rPr>
          <w:rFonts w:ascii="Arial" w:cs="Arial" w:eastAsia="Arial" w:hAnsi="Arial"/>
          <w:sz w:val="18"/>
          <w:szCs w:val="18"/>
          <w:b w:val="1"/>
          <w:bCs w:val="1"/>
          <w:color w:val="auto"/>
        </w:rPr>
        <w:t>001-38273</w:t>
      </w:r>
    </w:p>
    <w:p>
      <w:pPr>
        <w:spacing w:after="0" w:line="27" w:lineRule="exact"/>
        <w:rPr>
          <w:sz w:val="24"/>
          <w:szCs w:val="24"/>
          <w:color w:val="auto"/>
        </w:rPr>
      </w:pPr>
    </w:p>
    <w:p>
      <w:pPr>
        <w:jc w:val="center"/>
        <w:ind w:right="1900"/>
        <w:spacing w:after="0"/>
        <w:rPr>
          <w:sz w:val="20"/>
          <w:szCs w:val="20"/>
          <w:color w:val="auto"/>
        </w:rPr>
      </w:pPr>
      <w:r>
        <w:rPr>
          <w:rFonts w:ascii="Arial" w:cs="Arial" w:eastAsia="Arial" w:hAnsi="Arial"/>
          <w:sz w:val="16"/>
          <w:szCs w:val="16"/>
          <w:i w:val="1"/>
          <w:iCs w:val="1"/>
          <w:color w:val="auto"/>
        </w:rPr>
        <w:t>(Commission</w:t>
      </w:r>
    </w:p>
    <w:p>
      <w:pPr>
        <w:spacing w:after="0" w:line="32" w:lineRule="exact"/>
        <w:rPr>
          <w:sz w:val="24"/>
          <w:szCs w:val="24"/>
          <w:color w:val="auto"/>
        </w:rPr>
      </w:pPr>
    </w:p>
    <w:p>
      <w:pPr>
        <w:jc w:val="center"/>
        <w:ind w:right="1900"/>
        <w:spacing w:after="0"/>
        <w:rPr>
          <w:sz w:val="20"/>
          <w:szCs w:val="20"/>
          <w:color w:val="auto"/>
        </w:rPr>
      </w:pPr>
      <w:r>
        <w:rPr>
          <w:rFonts w:ascii="Arial" w:cs="Arial" w:eastAsia="Arial" w:hAnsi="Arial"/>
          <w:sz w:val="16"/>
          <w:szCs w:val="16"/>
          <w:i w:val="1"/>
          <w:iCs w:val="1"/>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94-3290283</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i w:val="1"/>
          <w:iCs w:val="1"/>
          <w:color w:val="auto"/>
        </w:rPr>
        <w:t>(IRS Employer</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7"/>
          <w:szCs w:val="17"/>
          <w:i w:val="1"/>
          <w:iCs w:val="1"/>
          <w:color w:val="auto"/>
        </w:rPr>
        <w:t>Identification No.)</w:t>
      </w:r>
    </w:p>
    <w:p>
      <w:pPr>
        <w:spacing w:after="0" w:line="200" w:lineRule="exact"/>
        <w:rPr>
          <w:sz w:val="24"/>
          <w:szCs w:val="24"/>
          <w:color w:val="auto"/>
        </w:rPr>
      </w:pPr>
    </w:p>
    <w:p>
      <w:pPr>
        <w:sectPr>
          <w:pgSz w:w="11900" w:h="16838" w:orient="portrait"/>
          <w:cols w:equalWidth="0" w:num="3">
            <w:col w:w="4380" w:space="720"/>
            <w:col w:w="2880" w:space="720"/>
            <w:col w:w="2540"/>
          </w:cols>
          <w:pgMar w:left="320" w:top="535" w:right="339" w:bottom="1440" w:gutter="0" w:footer="0" w:header="0"/>
          <w:type w:val="continuous"/>
        </w:sectPr>
      </w:pPr>
    </w:p>
    <w:p>
      <w:pPr>
        <w:spacing w:after="0" w:line="18" w:lineRule="exact"/>
        <w:rPr>
          <w:sz w:val="24"/>
          <w:szCs w:val="24"/>
          <w:color w:val="auto"/>
        </w:rPr>
      </w:pPr>
    </w:p>
    <w:p>
      <w:pPr>
        <w:jc w:val="center"/>
        <w:ind w:right="1840"/>
        <w:spacing w:after="0"/>
        <w:rPr>
          <w:sz w:val="20"/>
          <w:szCs w:val="20"/>
          <w:color w:val="auto"/>
        </w:rPr>
      </w:pPr>
      <w:r>
        <w:rPr>
          <w:rFonts w:ascii="Arial" w:cs="Arial" w:eastAsia="Arial" w:hAnsi="Arial"/>
          <w:sz w:val="18"/>
          <w:szCs w:val="18"/>
          <w:b w:val="1"/>
          <w:bCs w:val="1"/>
          <w:color w:val="auto"/>
        </w:rPr>
        <w:t>42307 Osgood Road, Suite I</w:t>
      </w:r>
    </w:p>
    <w:p>
      <w:pPr>
        <w:spacing w:after="0" w:line="27" w:lineRule="exact"/>
        <w:rPr>
          <w:sz w:val="24"/>
          <w:szCs w:val="24"/>
          <w:color w:val="auto"/>
        </w:rPr>
      </w:pPr>
    </w:p>
    <w:p>
      <w:pPr>
        <w:jc w:val="center"/>
        <w:ind w:right="1840"/>
        <w:spacing w:after="0"/>
        <w:rPr>
          <w:sz w:val="20"/>
          <w:szCs w:val="20"/>
          <w:color w:val="auto"/>
        </w:rPr>
      </w:pPr>
      <w:r>
        <w:rPr>
          <w:rFonts w:ascii="Arial" w:cs="Arial" w:eastAsia="Arial" w:hAnsi="Arial"/>
          <w:sz w:val="18"/>
          <w:szCs w:val="18"/>
          <w:b w:val="1"/>
          <w:bCs w:val="1"/>
          <w:color w:val="auto"/>
        </w:rPr>
        <w:t>Fremont, California</w:t>
      </w:r>
    </w:p>
    <w:p>
      <w:pPr>
        <w:spacing w:after="0" w:line="9" w:lineRule="exact"/>
        <w:rPr>
          <w:sz w:val="24"/>
          <w:szCs w:val="24"/>
          <w:color w:val="auto"/>
        </w:rPr>
      </w:pPr>
    </w:p>
    <w:p>
      <w:pPr>
        <w:jc w:val="center"/>
        <w:ind w:right="1840"/>
        <w:spacing w:after="0"/>
        <w:rPr>
          <w:sz w:val="20"/>
          <w:szCs w:val="20"/>
          <w:color w:val="auto"/>
        </w:rPr>
      </w:pPr>
      <w:r>
        <w:rPr>
          <w:rFonts w:ascii="Arial" w:cs="Arial" w:eastAsia="Arial" w:hAnsi="Arial"/>
          <w:sz w:val="16"/>
          <w:szCs w:val="16"/>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jc w:val="center"/>
        <w:ind w:right="2360"/>
        <w:spacing w:after="0"/>
        <w:rPr>
          <w:sz w:val="20"/>
          <w:szCs w:val="20"/>
          <w:color w:val="auto"/>
        </w:rPr>
      </w:pPr>
      <w:r>
        <w:rPr>
          <w:rFonts w:ascii="Arial" w:cs="Arial" w:eastAsia="Arial" w:hAnsi="Arial"/>
          <w:sz w:val="18"/>
          <w:szCs w:val="18"/>
          <w:b w:val="1"/>
          <w:bCs w:val="1"/>
          <w:color w:val="auto"/>
        </w:rPr>
        <w:t>94539</w:t>
      </w:r>
    </w:p>
    <w:p>
      <w:pPr>
        <w:spacing w:after="0" w:line="27" w:lineRule="exact"/>
        <w:rPr>
          <w:sz w:val="24"/>
          <w:szCs w:val="24"/>
          <w:color w:val="auto"/>
        </w:rPr>
      </w:pPr>
    </w:p>
    <w:p>
      <w:pPr>
        <w:jc w:val="center"/>
        <w:ind w:right="2360"/>
        <w:spacing w:after="0"/>
        <w:rPr>
          <w:sz w:val="20"/>
          <w:szCs w:val="20"/>
          <w:color w:val="auto"/>
        </w:rPr>
      </w:pPr>
      <w:r>
        <w:rPr>
          <w:rFonts w:ascii="Arial" w:cs="Arial" w:eastAsia="Arial" w:hAnsi="Arial"/>
          <w:sz w:val="16"/>
          <w:szCs w:val="16"/>
          <w:i w:val="1"/>
          <w:iCs w:val="1"/>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535"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(510) 445-3700</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3840" w:type="dxa"/>
            <w:vAlign w:val="bottom"/>
            <w:gridSpan w:val="2"/>
          </w:tcPr>
          <w:p>
            <w:pPr>
              <w:ind w:left="1140"/>
              <w:spacing w:after="0"/>
              <w:rPr>
                <w:sz w:val="20"/>
                <w:szCs w:val="20"/>
                <w:color w:val="auto"/>
              </w:rPr>
            </w:pPr>
            <w:r>
              <w:rPr>
                <w:rFonts w:ascii="Arial" w:cs="Arial" w:eastAsia="Arial" w:hAnsi="Arial"/>
                <w:sz w:val="18"/>
                <w:szCs w:val="18"/>
                <w:b w:val="1"/>
                <w:bCs w:val="1"/>
                <w:color w:val="auto"/>
              </w:rPr>
              <w:t>Title of each class</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Trading symbol</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2"/>
        </w:trPr>
        <w:tc>
          <w:tcPr>
            <w:tcW w:w="36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5"/>
              </w:rPr>
              <w:t>Class A Common Stock, par value $0.0001 per</w:t>
            </w: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8"/>
              </w:rPr>
              <w:t>ACMR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The Nasdaq Stock Market LLC</w:t>
            </w:r>
          </w:p>
        </w:tc>
      </w:tr>
      <w:tr>
        <w:trPr>
          <w:trHeight w:val="230"/>
        </w:trPr>
        <w:tc>
          <w:tcPr>
            <w:tcW w:w="3840" w:type="dxa"/>
            <w:vAlign w:val="bottom"/>
            <w:gridSpan w:val="2"/>
          </w:tcPr>
          <w:p>
            <w:pPr>
              <w:spacing w:after="0"/>
              <w:rPr>
                <w:sz w:val="20"/>
                <w:szCs w:val="20"/>
                <w:color w:val="auto"/>
              </w:rPr>
            </w:pPr>
            <w:r>
              <w:rPr>
                <w:rFonts w:ascii="Arial" w:cs="Arial" w:eastAsia="Arial" w:hAnsi="Arial"/>
                <w:sz w:val="18"/>
                <w:szCs w:val="18"/>
                <w:color w:val="auto"/>
              </w:rPr>
              <w:t>share</w:t>
            </w: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202" w:lineRule="exact"/>
        <w:rPr>
          <w:sz w:val="24"/>
          <w:szCs w:val="24"/>
          <w:color w:val="auto"/>
        </w:rPr>
      </w:pPr>
    </w:p>
    <w:p>
      <w:pPr>
        <w:ind w:right="280"/>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or Rule 12b-2 of the Securities Exchange Act of 1934: Emerging growth company </w:t>
      </w:r>
      <w:r>
        <w:rPr>
          <w:rFonts w:ascii="MS PGothic" w:cs="MS PGothic" w:eastAsia="MS PGothic" w:hAnsi="MS PGothic"/>
          <w:sz w:val="18"/>
          <w:szCs w:val="18"/>
          <w:color w:val="auto"/>
        </w:rPr>
        <w:t>☐</w:t>
      </w:r>
    </w:p>
    <w:p>
      <w:pPr>
        <w:spacing w:after="0" w:line="182"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shares of our operating subsidiary ACM Research (Shanghai), Inc. are listed on the Sci-Tech innovation board, or the STAR Market, of the Shanghai Stock Exchange, or the SSE. In accordance with the SSE’s rules governing the STAR Market, ACM Research (Shanghai), Inc. filed with the SSE a Record of March 2022 Investor Relations Activity, or the Record. The SSE posted the Record to the SSE’s website on April 10, 2022. A copy of the Record is included as exhibit 99.01 to this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25" w:lineRule="exact"/>
        <w:rPr>
          <w:sz w:val="20"/>
          <w:szCs w:val="20"/>
          <w:color w:val="auto"/>
        </w:rPr>
      </w:pPr>
    </w:p>
    <w:p>
      <w:pPr>
        <w:ind w:left="140"/>
        <w:spacing w:after="0"/>
        <w:tabs>
          <w:tab w:leader="none" w:pos="570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p>
    <w:p>
      <w:pPr>
        <w:ind w:left="180"/>
        <w:spacing w:after="0"/>
        <w:tabs>
          <w:tab w:leader="none" w:pos="1060" w:val="left"/>
        </w:tabs>
        <w:rPr>
          <w:rFonts w:ascii="Arial" w:cs="Arial" w:eastAsia="Arial" w:hAnsi="Arial"/>
          <w:sz w:val="18"/>
          <w:szCs w:val="18"/>
          <w:color w:val="0000EE"/>
        </w:rPr>
      </w:pPr>
      <w:hyperlink w:anchor="page4">
        <w:r>
          <w:rPr>
            <w:rFonts w:ascii="Arial" w:cs="Arial" w:eastAsia="Arial" w:hAnsi="Arial"/>
            <w:sz w:val="18"/>
            <w:szCs w:val="18"/>
            <w:u w:val="single" w:color="auto"/>
            <w:color w:val="0000EE"/>
          </w:rPr>
          <w:t>99.01*</w:t>
        </w:r>
      </w:hyperlink>
      <w:r>
        <w:rPr>
          <w:rFonts w:ascii="Arial" w:cs="Arial" w:eastAsia="Arial" w:hAnsi="Arial"/>
          <w:sz w:val="18"/>
          <w:szCs w:val="18"/>
          <w:color w:val="0000EE"/>
        </w:rPr>
        <w:tab/>
      </w:r>
      <w:r>
        <w:rPr>
          <w:rFonts w:ascii="Arial" w:cs="Arial" w:eastAsia="Arial" w:hAnsi="Arial"/>
          <w:sz w:val="16"/>
          <w:szCs w:val="16"/>
          <w:color w:val="0000EE"/>
        </w:rPr>
        <w:t>Record of March 2022 Investor Relations Activity filed by ACM Research (Shanghai), Inc. with the Shanghai Stock Exchange on April 10,</w:t>
      </w:r>
    </w:p>
    <w:p>
      <w:pPr>
        <w:spacing w:after="0" w:line="2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2022</w:t>
      </w:r>
    </w:p>
    <w:p>
      <w:pPr>
        <w:spacing w:after="0" w:line="211" w:lineRule="exact"/>
        <w:rPr>
          <w:sz w:val="20"/>
          <w:szCs w:val="20"/>
          <w:color w:val="auto"/>
        </w:rPr>
      </w:pPr>
    </w:p>
    <w:p>
      <w:pPr>
        <w:ind w:right="4860" w:firstLine="298"/>
        <w:spacing w:after="0" w:line="623" w:lineRule="auto"/>
        <w:tabs>
          <w:tab w:leader="none" w:pos="1066" w:val="left"/>
        </w:tabs>
        <w:numPr>
          <w:ilvl w:val="1"/>
          <w:numId w:val="2"/>
        </w:numPr>
        <w:rPr>
          <w:rFonts w:ascii="Arial" w:cs="Arial" w:eastAsia="Arial" w:hAnsi="Arial"/>
          <w:sz w:val="16"/>
          <w:szCs w:val="16"/>
          <w:color w:val="auto"/>
        </w:rPr>
      </w:pPr>
      <w:r>
        <w:rPr>
          <w:rFonts w:ascii="Arial" w:cs="Arial" w:eastAsia="Arial" w:hAnsi="Arial"/>
          <w:sz w:val="16"/>
          <w:szCs w:val="16"/>
          <w:color w:val="auto"/>
        </w:rPr>
        <w:t>Cover Page Interactive Data File (embedded within the XBRL document) * Unofficial English translation of original document prepared in Mandarin Chinese.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ACM RESEARCH, INC.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Mark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23495</wp:posOffset>
            </wp:positionV>
            <wp:extent cx="335153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Mark McKechnie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 and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Dated: April 12,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396875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6260" w:type="dxa"/>
            <w:vAlign w:val="bottom"/>
            <w:gridSpan w:val="4"/>
          </w:tcPr>
          <w:p>
            <w:pPr>
              <w:ind w:left="900"/>
              <w:spacing w:after="0"/>
              <w:rPr>
                <w:sz w:val="20"/>
                <w:szCs w:val="20"/>
                <w:color w:val="auto"/>
              </w:rPr>
            </w:pPr>
            <w:r>
              <w:rPr>
                <w:rFonts w:ascii="Arial" w:cs="Arial" w:eastAsia="Arial" w:hAnsi="Arial"/>
                <w:sz w:val="18"/>
                <w:szCs w:val="18"/>
                <w:b w:val="1"/>
                <w:bCs w:val="1"/>
                <w:color w:val="auto"/>
              </w:rPr>
              <w:t>Stock Code: 688082</w:t>
            </w:r>
          </w:p>
        </w:tc>
        <w:tc>
          <w:tcPr>
            <w:tcW w:w="3820" w:type="dxa"/>
            <w:vAlign w:val="bottom"/>
          </w:tcPr>
          <w:p>
            <w:pPr>
              <w:ind w:left="160"/>
              <w:spacing w:after="0"/>
              <w:rPr>
                <w:sz w:val="20"/>
                <w:szCs w:val="20"/>
                <w:color w:val="auto"/>
              </w:rPr>
            </w:pPr>
            <w:r>
              <w:rPr>
                <w:rFonts w:ascii="Arial" w:cs="Arial" w:eastAsia="Arial" w:hAnsi="Arial"/>
                <w:sz w:val="18"/>
                <w:szCs w:val="18"/>
                <w:b w:val="1"/>
                <w:bCs w:val="1"/>
                <w:color w:val="auto"/>
              </w:rPr>
              <w:t>Short Name: ACMSH</w:t>
            </w:r>
          </w:p>
        </w:tc>
      </w:tr>
      <w:tr>
        <w:trPr>
          <w:trHeight w:val="459"/>
        </w:trPr>
        <w:tc>
          <w:tcPr>
            <w:tcW w:w="1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60" w:type="dxa"/>
            <w:vAlign w:val="bottom"/>
            <w:gridSpan w:val="2"/>
          </w:tcPr>
          <w:p>
            <w:pPr>
              <w:jc w:val="center"/>
              <w:ind w:left="770"/>
              <w:spacing w:after="0"/>
              <w:rPr>
                <w:sz w:val="20"/>
                <w:szCs w:val="20"/>
                <w:color w:val="auto"/>
              </w:rPr>
            </w:pPr>
            <w:r>
              <w:rPr>
                <w:rFonts w:ascii="Arial" w:cs="Arial" w:eastAsia="Arial" w:hAnsi="Arial"/>
                <w:sz w:val="18"/>
                <w:szCs w:val="18"/>
                <w:b w:val="1"/>
                <w:bCs w:val="1"/>
                <w:color w:val="auto"/>
                <w:w w:val="91"/>
              </w:rPr>
              <w:t>ACM Research (Shanghai), Inc.</w:t>
            </w:r>
          </w:p>
        </w:tc>
        <w:tc>
          <w:tcPr>
            <w:tcW w:w="3820" w:type="dxa"/>
            <w:vAlign w:val="bottom"/>
          </w:tcPr>
          <w:p>
            <w:pPr>
              <w:spacing w:after="0"/>
              <w:rPr>
                <w:sz w:val="24"/>
                <w:szCs w:val="24"/>
                <w:color w:val="auto"/>
              </w:rPr>
            </w:pPr>
          </w:p>
        </w:tc>
      </w:tr>
      <w:tr>
        <w:trPr>
          <w:trHeight w:val="432"/>
        </w:trPr>
        <w:tc>
          <w:tcPr>
            <w:tcW w:w="1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80" w:type="dxa"/>
            <w:vAlign w:val="bottom"/>
            <w:gridSpan w:val="3"/>
          </w:tcPr>
          <w:p>
            <w:pPr>
              <w:jc w:val="center"/>
              <w:ind w:right="2850"/>
              <w:spacing w:after="0"/>
              <w:rPr>
                <w:sz w:val="20"/>
                <w:szCs w:val="20"/>
                <w:color w:val="auto"/>
              </w:rPr>
            </w:pPr>
            <w:r>
              <w:rPr>
                <w:rFonts w:ascii="Arial" w:cs="Arial" w:eastAsia="Arial" w:hAnsi="Arial"/>
                <w:sz w:val="18"/>
                <w:szCs w:val="18"/>
                <w:b w:val="1"/>
                <w:bCs w:val="1"/>
                <w:color w:val="auto"/>
                <w:w w:val="91"/>
              </w:rPr>
              <w:t>Record of Investor Relations Activity in March 2022</w:t>
            </w:r>
          </w:p>
        </w:tc>
      </w:tr>
      <w:tr>
        <w:trPr>
          <w:trHeight w:val="250"/>
        </w:trPr>
        <w:tc>
          <w:tcPr>
            <w:tcW w:w="116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gridSpan w:val="2"/>
          </w:tcPr>
          <w:p>
            <w:pPr>
              <w:spacing w:after="0"/>
              <w:rPr>
                <w:sz w:val="21"/>
                <w:szCs w:val="21"/>
                <w:color w:val="auto"/>
              </w:rPr>
            </w:pPr>
          </w:p>
        </w:tc>
        <w:tc>
          <w:tcPr>
            <w:tcW w:w="1580" w:type="dxa"/>
            <w:vAlign w:val="bottom"/>
            <w:tcBorders>
              <w:bottom w:val="single" w:sz="8" w:color="auto"/>
            </w:tcBorders>
          </w:tcPr>
          <w:p>
            <w:pPr>
              <w:spacing w:after="0"/>
              <w:rPr>
                <w:sz w:val="21"/>
                <w:szCs w:val="21"/>
                <w:color w:val="auto"/>
              </w:rPr>
            </w:pPr>
          </w:p>
        </w:tc>
        <w:tc>
          <w:tcPr>
            <w:tcW w:w="2880" w:type="dxa"/>
            <w:vAlign w:val="bottom"/>
            <w:tcBorders>
              <w:bottom w:val="single" w:sz="8" w:color="auto"/>
            </w:tcBorders>
          </w:tcPr>
          <w:p>
            <w:pPr>
              <w:spacing w:after="0"/>
              <w:rPr>
                <w:sz w:val="21"/>
                <w:szCs w:val="21"/>
                <w:color w:val="auto"/>
              </w:rPr>
            </w:pPr>
          </w:p>
        </w:tc>
        <w:tc>
          <w:tcPr>
            <w:tcW w:w="3820" w:type="dxa"/>
            <w:vAlign w:val="bottom"/>
            <w:tcBorders>
              <w:bottom w:val="single" w:sz="8" w:color="auto"/>
            </w:tcBorders>
          </w:tcPr>
          <w:p>
            <w:pPr>
              <w:spacing w:after="0"/>
              <w:rPr>
                <w:sz w:val="21"/>
                <w:szCs w:val="21"/>
                <w:color w:val="auto"/>
              </w:rPr>
            </w:pPr>
          </w:p>
        </w:tc>
      </w:tr>
      <w:tr>
        <w:trPr>
          <w:trHeight w:val="169"/>
        </w:trPr>
        <w:tc>
          <w:tcPr>
            <w:tcW w:w="1160" w:type="dxa"/>
            <w:vAlign w:val="bottom"/>
            <w:tcBorders>
              <w:left w:val="single" w:sz="8" w:color="auto"/>
              <w:right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w w:val="89"/>
              </w:rPr>
              <w:t>Category of</w:t>
            </w:r>
          </w:p>
        </w:tc>
        <w:tc>
          <w:tcPr>
            <w:tcW w:w="6260" w:type="dxa"/>
            <w:vAlign w:val="bottom"/>
            <w:gridSpan w:val="4"/>
          </w:tcPr>
          <w:p>
            <w:pPr>
              <w:ind w:left="100"/>
              <w:spacing w:after="0" w:line="169"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Specific object research </w:t>
            </w:r>
            <w:r>
              <w:rPr>
                <w:rFonts w:ascii="MS PGothic" w:cs="MS PGothic" w:eastAsia="MS PGothic" w:hAnsi="MS PGothic"/>
                <w:sz w:val="18"/>
                <w:szCs w:val="18"/>
                <w:color w:val="auto"/>
              </w:rPr>
              <w:t>✓</w:t>
            </w:r>
            <w:r>
              <w:rPr>
                <w:rFonts w:ascii="Arial" w:cs="Arial" w:eastAsia="Arial" w:hAnsi="Arial"/>
                <w:sz w:val="18"/>
                <w:szCs w:val="18"/>
                <w:color w:val="auto"/>
              </w:rPr>
              <w:t xml:space="preserve"> Analyst meeting</w:t>
            </w:r>
          </w:p>
        </w:tc>
        <w:tc>
          <w:tcPr>
            <w:tcW w:w="3820" w:type="dxa"/>
            <w:vAlign w:val="bottom"/>
            <w:tcBorders>
              <w:right w:val="single" w:sz="8" w:color="auto"/>
            </w:tcBorders>
          </w:tcPr>
          <w:p>
            <w:pPr>
              <w:spacing w:after="0"/>
              <w:rPr>
                <w:sz w:val="14"/>
                <w:szCs w:val="14"/>
                <w:color w:val="auto"/>
              </w:rPr>
            </w:pPr>
          </w:p>
        </w:tc>
      </w:tr>
      <w:tr>
        <w:trPr>
          <w:trHeight w:val="216"/>
        </w:trPr>
        <w:tc>
          <w:tcPr>
            <w:tcW w:w="11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investor</w:t>
            </w:r>
          </w:p>
        </w:tc>
        <w:tc>
          <w:tcPr>
            <w:tcW w:w="1720" w:type="dxa"/>
            <w:vAlign w:val="bottom"/>
          </w:tcPr>
          <w:p>
            <w:pPr>
              <w:ind w:left="1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Media interview</w:t>
            </w:r>
          </w:p>
        </w:tc>
        <w:tc>
          <w:tcPr>
            <w:tcW w:w="80" w:type="dxa"/>
            <w:vAlign w:val="bottom"/>
          </w:tcPr>
          <w:p>
            <w:pPr>
              <w:spacing w:after="0"/>
              <w:rPr>
                <w:sz w:val="18"/>
                <w:szCs w:val="18"/>
                <w:color w:val="auto"/>
              </w:rPr>
            </w:pPr>
          </w:p>
        </w:tc>
        <w:tc>
          <w:tcPr>
            <w:tcW w:w="4460" w:type="dxa"/>
            <w:vAlign w:val="bottom"/>
            <w:gridSpan w:val="2"/>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Performance briefing</w:t>
            </w:r>
          </w:p>
        </w:tc>
        <w:tc>
          <w:tcPr>
            <w:tcW w:w="3820" w:type="dxa"/>
            <w:vAlign w:val="bottom"/>
            <w:tcBorders>
              <w:right w:val="single" w:sz="8" w:color="auto"/>
            </w:tcBorders>
          </w:tcPr>
          <w:p>
            <w:pPr>
              <w:spacing w:after="0"/>
              <w:rPr>
                <w:sz w:val="18"/>
                <w:szCs w:val="18"/>
                <w:color w:val="auto"/>
              </w:rPr>
            </w:pPr>
          </w:p>
        </w:tc>
      </w:tr>
      <w:tr>
        <w:trPr>
          <w:trHeight w:val="216"/>
        </w:trPr>
        <w:tc>
          <w:tcPr>
            <w:tcW w:w="11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relations</w:t>
            </w:r>
          </w:p>
        </w:tc>
        <w:tc>
          <w:tcPr>
            <w:tcW w:w="1720" w:type="dxa"/>
            <w:vAlign w:val="bottom"/>
          </w:tcPr>
          <w:p>
            <w:pPr>
              <w:ind w:left="100"/>
              <w:spacing w:after="0" w:line="207" w:lineRule="exact"/>
              <w:rPr>
                <w:sz w:val="20"/>
                <w:szCs w:val="20"/>
                <w:color w:val="auto"/>
              </w:rPr>
            </w:pPr>
            <w:r>
              <w:rPr>
                <w:rFonts w:ascii="MS PGothic" w:cs="MS PGothic" w:eastAsia="MS PGothic" w:hAnsi="MS PGothic"/>
                <w:sz w:val="18"/>
                <w:szCs w:val="18"/>
                <w:color w:val="auto"/>
                <w:w w:val="98"/>
              </w:rPr>
              <w:t>☐</w:t>
            </w:r>
            <w:r>
              <w:rPr>
                <w:rFonts w:ascii="Arial" w:cs="Arial" w:eastAsia="Arial" w:hAnsi="Arial"/>
                <w:sz w:val="18"/>
                <w:szCs w:val="18"/>
                <w:color w:val="auto"/>
                <w:w w:val="98"/>
              </w:rPr>
              <w:t xml:space="preserve"> Press conference</w:t>
            </w:r>
          </w:p>
        </w:tc>
        <w:tc>
          <w:tcPr>
            <w:tcW w:w="4540" w:type="dxa"/>
            <w:vAlign w:val="bottom"/>
            <w:gridSpan w:val="3"/>
          </w:tcPr>
          <w:p>
            <w:pPr>
              <w:ind w:left="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Roadshow</w:t>
            </w:r>
          </w:p>
        </w:tc>
        <w:tc>
          <w:tcPr>
            <w:tcW w:w="3820" w:type="dxa"/>
            <w:vAlign w:val="bottom"/>
            <w:tcBorders>
              <w:right w:val="single" w:sz="8" w:color="auto"/>
            </w:tcBorders>
          </w:tcPr>
          <w:p>
            <w:pPr>
              <w:spacing w:after="0"/>
              <w:rPr>
                <w:sz w:val="18"/>
                <w:szCs w:val="18"/>
                <w:color w:val="auto"/>
              </w:rPr>
            </w:pPr>
          </w:p>
        </w:tc>
      </w:tr>
      <w:tr>
        <w:trPr>
          <w:trHeight w:val="222"/>
        </w:trPr>
        <w:tc>
          <w:tcPr>
            <w:tcW w:w="11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activity</w:t>
            </w:r>
          </w:p>
        </w:tc>
        <w:tc>
          <w:tcPr>
            <w:tcW w:w="6260" w:type="dxa"/>
            <w:vAlign w:val="bottom"/>
            <w:gridSpan w:val="4"/>
          </w:tcPr>
          <w:p>
            <w:pPr>
              <w:ind w:left="1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Site visit </w:t>
            </w:r>
            <w:r>
              <w:rPr>
                <w:rFonts w:ascii="MS PGothic" w:cs="MS PGothic" w:eastAsia="MS PGothic" w:hAnsi="MS PGothic"/>
                <w:sz w:val="18"/>
                <w:szCs w:val="18"/>
                <w:color w:val="auto"/>
              </w:rPr>
              <w:t>✓</w:t>
            </w:r>
            <w:r>
              <w:rPr>
                <w:rFonts w:ascii="Arial" w:cs="Arial" w:eastAsia="Arial" w:hAnsi="Arial"/>
                <w:sz w:val="18"/>
                <w:szCs w:val="18"/>
                <w:color w:val="auto"/>
              </w:rPr>
              <w:t xml:space="preserve"> Others (Investor presentations)</w:t>
            </w:r>
          </w:p>
        </w:tc>
        <w:tc>
          <w:tcPr>
            <w:tcW w:w="3820" w:type="dxa"/>
            <w:vAlign w:val="bottom"/>
            <w:tcBorders>
              <w:right w:val="single" w:sz="8" w:color="auto"/>
            </w:tcBorders>
          </w:tcPr>
          <w:p>
            <w:pPr>
              <w:spacing w:after="0"/>
              <w:rPr>
                <w:sz w:val="19"/>
                <w:szCs w:val="19"/>
                <w:color w:val="auto"/>
              </w:rPr>
            </w:pPr>
          </w:p>
        </w:tc>
      </w:tr>
      <w:tr>
        <w:trPr>
          <w:trHeight w:val="28"/>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80" w:type="dxa"/>
            <w:vAlign w:val="bottom"/>
            <w:tcBorders>
              <w:top w:val="single" w:sz="8" w:color="auto"/>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r>
      <w:tr>
        <w:trPr>
          <w:trHeight w:val="223"/>
        </w:trPr>
        <w:tc>
          <w:tcPr>
            <w:tcW w:w="11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Time</w:t>
            </w:r>
          </w:p>
        </w:tc>
        <w:tc>
          <w:tcPr>
            <w:tcW w:w="17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March 2022</w:t>
            </w:r>
          </w:p>
        </w:tc>
        <w:tc>
          <w:tcPr>
            <w:tcW w:w="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tcPr>
          <w:p>
            <w:pPr>
              <w:spacing w:after="0"/>
              <w:rPr>
                <w:sz w:val="19"/>
                <w:szCs w:val="19"/>
                <w:color w:val="auto"/>
              </w:rPr>
            </w:pPr>
          </w:p>
        </w:tc>
        <w:tc>
          <w:tcPr>
            <w:tcW w:w="3820" w:type="dxa"/>
            <w:vAlign w:val="bottom"/>
            <w:tcBorders>
              <w:bottom w:val="single" w:sz="8" w:color="auto"/>
              <w:right w:val="single" w:sz="8" w:color="auto"/>
            </w:tcBorders>
          </w:tcPr>
          <w:p>
            <w:pPr>
              <w:spacing w:after="0"/>
              <w:rPr>
                <w:sz w:val="19"/>
                <w:szCs w:val="19"/>
                <w:color w:val="auto"/>
              </w:rPr>
            </w:pPr>
          </w:p>
        </w:tc>
      </w:tr>
      <w:tr>
        <w:trPr>
          <w:trHeight w:val="223"/>
        </w:trPr>
        <w:tc>
          <w:tcPr>
            <w:tcW w:w="11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Place</w:t>
            </w:r>
          </w:p>
        </w:tc>
        <w:tc>
          <w:tcPr>
            <w:tcW w:w="626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rPr>
              <w:t>Online and Teleconference</w:t>
            </w:r>
          </w:p>
        </w:tc>
        <w:tc>
          <w:tcPr>
            <w:tcW w:w="3820" w:type="dxa"/>
            <w:vAlign w:val="bottom"/>
            <w:tcBorders>
              <w:bottom w:val="single" w:sz="8" w:color="auto"/>
              <w:right w:val="single" w:sz="8" w:color="auto"/>
            </w:tcBorders>
          </w:tcPr>
          <w:p>
            <w:pPr>
              <w:spacing w:after="0"/>
              <w:rPr>
                <w:sz w:val="19"/>
                <w:szCs w:val="19"/>
                <w:color w:val="auto"/>
              </w:rPr>
            </w:pPr>
          </w:p>
        </w:tc>
      </w:tr>
      <w:tr>
        <w:trPr>
          <w:trHeight w:val="198"/>
        </w:trPr>
        <w:tc>
          <w:tcPr>
            <w:tcW w:w="1160" w:type="dxa"/>
            <w:vAlign w:val="bottom"/>
            <w:tcBorders>
              <w:left w:val="single" w:sz="8" w:color="auto"/>
              <w:right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6"/>
              </w:rPr>
              <w:t>Receptionists</w:t>
            </w:r>
          </w:p>
        </w:tc>
        <w:tc>
          <w:tcPr>
            <w:tcW w:w="6260" w:type="dxa"/>
            <w:vAlign w:val="bottom"/>
            <w:gridSpan w:val="4"/>
          </w:tcPr>
          <w:p>
            <w:pPr>
              <w:ind w:left="100"/>
              <w:spacing w:after="0" w:line="198" w:lineRule="exact"/>
              <w:rPr>
                <w:sz w:val="20"/>
                <w:szCs w:val="20"/>
                <w:color w:val="auto"/>
              </w:rPr>
            </w:pPr>
            <w:r>
              <w:rPr>
                <w:rFonts w:ascii="Arial" w:cs="Arial" w:eastAsia="Arial" w:hAnsi="Arial"/>
                <w:sz w:val="18"/>
                <w:szCs w:val="18"/>
                <w:color w:val="auto"/>
              </w:rPr>
              <w:t>Chairman: HUI WANG</w:t>
            </w:r>
          </w:p>
        </w:tc>
        <w:tc>
          <w:tcPr>
            <w:tcW w:w="3820" w:type="dxa"/>
            <w:vAlign w:val="bottom"/>
            <w:tcBorders>
              <w:right w:val="single" w:sz="8" w:color="auto"/>
            </w:tcBorders>
          </w:tcPr>
          <w:p>
            <w:pPr>
              <w:spacing w:after="0"/>
              <w:rPr>
                <w:sz w:val="17"/>
                <w:szCs w:val="17"/>
                <w:color w:val="auto"/>
              </w:rPr>
            </w:pPr>
          </w:p>
        </w:tc>
      </w:tr>
      <w:tr>
        <w:trPr>
          <w:trHeight w:val="216"/>
        </w:trPr>
        <w:tc>
          <w:tcPr>
            <w:tcW w:w="11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of the listed</w:t>
            </w:r>
          </w:p>
        </w:tc>
        <w:tc>
          <w:tcPr>
            <w:tcW w:w="6260" w:type="dxa"/>
            <w:vAlign w:val="bottom"/>
            <w:gridSpan w:val="4"/>
          </w:tcPr>
          <w:p>
            <w:pPr>
              <w:ind w:left="100"/>
              <w:spacing w:after="0"/>
              <w:rPr>
                <w:sz w:val="20"/>
                <w:szCs w:val="20"/>
                <w:color w:val="auto"/>
              </w:rPr>
            </w:pPr>
            <w:r>
              <w:rPr>
                <w:rFonts w:ascii="Arial" w:cs="Arial" w:eastAsia="Arial" w:hAnsi="Arial"/>
                <w:sz w:val="18"/>
                <w:szCs w:val="18"/>
                <w:color w:val="auto"/>
              </w:rPr>
              <w:t>Director and General Manager: JIAN WANG</w:t>
            </w:r>
          </w:p>
        </w:tc>
        <w:tc>
          <w:tcPr>
            <w:tcW w:w="3820" w:type="dxa"/>
            <w:vAlign w:val="bottom"/>
            <w:tcBorders>
              <w:right w:val="single" w:sz="8" w:color="auto"/>
            </w:tcBorders>
          </w:tcPr>
          <w:p>
            <w:pPr>
              <w:spacing w:after="0"/>
              <w:rPr>
                <w:sz w:val="18"/>
                <w:szCs w:val="18"/>
                <w:color w:val="auto"/>
              </w:rPr>
            </w:pPr>
          </w:p>
        </w:tc>
      </w:tr>
      <w:tr>
        <w:trPr>
          <w:trHeight w:val="220"/>
        </w:trPr>
        <w:tc>
          <w:tcPr>
            <w:tcW w:w="11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company</w:t>
            </w:r>
          </w:p>
        </w:tc>
        <w:tc>
          <w:tcPr>
            <w:tcW w:w="6260" w:type="dxa"/>
            <w:vAlign w:val="bottom"/>
            <w:gridSpan w:val="4"/>
          </w:tcPr>
          <w:p>
            <w:pPr>
              <w:ind w:left="100"/>
              <w:spacing w:after="0"/>
              <w:rPr>
                <w:sz w:val="20"/>
                <w:szCs w:val="20"/>
                <w:color w:val="auto"/>
              </w:rPr>
            </w:pPr>
            <w:r>
              <w:rPr>
                <w:rFonts w:ascii="Arial" w:cs="Arial" w:eastAsia="Arial" w:hAnsi="Arial"/>
                <w:sz w:val="18"/>
                <w:szCs w:val="18"/>
                <w:color w:val="auto"/>
              </w:rPr>
              <w:t>Person in Charge of Financial Matters: LISA YI LU FENG</w:t>
            </w:r>
          </w:p>
        </w:tc>
        <w:tc>
          <w:tcPr>
            <w:tcW w:w="3820" w:type="dxa"/>
            <w:vAlign w:val="bottom"/>
            <w:tcBorders>
              <w:right w:val="single" w:sz="8" w:color="auto"/>
            </w:tcBorders>
          </w:tcPr>
          <w:p>
            <w:pPr>
              <w:spacing w:after="0"/>
              <w:rPr>
                <w:sz w:val="19"/>
                <w:szCs w:val="19"/>
                <w:color w:val="auto"/>
              </w:rPr>
            </w:pPr>
          </w:p>
        </w:tc>
      </w:tr>
      <w:tr>
        <w:trPr>
          <w:trHeight w:val="237"/>
        </w:trPr>
        <w:tc>
          <w:tcPr>
            <w:tcW w:w="1160" w:type="dxa"/>
            <w:vAlign w:val="bottom"/>
            <w:tcBorders>
              <w:left w:val="single" w:sz="8" w:color="auto"/>
              <w:bottom w:val="single" w:sz="8" w:color="auto"/>
              <w:right w:val="single" w:sz="8" w:color="auto"/>
            </w:tcBorders>
          </w:tcPr>
          <w:p>
            <w:pPr>
              <w:spacing w:after="0"/>
              <w:rPr>
                <w:sz w:val="20"/>
                <w:szCs w:val="20"/>
                <w:color w:val="auto"/>
              </w:rPr>
            </w:pPr>
          </w:p>
        </w:tc>
        <w:tc>
          <w:tcPr>
            <w:tcW w:w="626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rPr>
              <w:t>Board Secretary: MINGZHU LUO</w:t>
            </w:r>
          </w:p>
        </w:tc>
        <w:tc>
          <w:tcPr>
            <w:tcW w:w="3820" w:type="dxa"/>
            <w:vAlign w:val="bottom"/>
            <w:tcBorders>
              <w:bottom w:val="single" w:sz="8" w:color="auto"/>
              <w:right w:val="single" w:sz="8" w:color="auto"/>
            </w:tcBorders>
          </w:tcPr>
          <w:p>
            <w:pPr>
              <w:spacing w:after="0"/>
              <w:rPr>
                <w:sz w:val="20"/>
                <w:szCs w:val="20"/>
                <w:color w:val="auto"/>
              </w:rPr>
            </w:pPr>
          </w:p>
        </w:tc>
      </w:tr>
      <w:tr>
        <w:trPr>
          <w:trHeight w:val="198"/>
        </w:trPr>
        <w:tc>
          <w:tcPr>
            <w:tcW w:w="1160" w:type="dxa"/>
            <w:vAlign w:val="bottom"/>
            <w:tcBorders>
              <w:left w:val="single" w:sz="8" w:color="auto"/>
              <w:right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3"/>
              </w:rPr>
              <w:t>Introduction</w:t>
            </w:r>
          </w:p>
        </w:tc>
        <w:tc>
          <w:tcPr>
            <w:tcW w:w="10080" w:type="dxa"/>
            <w:vAlign w:val="bottom"/>
            <w:tcBorders>
              <w:right w:val="single" w:sz="8" w:color="auto"/>
            </w:tcBorders>
            <w:gridSpan w:val="5"/>
          </w:tcPr>
          <w:p>
            <w:pPr>
              <w:ind w:left="100"/>
              <w:spacing w:after="0" w:line="198" w:lineRule="exact"/>
              <w:rPr>
                <w:sz w:val="20"/>
                <w:szCs w:val="20"/>
                <w:color w:val="auto"/>
              </w:rPr>
            </w:pPr>
            <w:r>
              <w:rPr>
                <w:rFonts w:ascii="Arial" w:cs="Arial" w:eastAsia="Arial" w:hAnsi="Arial"/>
                <w:sz w:val="18"/>
                <w:szCs w:val="18"/>
                <w:b w:val="1"/>
                <w:bCs w:val="1"/>
                <w:color w:val="auto"/>
                <w:w w:val="99"/>
              </w:rPr>
              <w:t xml:space="preserve">I </w:t>
            </w:r>
            <w:r>
              <w:rPr>
                <w:rFonts w:ascii="MS PGothic" w:cs="MS PGothic" w:eastAsia="MS PGothic" w:hAnsi="MS PGothic"/>
                <w:sz w:val="18"/>
                <w:szCs w:val="18"/>
                <w:color w:val="auto"/>
                <w:w w:val="99"/>
              </w:rPr>
              <w:t>．</w:t>
            </w:r>
            <w:r>
              <w:rPr>
                <w:rFonts w:ascii="Arial" w:cs="Arial" w:eastAsia="Arial" w:hAnsi="Arial"/>
                <w:sz w:val="18"/>
                <w:szCs w:val="18"/>
                <w:b w:val="1"/>
                <w:bCs w:val="1"/>
                <w:color w:val="auto"/>
                <w:w w:val="99"/>
              </w:rPr>
              <w:t xml:space="preserve"> Company Profile; Brief Reading of 2021 Annual Report; Specific Explanation of Relevant Events of the Controlling</w:t>
            </w:r>
          </w:p>
        </w:tc>
      </w:tr>
      <w:tr>
        <w:trPr>
          <w:trHeight w:val="216"/>
        </w:trPr>
        <w:tc>
          <w:tcPr>
            <w:tcW w:w="11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to main</w:t>
            </w:r>
          </w:p>
        </w:tc>
        <w:tc>
          <w:tcPr>
            <w:tcW w:w="1720" w:type="dxa"/>
            <w:vAlign w:val="bottom"/>
          </w:tcPr>
          <w:p>
            <w:pPr>
              <w:ind w:left="100"/>
              <w:spacing w:after="0"/>
              <w:rPr>
                <w:sz w:val="20"/>
                <w:szCs w:val="20"/>
                <w:color w:val="auto"/>
              </w:rPr>
            </w:pPr>
            <w:r>
              <w:rPr>
                <w:rFonts w:ascii="Arial" w:cs="Arial" w:eastAsia="Arial" w:hAnsi="Arial"/>
                <w:sz w:val="18"/>
                <w:szCs w:val="18"/>
                <w:b w:val="1"/>
                <w:bCs w:val="1"/>
                <w:color w:val="auto"/>
                <w:w w:val="97"/>
              </w:rPr>
              <w:t>Shareholder ACMR</w:t>
            </w: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3820" w:type="dxa"/>
            <w:vAlign w:val="bottom"/>
            <w:tcBorders>
              <w:right w:val="single" w:sz="8" w:color="auto"/>
            </w:tcBorders>
          </w:tcPr>
          <w:p>
            <w:pPr>
              <w:spacing w:after="0"/>
              <w:rPr>
                <w:sz w:val="18"/>
                <w:szCs w:val="18"/>
                <w:color w:val="auto"/>
              </w:rPr>
            </w:pPr>
          </w:p>
        </w:tc>
      </w:tr>
      <w:tr>
        <w:trPr>
          <w:trHeight w:val="216"/>
        </w:trPr>
        <w:tc>
          <w:tcPr>
            <w:tcW w:w="11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contents of</w:t>
            </w: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3820" w:type="dxa"/>
            <w:vAlign w:val="bottom"/>
            <w:tcBorders>
              <w:right w:val="single" w:sz="8" w:color="auto"/>
            </w:tcBorders>
          </w:tcPr>
          <w:p>
            <w:pPr>
              <w:spacing w:after="0"/>
              <w:rPr>
                <w:sz w:val="18"/>
                <w:szCs w:val="18"/>
                <w:color w:val="auto"/>
              </w:rPr>
            </w:pPr>
          </w:p>
        </w:tc>
      </w:tr>
      <w:tr>
        <w:trPr>
          <w:trHeight w:val="216"/>
        </w:trPr>
        <w:tc>
          <w:tcPr>
            <w:tcW w:w="11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investor</w:t>
            </w:r>
          </w:p>
        </w:tc>
        <w:tc>
          <w:tcPr>
            <w:tcW w:w="1720" w:type="dxa"/>
            <w:vAlign w:val="bottom"/>
          </w:tcPr>
          <w:p>
            <w:pPr>
              <w:ind w:left="100"/>
              <w:spacing w:after="0"/>
              <w:rPr>
                <w:sz w:val="20"/>
                <w:szCs w:val="20"/>
                <w:color w:val="auto"/>
              </w:rPr>
            </w:pPr>
            <w:r>
              <w:rPr>
                <w:rFonts w:ascii="Arial" w:cs="Arial" w:eastAsia="Arial" w:hAnsi="Arial"/>
                <w:sz w:val="18"/>
                <w:szCs w:val="18"/>
                <w:b w:val="1"/>
                <w:bCs w:val="1"/>
                <w:color w:val="auto"/>
              </w:rPr>
              <w:t>II. Q&amp;A</w:t>
            </w: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3820" w:type="dxa"/>
            <w:vAlign w:val="bottom"/>
            <w:tcBorders>
              <w:right w:val="single" w:sz="8" w:color="auto"/>
            </w:tcBorders>
          </w:tcPr>
          <w:p>
            <w:pPr>
              <w:spacing w:after="0"/>
              <w:rPr>
                <w:sz w:val="18"/>
                <w:szCs w:val="18"/>
                <w:color w:val="auto"/>
              </w:rPr>
            </w:pPr>
          </w:p>
        </w:tc>
      </w:tr>
      <w:tr>
        <w:trPr>
          <w:trHeight w:val="216"/>
        </w:trPr>
        <w:tc>
          <w:tcPr>
            <w:tcW w:w="11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relations</w:t>
            </w: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3820" w:type="dxa"/>
            <w:vAlign w:val="bottom"/>
            <w:tcBorders>
              <w:right w:val="single" w:sz="8" w:color="auto"/>
            </w:tcBorders>
          </w:tcPr>
          <w:p>
            <w:pPr>
              <w:spacing w:after="0"/>
              <w:rPr>
                <w:sz w:val="18"/>
                <w:szCs w:val="18"/>
                <w:color w:val="auto"/>
              </w:rPr>
            </w:pPr>
          </w:p>
        </w:tc>
      </w:tr>
      <w:tr>
        <w:trPr>
          <w:trHeight w:val="243"/>
        </w:trPr>
        <w:tc>
          <w:tcPr>
            <w:tcW w:w="11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activity</w:t>
            </w:r>
          </w:p>
        </w:tc>
        <w:tc>
          <w:tcPr>
            <w:tcW w:w="10080" w:type="dxa"/>
            <w:vAlign w:val="bottom"/>
            <w:tcBorders>
              <w:right w:val="single" w:sz="8" w:color="auto"/>
            </w:tcBorders>
            <w:gridSpan w:val="5"/>
          </w:tcPr>
          <w:p>
            <w:pPr>
              <w:ind w:left="460"/>
              <w:spacing w:after="0"/>
              <w:rPr>
                <w:sz w:val="20"/>
                <w:szCs w:val="20"/>
                <w:color w:val="auto"/>
              </w:rPr>
            </w:pPr>
            <w:r>
              <w:rPr>
                <w:rFonts w:ascii="Arial" w:cs="Arial" w:eastAsia="Arial" w:hAnsi="Arial"/>
                <w:sz w:val="18"/>
                <w:szCs w:val="18"/>
                <w:b w:val="1"/>
                <w:bCs w:val="1"/>
                <w:color w:val="auto"/>
                <w:w w:val="92"/>
              </w:rPr>
              <w:t>1. The shipments of the furnace tube and electroplating equipment of the Company registered a notable increase in 2021.</w:t>
            </w:r>
          </w:p>
        </w:tc>
      </w:tr>
      <w:tr>
        <w:trPr>
          <w:trHeight w:val="220"/>
        </w:trPr>
        <w:tc>
          <w:tcPr>
            <w:tcW w:w="1160" w:type="dxa"/>
            <w:vAlign w:val="bottom"/>
            <w:tcBorders>
              <w:left w:val="single" w:sz="8" w:color="auto"/>
              <w:right w:val="single" w:sz="8" w:color="auto"/>
            </w:tcBorders>
          </w:tcPr>
          <w:p>
            <w:pPr>
              <w:spacing w:after="0"/>
              <w:rPr>
                <w:sz w:val="19"/>
                <w:szCs w:val="19"/>
                <w:color w:val="auto"/>
              </w:rPr>
            </w:pPr>
          </w:p>
        </w:tc>
        <w:tc>
          <w:tcPr>
            <w:tcW w:w="6260" w:type="dxa"/>
            <w:vAlign w:val="bottom"/>
            <w:gridSpan w:val="4"/>
          </w:tcPr>
          <w:p>
            <w:pPr>
              <w:ind w:left="100"/>
              <w:spacing w:after="0"/>
              <w:rPr>
                <w:sz w:val="20"/>
                <w:szCs w:val="20"/>
                <w:color w:val="auto"/>
              </w:rPr>
            </w:pPr>
            <w:r>
              <w:rPr>
                <w:rFonts w:ascii="Arial" w:cs="Arial" w:eastAsia="Arial" w:hAnsi="Arial"/>
                <w:sz w:val="18"/>
                <w:szCs w:val="18"/>
                <w:b w:val="1"/>
                <w:bCs w:val="1"/>
                <w:color w:val="auto"/>
                <w:w w:val="92"/>
              </w:rPr>
              <w:t>What do you think about the growth of these two kinds of equipment in 2022?</w:t>
            </w:r>
          </w:p>
        </w:tc>
        <w:tc>
          <w:tcPr>
            <w:tcW w:w="3820" w:type="dxa"/>
            <w:vAlign w:val="bottom"/>
            <w:tcBorders>
              <w:right w:val="single" w:sz="8" w:color="auto"/>
            </w:tcBorders>
          </w:tcPr>
          <w:p>
            <w:pPr>
              <w:spacing w:after="0"/>
              <w:rPr>
                <w:sz w:val="19"/>
                <w:szCs w:val="19"/>
                <w:color w:val="auto"/>
              </w:rPr>
            </w:pPr>
          </w:p>
        </w:tc>
      </w:tr>
      <w:tr>
        <w:trPr>
          <w:trHeight w:val="216"/>
        </w:trPr>
        <w:tc>
          <w:tcPr>
            <w:tcW w:w="1160" w:type="dxa"/>
            <w:vAlign w:val="bottom"/>
            <w:tcBorders>
              <w:left w:val="single" w:sz="8" w:color="auto"/>
              <w:right w:val="single" w:sz="8" w:color="auto"/>
            </w:tcBorders>
          </w:tcPr>
          <w:p>
            <w:pPr>
              <w:spacing w:after="0"/>
              <w:rPr>
                <w:sz w:val="18"/>
                <w:szCs w:val="18"/>
                <w:color w:val="auto"/>
              </w:rPr>
            </w:pPr>
          </w:p>
        </w:tc>
        <w:tc>
          <w:tcPr>
            <w:tcW w:w="10080" w:type="dxa"/>
            <w:vAlign w:val="bottom"/>
            <w:tcBorders>
              <w:right w:val="single" w:sz="8" w:color="auto"/>
            </w:tcBorders>
            <w:gridSpan w:val="5"/>
          </w:tcPr>
          <w:p>
            <w:pPr>
              <w:ind w:left="460"/>
              <w:spacing w:after="0"/>
              <w:rPr>
                <w:sz w:val="20"/>
                <w:szCs w:val="20"/>
                <w:color w:val="auto"/>
              </w:rPr>
            </w:pPr>
            <w:r>
              <w:rPr>
                <w:rFonts w:ascii="Arial" w:cs="Arial" w:eastAsia="Arial" w:hAnsi="Arial"/>
                <w:sz w:val="18"/>
                <w:szCs w:val="18"/>
                <w:color w:val="auto"/>
                <w:w w:val="93"/>
              </w:rPr>
              <w:t>A: In February 2022, the Company announced that it received orders for 21 sets of electroplating copper equipment, including 10</w:t>
            </w:r>
          </w:p>
        </w:tc>
      </w:tr>
      <w:tr>
        <w:trPr>
          <w:trHeight w:val="216"/>
        </w:trPr>
        <w:tc>
          <w:tcPr>
            <w:tcW w:w="1160" w:type="dxa"/>
            <w:vAlign w:val="bottom"/>
            <w:tcBorders>
              <w:left w:val="single" w:sz="8" w:color="auto"/>
              <w:right w:val="single" w:sz="8" w:color="auto"/>
            </w:tcBorders>
          </w:tcPr>
          <w:p>
            <w:pPr>
              <w:spacing w:after="0"/>
              <w:rPr>
                <w:sz w:val="18"/>
                <w:szCs w:val="18"/>
                <w:color w:val="auto"/>
              </w:rPr>
            </w:pPr>
          </w:p>
        </w:tc>
        <w:tc>
          <w:tcPr>
            <w:tcW w:w="1008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w w:val="94"/>
              </w:rPr>
              <w:t>sets of front-end ECP map equipment, slightly higher than that in 2021, i.e., 1/3. At present, the Company’s front-end plating copper</w:t>
            </w:r>
          </w:p>
        </w:tc>
      </w:tr>
      <w:tr>
        <w:trPr>
          <w:trHeight w:val="216"/>
        </w:trPr>
        <w:tc>
          <w:tcPr>
            <w:tcW w:w="1160" w:type="dxa"/>
            <w:vAlign w:val="bottom"/>
            <w:tcBorders>
              <w:left w:val="single" w:sz="8" w:color="auto"/>
              <w:right w:val="single" w:sz="8" w:color="auto"/>
            </w:tcBorders>
          </w:tcPr>
          <w:p>
            <w:pPr>
              <w:spacing w:after="0"/>
              <w:rPr>
                <w:sz w:val="18"/>
                <w:szCs w:val="18"/>
                <w:color w:val="auto"/>
              </w:rPr>
            </w:pPr>
          </w:p>
        </w:tc>
        <w:tc>
          <w:tcPr>
            <w:tcW w:w="1008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w w:val="95"/>
              </w:rPr>
              <w:t>equipment is growing at a relatively high speed, and is expected to achieve a higher growth rate throughout 2022. The furnace tube</w:t>
            </w:r>
          </w:p>
        </w:tc>
      </w:tr>
      <w:tr>
        <w:trPr>
          <w:trHeight w:val="216"/>
        </w:trPr>
        <w:tc>
          <w:tcPr>
            <w:tcW w:w="1160" w:type="dxa"/>
            <w:vAlign w:val="bottom"/>
            <w:tcBorders>
              <w:left w:val="single" w:sz="8" w:color="auto"/>
              <w:right w:val="single" w:sz="8" w:color="auto"/>
            </w:tcBorders>
          </w:tcPr>
          <w:p>
            <w:pPr>
              <w:spacing w:after="0"/>
              <w:rPr>
                <w:sz w:val="18"/>
                <w:szCs w:val="18"/>
                <w:color w:val="auto"/>
              </w:rPr>
            </w:pPr>
          </w:p>
        </w:tc>
        <w:tc>
          <w:tcPr>
            <w:tcW w:w="1008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w w:val="91"/>
              </w:rPr>
              <w:t>equipment had low sales in 2021, mainly 7 sets of demo equipment, and their revenue is expected to be recognized this year. Shipments</w:t>
            </w:r>
          </w:p>
        </w:tc>
      </w:tr>
      <w:tr>
        <w:trPr>
          <w:trHeight w:val="216"/>
        </w:trPr>
        <w:tc>
          <w:tcPr>
            <w:tcW w:w="1160" w:type="dxa"/>
            <w:vAlign w:val="bottom"/>
            <w:tcBorders>
              <w:left w:val="single" w:sz="8" w:color="auto"/>
              <w:right w:val="single" w:sz="8" w:color="auto"/>
            </w:tcBorders>
          </w:tcPr>
          <w:p>
            <w:pPr>
              <w:spacing w:after="0"/>
              <w:rPr>
                <w:sz w:val="18"/>
                <w:szCs w:val="18"/>
                <w:color w:val="auto"/>
              </w:rPr>
            </w:pPr>
          </w:p>
        </w:tc>
        <w:tc>
          <w:tcPr>
            <w:tcW w:w="1008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w w:val="93"/>
              </w:rPr>
              <w:t>of demo equipment, if any, may be delivered on repeated orders this year. In addition, the Company plans to launch two kinds of ALD</w:t>
            </w:r>
          </w:p>
        </w:tc>
      </w:tr>
      <w:tr>
        <w:trPr>
          <w:trHeight w:val="216"/>
        </w:trPr>
        <w:tc>
          <w:tcPr>
            <w:tcW w:w="1160" w:type="dxa"/>
            <w:vAlign w:val="bottom"/>
            <w:tcBorders>
              <w:left w:val="single" w:sz="8" w:color="auto"/>
              <w:right w:val="single" w:sz="8" w:color="auto"/>
            </w:tcBorders>
          </w:tcPr>
          <w:p>
            <w:pPr>
              <w:spacing w:after="0"/>
              <w:rPr>
                <w:sz w:val="18"/>
                <w:szCs w:val="18"/>
                <w:color w:val="auto"/>
              </w:rPr>
            </w:pPr>
          </w:p>
        </w:tc>
        <w:tc>
          <w:tcPr>
            <w:tcW w:w="1008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w w:val="91"/>
              </w:rPr>
              <w:t>furnace tube equipment this year. It will take one to one and a half years to recognize sales, but ALD equipment is a big growth point and</w:t>
            </w:r>
          </w:p>
        </w:tc>
      </w:tr>
      <w:tr>
        <w:trPr>
          <w:trHeight w:val="237"/>
        </w:trPr>
        <w:tc>
          <w:tcPr>
            <w:tcW w:w="1160" w:type="dxa"/>
            <w:vAlign w:val="bottom"/>
            <w:tcBorders>
              <w:left w:val="single" w:sz="8" w:color="auto"/>
              <w:bottom w:val="single" w:sz="8" w:color="auto"/>
              <w:right w:val="single" w:sz="8" w:color="auto"/>
            </w:tcBorders>
          </w:tcPr>
          <w:p>
            <w:pPr>
              <w:spacing w:after="0"/>
              <w:rPr>
                <w:sz w:val="20"/>
                <w:szCs w:val="20"/>
                <w:color w:val="auto"/>
              </w:rPr>
            </w:pPr>
          </w:p>
        </w:tc>
        <w:tc>
          <w:tcPr>
            <w:tcW w:w="626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rPr>
              <w:t>is expected to take an over 1/2 market share.</w:t>
            </w:r>
          </w:p>
        </w:tc>
        <w:tc>
          <w:tcPr>
            <w:tcW w:w="3820" w:type="dxa"/>
            <w:vAlign w:val="bottom"/>
            <w:tcBorders>
              <w:bottom w:val="single" w:sz="8" w:color="auto"/>
              <w:right w:val="single" w:sz="8" w:color="auto"/>
            </w:tcBorders>
          </w:tcPr>
          <w:p>
            <w:pPr>
              <w:spacing w:after="0"/>
              <w:rPr>
                <w:sz w:val="20"/>
                <w:szCs w:val="20"/>
                <w:color w:val="auto"/>
              </w:rPr>
            </w:pPr>
          </w:p>
        </w:tc>
      </w:tr>
      <w:tr>
        <w:trPr>
          <w:trHeight w:val="426"/>
        </w:trPr>
        <w:tc>
          <w:tcPr>
            <w:tcW w:w="11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923925</wp:posOffset>
            </wp:positionH>
            <wp:positionV relativeFrom="paragraph">
              <wp:posOffset>-2143125</wp:posOffset>
            </wp:positionV>
            <wp:extent cx="17145" cy="177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145" cy="17780"/>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4" w:name="page5"/>
    <w:bookmarkEnd w:id="4"/>
    <w:p>
      <w:pPr>
        <w:ind w:left="140" w:right="20" w:firstLine="365"/>
        <w:spacing w:after="0" w:line="261" w:lineRule="auto"/>
        <w:tabs>
          <w:tab w:leader="none" w:pos="691"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320675</wp:posOffset>
            </wp:positionV>
            <wp:extent cx="7132320" cy="31800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180080"/>
                    </a:xfrm>
                    <a:prstGeom prst="rect">
                      <a:avLst/>
                    </a:prstGeom>
                    <a:noFill/>
                  </pic:spPr>
                </pic:pic>
              </a:graphicData>
            </a:graphic>
          </wp:anchor>
        </w:drawing>
        <w:t>What is the sales volume of single wafer equipment and wet bench equipment among the cleaning equipment sold by the Company in 2021? What do you think about the growth of these two kinds of equipment in 2022?</w:t>
      </w:r>
    </w:p>
    <w:p>
      <w:pPr>
        <w:jc w:val="both"/>
        <w:ind w:left="140" w:firstLine="3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A: The Company did not open the specific sales volume of equipment to the public, and we cannot forecast their specific percentages now, but it’s expected that the sales volume of single wafer equipment still represents a larger percentage, while the wet bench equipment will achieve a larger growth rate.</w:t>
      </w:r>
    </w:p>
    <w:p>
      <w:pPr>
        <w:spacing w:after="0" w:line="185" w:lineRule="exact"/>
        <w:rPr>
          <w:rFonts w:ascii="Arial" w:cs="Arial" w:eastAsia="Arial" w:hAnsi="Arial"/>
          <w:sz w:val="18"/>
          <w:szCs w:val="18"/>
          <w:b w:val="1"/>
          <w:bCs w:val="1"/>
          <w:color w:val="auto"/>
        </w:rPr>
      </w:pPr>
    </w:p>
    <w:p>
      <w:pPr>
        <w:jc w:val="both"/>
        <w:ind w:left="140" w:firstLine="365"/>
        <w:spacing w:after="0" w:line="257" w:lineRule="auto"/>
        <w:tabs>
          <w:tab w:leader="none" w:pos="716"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The Company announced that it received an order for one set of demo equipment and one set of direct production equipment from an overseas major customer in December last year. How about the verification situation of the overseas major customer now?</w:t>
      </w:r>
    </w:p>
    <w:p>
      <w:pPr>
        <w:spacing w:after="0" w:line="1" w:lineRule="exact"/>
        <w:rPr>
          <w:rFonts w:ascii="Arial" w:cs="Arial" w:eastAsia="Arial" w:hAnsi="Arial"/>
          <w:sz w:val="18"/>
          <w:szCs w:val="18"/>
          <w:b w:val="1"/>
          <w:bCs w:val="1"/>
          <w:color w:val="auto"/>
        </w:rPr>
      </w:pPr>
    </w:p>
    <w:p>
      <w:pPr>
        <w:ind w:left="140" w:right="20" w:firstLine="360"/>
        <w:spacing w:after="0" w:line="260" w:lineRule="auto"/>
        <w:rPr>
          <w:rFonts w:ascii="Arial" w:cs="Arial" w:eastAsia="Arial" w:hAnsi="Arial"/>
          <w:sz w:val="18"/>
          <w:szCs w:val="18"/>
          <w:b w:val="1"/>
          <w:bCs w:val="1"/>
          <w:color w:val="auto"/>
        </w:rPr>
      </w:pPr>
      <w:r>
        <w:rPr>
          <w:rFonts w:ascii="Arial" w:cs="Arial" w:eastAsia="Arial" w:hAnsi="Arial"/>
          <w:sz w:val="18"/>
          <w:szCs w:val="18"/>
          <w:color w:val="auto"/>
        </w:rPr>
        <w:t>A: The above-mentioned equipment is being produced. It’s expected that the first set of equipment will initiate verification in the first half of 2022, with the verification term being about 6-12 months.</w:t>
      </w:r>
    </w:p>
    <w:p>
      <w:pPr>
        <w:spacing w:after="0" w:line="181" w:lineRule="exact"/>
        <w:rPr>
          <w:rFonts w:ascii="Arial" w:cs="Arial" w:eastAsia="Arial" w:hAnsi="Arial"/>
          <w:sz w:val="18"/>
          <w:szCs w:val="18"/>
          <w:b w:val="1"/>
          <w:bCs w:val="1"/>
          <w:color w:val="auto"/>
        </w:rPr>
      </w:pPr>
    </w:p>
    <w:p>
      <w:pPr>
        <w:ind w:left="680" w:hanging="175"/>
        <w:spacing w:after="0"/>
        <w:tabs>
          <w:tab w:leader="none" w:pos="6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The Company delivered some advanced packaging equipment in 2021. Which equipment is delivered?</w:t>
      </w:r>
    </w:p>
    <w:p>
      <w:pPr>
        <w:spacing w:after="0" w:line="27" w:lineRule="exact"/>
        <w:rPr>
          <w:sz w:val="20"/>
          <w:szCs w:val="20"/>
          <w:color w:val="auto"/>
        </w:rPr>
      </w:pPr>
    </w:p>
    <w:p>
      <w:pPr>
        <w:jc w:val="both"/>
        <w:ind w:left="140" w:firstLine="363"/>
        <w:spacing w:after="0" w:line="255" w:lineRule="auto"/>
        <w:tabs>
          <w:tab w:leader="none" w:pos="726"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the advanced packaging field, we have gluing, degluing, developing, wet etching and cleaning products for sale, among which, the degluing, etching and cleaning equipment has relatively good sales. We hope that we will also have good performance in gluing and developing equipment, etc.</w:t>
      </w:r>
    </w:p>
    <w:p>
      <w:pPr>
        <w:spacing w:after="0" w:line="186"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5. How about the progress of new products to be launched by the Company in the middle of 2022?</w:t>
      </w:r>
    </w:p>
    <w:p>
      <w:pPr>
        <w:spacing w:after="0" w:line="27" w:lineRule="exact"/>
        <w:rPr>
          <w:sz w:val="20"/>
          <w:szCs w:val="20"/>
          <w:color w:val="auto"/>
        </w:rPr>
      </w:pPr>
    </w:p>
    <w:p>
      <w:pPr>
        <w:jc w:val="both"/>
        <w:ind w:left="140" w:right="20" w:firstLine="363"/>
        <w:spacing w:after="0" w:line="273" w:lineRule="auto"/>
        <w:tabs>
          <w:tab w:leader="none" w:pos="725"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first type of equipment will be launched in the middle of 2022, and has two potential customers at present; the second type of equipment is expected to be launched at the end of 2022 and has one potential customer at present, and will have more potential customers in future. The research and development for these two types of equipment is going well. Over the past three years, we have laid out the core technology patents for them and have made good preparations for their technology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275590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715" w:right="359" w:bottom="1440" w:gutter="0" w:footer="0" w:header="0"/>
        </w:sectPr>
      </w:pPr>
    </w:p>
    <w:bookmarkStart w:id="5" w:name="page6"/>
    <w:bookmarkEnd w:id="5"/>
    <w:p>
      <w:pPr>
        <w:ind w:left="140" w:right="20" w:firstLine="365"/>
        <w:spacing w:after="0" w:line="261" w:lineRule="auto"/>
        <w:tabs>
          <w:tab w:leader="none" w:pos="716"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320675</wp:posOffset>
            </wp:positionV>
            <wp:extent cx="7132320" cy="35915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3591560"/>
                    </a:xfrm>
                    <a:prstGeom prst="rect">
                      <a:avLst/>
                    </a:prstGeom>
                    <a:noFill/>
                  </pic:spPr>
                </pic:pic>
              </a:graphicData>
            </a:graphic>
          </wp:anchor>
        </w:drawing>
        <w:t>What is the attitude of customers towards differentiated technologies? Will customers choose more mature products because they are worried about the technology maturity?</w:t>
      </w:r>
    </w:p>
    <w:p>
      <w:pPr>
        <w:ind w:left="140" w:right="20" w:firstLine="360"/>
        <w:spacing w:after="0" w:line="290" w:lineRule="auto"/>
        <w:rPr>
          <w:rFonts w:ascii="Arial" w:cs="Arial" w:eastAsia="Arial" w:hAnsi="Arial"/>
          <w:sz w:val="18"/>
          <w:szCs w:val="18"/>
          <w:b w:val="1"/>
          <w:bCs w:val="1"/>
          <w:color w:val="auto"/>
        </w:rPr>
      </w:pPr>
      <w:r>
        <w:rPr>
          <w:rFonts w:ascii="Arial" w:cs="Arial" w:eastAsia="Arial" w:hAnsi="Arial"/>
          <w:sz w:val="17"/>
          <w:szCs w:val="17"/>
          <w:color w:val="auto"/>
        </w:rPr>
        <w:t>A: What customers focus on is the performance improvement the differentiated products can bring to them and whether the differentiated products can help them solve problems. Local Chinese customers have a positive attitude towards new technologies.</w:t>
      </w:r>
    </w:p>
    <w:p>
      <w:pPr>
        <w:spacing w:after="0" w:line="157" w:lineRule="exact"/>
        <w:rPr>
          <w:rFonts w:ascii="Arial" w:cs="Arial" w:eastAsia="Arial" w:hAnsi="Arial"/>
          <w:sz w:val="18"/>
          <w:szCs w:val="18"/>
          <w:b w:val="1"/>
          <w:bCs w:val="1"/>
          <w:color w:val="auto"/>
        </w:rPr>
      </w:pPr>
    </w:p>
    <w:p>
      <w:pPr>
        <w:ind w:left="680" w:hanging="175"/>
        <w:spacing w:after="0"/>
        <w:tabs>
          <w:tab w:leader="none" w:pos="680"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For personnel structure, are new products developed by a new team or do they share a team with old products?</w:t>
      </w:r>
    </w:p>
    <w:p>
      <w:pPr>
        <w:spacing w:after="0" w:line="39" w:lineRule="exact"/>
        <w:rPr>
          <w:sz w:val="20"/>
          <w:szCs w:val="20"/>
          <w:color w:val="auto"/>
        </w:rPr>
      </w:pPr>
    </w:p>
    <w:p>
      <w:pPr>
        <w:jc w:val="both"/>
        <w:ind w:left="140" w:right="20" w:firstLine="363"/>
        <w:spacing w:after="0" w:line="253" w:lineRule="auto"/>
        <w:tabs>
          <w:tab w:leader="none" w:pos="747" w:val="left"/>
        </w:tabs>
        <w:numPr>
          <w:ilvl w:val="0"/>
          <w:numId w:val="7"/>
        </w:numPr>
        <w:rPr>
          <w:rFonts w:ascii="Arial" w:cs="Arial" w:eastAsia="Arial" w:hAnsi="Arial"/>
          <w:sz w:val="18"/>
          <w:szCs w:val="18"/>
          <w:color w:val="auto"/>
        </w:rPr>
      </w:pPr>
      <w:r>
        <w:rPr>
          <w:rFonts w:ascii="Arial" w:cs="Arial" w:eastAsia="Arial" w:hAnsi="Arial"/>
          <w:sz w:val="18"/>
          <w:szCs w:val="18"/>
          <w:color w:val="auto"/>
        </w:rPr>
        <w:t>At present, the team of cleaning and copper plating equipment has basically been independent, and the team of furnace tube equipment is on course to achieve independence. These two products are still in the transitional stage. They are equipped with independent research and development teams, but they still share some teams with old products, e.g., software development team and electronic control development team. With the increase in shipments of these two products, their personnel will achieve independence. What the Company pursues maximizes the efficiency of staffing.</w:t>
      </w:r>
    </w:p>
    <w:p>
      <w:pPr>
        <w:spacing w:after="0" w:line="187" w:lineRule="exact"/>
        <w:rPr>
          <w:sz w:val="20"/>
          <w:szCs w:val="20"/>
          <w:color w:val="auto"/>
        </w:rPr>
      </w:pPr>
    </w:p>
    <w:p>
      <w:pPr>
        <w:ind w:left="140" w:right="20" w:firstLine="365"/>
        <w:spacing w:after="0" w:line="261" w:lineRule="auto"/>
        <w:tabs>
          <w:tab w:leader="none" w:pos="686"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The revenue in 2021 registered a notable increase. Will the research and development expenses rocket up if the revenue in 2022 maintains a growth rate same as 2021?</w:t>
      </w:r>
    </w:p>
    <w:p>
      <w:pPr>
        <w:jc w:val="both"/>
        <w:ind w:left="140" w:firstLine="36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A: The research and development expenses will increase and the global selling expenses may also show an uptick. We prefer to sacrifice a small profit for the long-term interests of the Company, and invest these funds in our medium and long-term growth. Meanwhile, we also target that the Company can deliver good operating profits. In conclusion, we anticipate that the research and development expense ratio will represent around 17% of sales for the year.</w:t>
      </w:r>
    </w:p>
    <w:p>
      <w:pPr>
        <w:spacing w:after="0" w:line="188" w:lineRule="exact"/>
        <w:rPr>
          <w:rFonts w:ascii="Arial" w:cs="Arial" w:eastAsia="Arial" w:hAnsi="Arial"/>
          <w:sz w:val="18"/>
          <w:szCs w:val="18"/>
          <w:b w:val="1"/>
          <w:bCs w:val="1"/>
          <w:color w:val="auto"/>
        </w:rPr>
      </w:pPr>
    </w:p>
    <w:p>
      <w:pPr>
        <w:ind w:left="140" w:firstLine="365"/>
        <w:spacing w:after="0" w:line="261" w:lineRule="auto"/>
        <w:tabs>
          <w:tab w:leader="none" w:pos="705"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International customers like SMIC would increase greatly this year. What is the main reason for a slight slowdown in exploration of South Korean customers?</w:t>
      </w:r>
    </w:p>
    <w:p>
      <w:pPr>
        <w:jc w:val="both"/>
        <w:ind w:left="140" w:right="20" w:firstLine="36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A: Hynix’s factory expansion in Wuxi has basically completed. Now, the factory expansion plan is focusing on South Korea. We are also intensifying efforts to sell and launch products to South Korea’s local market. In addition to cleaning equipment, we are also considering launching the copper plating equipment. As a result, we will focus on the factories based in South Korea after we complete exploring the South Korea customers in 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285750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715" w:right="359" w:bottom="1440" w:gutter="0" w:footer="0" w:header="0"/>
        </w:sectPr>
      </w:pPr>
    </w:p>
    <w:bookmarkStart w:id="6" w:name="page7"/>
    <w:bookmarkEnd w:id="6"/>
    <w:p>
      <w:pPr>
        <w:jc w:val="both"/>
        <w:ind w:left="140" w:firstLine="365"/>
        <w:spacing w:after="0" w:line="257" w:lineRule="auto"/>
        <w:tabs>
          <w:tab w:leader="none" w:pos="794" w:val="left"/>
        </w:tabs>
        <w:numPr>
          <w:ilvl w:val="1"/>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41402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4140200"/>
                    </a:xfrm>
                    <a:prstGeom prst="rect">
                      <a:avLst/>
                    </a:prstGeom>
                    <a:noFill/>
                  </pic:spPr>
                </pic:pic>
              </a:graphicData>
            </a:graphic>
          </wp:anchor>
        </w:drawing>
        <w:t>Have we encountered problems in procurement of core components? Whether the procurement cycle of conventional parts is prolonged? What do you think about the procurement problems of core components or the pressure of guaranteed delivery?</w:t>
      </w:r>
    </w:p>
    <w:p>
      <w:pPr>
        <w:spacing w:after="0" w:line="1" w:lineRule="exact"/>
        <w:rPr>
          <w:rFonts w:ascii="Arial" w:cs="Arial" w:eastAsia="Arial" w:hAnsi="Arial"/>
          <w:sz w:val="18"/>
          <w:szCs w:val="18"/>
          <w:b w:val="1"/>
          <w:bCs w:val="1"/>
          <w:color w:val="auto"/>
        </w:rPr>
      </w:pPr>
    </w:p>
    <w:p>
      <w:pPr>
        <w:jc w:val="both"/>
        <w:ind w:left="140" w:firstLine="363"/>
        <w:spacing w:after="0" w:line="253" w:lineRule="auto"/>
        <w:tabs>
          <w:tab w:leader="none" w:pos="766" w:val="left"/>
        </w:tabs>
        <w:numPr>
          <w:ilvl w:val="0"/>
          <w:numId w:val="10"/>
        </w:numPr>
        <w:rPr>
          <w:rFonts w:ascii="Arial" w:cs="Arial" w:eastAsia="Arial" w:hAnsi="Arial"/>
          <w:sz w:val="18"/>
          <w:szCs w:val="18"/>
          <w:color w:val="auto"/>
        </w:rPr>
      </w:pPr>
      <w:r>
        <w:rPr>
          <w:rFonts w:ascii="Arial" w:cs="Arial" w:eastAsia="Arial" w:hAnsi="Arial"/>
          <w:sz w:val="18"/>
          <w:szCs w:val="18"/>
          <w:color w:val="auto"/>
        </w:rPr>
        <w:t>At present, we have not encountered any problems in procurement of core components. The procurement cycle of some conventional parts (such as plastic pipes) is prolonged, and we are looking for a second and third alternative suppliers. In addition, we have prepared to look for other parts suppliers, including South Korea parts suppliers. We are also exploring domestic suppliers, and will develop some alternative plans in response to long-term uncertainties in future. We will cooperate with suppliers both at home and abroad.</w:t>
      </w:r>
    </w:p>
    <w:p>
      <w:pPr>
        <w:spacing w:after="0" w:line="186" w:lineRule="exact"/>
        <w:rPr>
          <w:rFonts w:ascii="Arial" w:cs="Arial" w:eastAsia="Arial" w:hAnsi="Arial"/>
          <w:sz w:val="18"/>
          <w:szCs w:val="18"/>
          <w:color w:val="auto"/>
        </w:rPr>
      </w:pPr>
    </w:p>
    <w:p>
      <w:pPr>
        <w:ind w:left="140" w:right="20" w:firstLine="365"/>
        <w:spacing w:after="0" w:line="261" w:lineRule="auto"/>
        <w:tabs>
          <w:tab w:leader="none" w:pos="782" w:val="left"/>
        </w:tabs>
        <w:numPr>
          <w:ilvl w:val="1"/>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main reason for a dramatic decrease in gross profit of advanced packaging wet equipment in 2021? How about 2022?</w:t>
      </w:r>
    </w:p>
    <w:p>
      <w:pPr>
        <w:jc w:val="both"/>
        <w:ind w:left="140" w:right="20" w:firstLine="363"/>
        <w:spacing w:after="0" w:line="255" w:lineRule="auto"/>
        <w:tabs>
          <w:tab w:leader="none" w:pos="736"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main reason is the market competition. This year, the Company targets its comprehensive gross profit margin of 40%-45% by taking such measures as improving design, increasing the percentage of domestic parts, optimizing material costs and reducing department costs.</w:t>
      </w:r>
    </w:p>
    <w:p>
      <w:pPr>
        <w:spacing w:after="0" w:line="185" w:lineRule="exact"/>
        <w:rPr>
          <w:rFonts w:ascii="Arial" w:cs="Arial" w:eastAsia="Arial" w:hAnsi="Arial"/>
          <w:sz w:val="18"/>
          <w:szCs w:val="18"/>
          <w:color w:val="auto"/>
        </w:rPr>
      </w:pPr>
    </w:p>
    <w:p>
      <w:pPr>
        <w:ind w:left="140" w:right="20" w:firstLine="365"/>
        <w:spacing w:after="0" w:line="261" w:lineRule="auto"/>
        <w:tabs>
          <w:tab w:leader="none" w:pos="826" w:val="left"/>
        </w:tabs>
        <w:numPr>
          <w:ilvl w:val="1"/>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Some operating cash flows were negative in the Q4 of 2021. How does that reflect changes in inventories and procurement of supply chains in the Q4?</w:t>
      </w:r>
    </w:p>
    <w:p>
      <w:pPr>
        <w:ind w:left="140" w:right="20" w:firstLine="363"/>
        <w:spacing w:after="0" w:line="260" w:lineRule="auto"/>
        <w:tabs>
          <w:tab w:leader="none" w:pos="73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reason is that a large amount of capital is used to purchase raw materials. We have prepared raw materials based on planned sales volume for 2022.</w:t>
      </w:r>
    </w:p>
    <w:p>
      <w:pPr>
        <w:spacing w:after="0" w:line="181" w:lineRule="exact"/>
        <w:rPr>
          <w:rFonts w:ascii="Arial" w:cs="Arial" w:eastAsia="Arial" w:hAnsi="Arial"/>
          <w:sz w:val="18"/>
          <w:szCs w:val="18"/>
          <w:color w:val="auto"/>
        </w:rPr>
      </w:pPr>
    </w:p>
    <w:p>
      <w:pPr>
        <w:ind w:left="780" w:hanging="275"/>
        <w:spacing w:after="0"/>
        <w:tabs>
          <w:tab w:leader="none" w:pos="780" w:val="left"/>
        </w:tabs>
        <w:numPr>
          <w:ilvl w:val="1"/>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Is there any business connection between ACMSH of China and ACMR of the U.S.?</w:t>
      </w:r>
    </w:p>
    <w:p>
      <w:pPr>
        <w:spacing w:after="0" w:line="27" w:lineRule="exact"/>
        <w:rPr>
          <w:sz w:val="20"/>
          <w:szCs w:val="20"/>
          <w:color w:val="auto"/>
        </w:rPr>
      </w:pPr>
    </w:p>
    <w:p>
      <w:pPr>
        <w:jc w:val="both"/>
        <w:ind w:left="140" w:right="20" w:firstLine="363"/>
        <w:spacing w:after="0" w:line="255" w:lineRule="auto"/>
        <w:tabs>
          <w:tab w:leader="none" w:pos="74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ACMR is the controlling shareholder of ACMSH and holds 82.5% of shares in ACMSH. The Company’s business is mainly conducted by ACMSH. ACMR is working to communicate with the accounting firm complying with the requirements of the SEC. This event will not have a direct impact on day-to-day operation of ACMSH.</w:t>
      </w:r>
    </w:p>
    <w:p>
      <w:pPr>
        <w:spacing w:after="0" w:line="185" w:lineRule="exact"/>
        <w:rPr>
          <w:rFonts w:ascii="Arial" w:cs="Arial" w:eastAsia="Arial" w:hAnsi="Arial"/>
          <w:sz w:val="18"/>
          <w:szCs w:val="18"/>
          <w:color w:val="auto"/>
        </w:rPr>
      </w:pPr>
    </w:p>
    <w:p>
      <w:pPr>
        <w:ind w:left="140" w:firstLine="365"/>
        <w:spacing w:after="0" w:line="276" w:lineRule="auto"/>
        <w:tabs>
          <w:tab w:leader="none" w:pos="783" w:val="left"/>
        </w:tabs>
        <w:numPr>
          <w:ilvl w:val="1"/>
          <w:numId w:val="13"/>
        </w:numPr>
        <w:rPr>
          <w:rFonts w:ascii="Arial" w:cs="Arial" w:eastAsia="Arial" w:hAnsi="Arial"/>
          <w:sz w:val="17"/>
          <w:szCs w:val="17"/>
          <w:b w:val="1"/>
          <w:bCs w:val="1"/>
          <w:color w:val="auto"/>
        </w:rPr>
      </w:pPr>
      <w:r>
        <w:rPr>
          <w:rFonts w:ascii="Arial" w:cs="Arial" w:eastAsia="Arial" w:hAnsi="Arial"/>
          <w:sz w:val="17"/>
          <w:szCs w:val="17"/>
          <w:b w:val="1"/>
          <w:bCs w:val="1"/>
          <w:color w:val="auto"/>
        </w:rPr>
        <w:t>The operation entity and important materials of ACMSH are based in China. If the auditor of ACMR is changed to an accounting firm in the U.S., will Chinese regulatory authorities prohibit transmitting information to the U.S.?</w:t>
      </w:r>
    </w:p>
    <w:p>
      <w:pPr>
        <w:ind w:left="140" w:right="20" w:firstLine="363"/>
        <w:spacing w:after="0" w:line="323" w:lineRule="auto"/>
        <w:tabs>
          <w:tab w:leader="none" w:pos="732" w:val="left"/>
        </w:tabs>
        <w:numPr>
          <w:ilvl w:val="0"/>
          <w:numId w:val="14"/>
        </w:numPr>
        <w:rPr>
          <w:rFonts w:ascii="Arial" w:cs="Arial" w:eastAsia="Arial" w:hAnsi="Arial"/>
          <w:sz w:val="16"/>
          <w:szCs w:val="16"/>
          <w:color w:val="auto"/>
        </w:rPr>
      </w:pPr>
      <w:r>
        <w:rPr>
          <w:rFonts w:ascii="Arial" w:cs="Arial" w:eastAsia="Arial" w:hAnsi="Arial"/>
          <w:sz w:val="16"/>
          <w:szCs w:val="16"/>
          <w:color w:val="auto"/>
        </w:rPr>
        <w:t>Among the examples in the market, there are precedents that the accounting firm engaged by the U.S. parent company audits its subsidiary in China. ACMSH engages in semiconductor equipment industry, with its data open and transparent to the world.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251460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715" w:right="359" w:bottom="1440" w:gutter="0" w:footer="0" w:header="0"/>
        </w:sectPr>
      </w:pPr>
    </w:p>
    <w:bookmarkStart w:id="7" w:name="page8"/>
    <w:bookmarkEnd w:id="7"/>
    <w:p>
      <w:pPr>
        <w:jc w:val="both"/>
        <w:ind w:left="140" w:right="20" w:firstLine="365"/>
        <w:spacing w:after="0" w:line="270" w:lineRule="auto"/>
        <w:tabs>
          <w:tab w:leader="none" w:pos="772" w:val="left"/>
        </w:tabs>
        <w:numPr>
          <w:ilvl w:val="1"/>
          <w:numId w:val="15"/>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12598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259840"/>
                    </a:xfrm>
                    <a:prstGeom prst="rect">
                      <a:avLst/>
                    </a:prstGeom>
                    <a:noFill/>
                  </pic:spPr>
                </pic:pic>
              </a:graphicData>
            </a:graphic>
          </wp:anchor>
        </w:drawing>
        <w:t>The regulatory authorities have indicated that they would strengthen communication last night. Has the Company sought to communicate with Chinese regulatory authorities to allow the American accounting firm to audit the Company in China? The controlling shareholder is listed on the U.S. stock market, while ACMSH is listed on the STAR Market. How will this listing structure affect the localization process in the context of production expansion of the domestic wafer plant?</w:t>
      </w:r>
    </w:p>
    <w:p>
      <w:pPr>
        <w:spacing w:after="0" w:line="2" w:lineRule="exact"/>
        <w:rPr>
          <w:rFonts w:ascii="Arial" w:cs="Arial" w:eastAsia="Arial" w:hAnsi="Arial"/>
          <w:sz w:val="17"/>
          <w:szCs w:val="17"/>
          <w:b w:val="1"/>
          <w:bCs w:val="1"/>
          <w:color w:val="auto"/>
        </w:rPr>
      </w:pPr>
    </w:p>
    <w:p>
      <w:pPr>
        <w:jc w:val="both"/>
        <w:ind w:left="140" w:firstLine="363"/>
        <w:spacing w:after="0" w:line="253" w:lineRule="auto"/>
        <w:tabs>
          <w:tab w:leader="none" w:pos="7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 and the controlling shareholder will actively communicate with each other and cooperate with the CSRC and the SEC. The semiconductor equipment industry is a global industry, so its supply chains, customers and markets are all globalized. This listing structure not only enables the Company’s products to serve the domestic market, but also launches domestic excellent technology and equipment to the world and promotes global communication.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285750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715"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Encl.: List of Participants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Anbang Asset</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Abrdn Private Fund Management</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Allianz Securities Investment Trust Co., Ltd.</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Essence Fund</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Essence Securities Asset Management Co., Ltd.</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Centennial Insurance Asset Management Co., Ltd.</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Baiyi Capital</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Baoying Fund Management Co., Ltd.</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Pinpoint Asset Management Limited</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Power Saijia Investment</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Power Pacific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CQ Capital Management Co., Ltd.</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Beijing Win Integrity Investment Management Co., Ltd.</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Beijing Eastern Smart Rock Asset Management Co., Ltd.</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Beijing HZPH Private Equity Fund Investment Management Co., Ltd.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Beijing Hengchang Hongde Asset Management Co., Ltd.</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Beijing Hongcheng Capital Co., Ltd.</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Beijing Suncapital Co., Ltd.</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Beijing JY Capital Management Co., Ltd.</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Beijing Jingxing Asset Management Co., Ltd.</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Kendall Square Capital</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Beijing Life Insurance Co., Ltd.</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Beijing Stony Creek Capital Investment Co., Ltd.</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Beijing Starock Investment Management Co., Ltd.</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Beijing Faithful Value Investment Management Co., Ltd.</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Beijing Yanhang Investment Management Co., Ltd.</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Beijing Yinghui Asset Management Co., Ltd.</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Beijing Zhongcai Longma Capital Investment Co., Ltd.</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BXRF</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BlackRock Fund</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BlackRock Asset</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BlackRock Asset Management North Asia Limited</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APS (Shanghai) Asset Management Co., Ltd.</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Green Court Capital</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BODAO FUND</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Bodu Investment</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Bosera Fund Management Co., Ltd.</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Powerway Investment</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Boyi Investment</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Boyuan Fund</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Bohai Huijin Securities Asset Management Co., Ltd.</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Bohai Life Insurance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Caitong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88" w:right="1440"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Caitong Securities Asset Management Co.,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Ivy Capital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Dawn Petrel Asset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Chengsheng Investment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Chengtong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Clarity Mind Investment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Chuangjin Hexin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Purekind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Dacheng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Dajia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Springs Capital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Topsperity Securities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 E. Shaw Investment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First Capital Securities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Northeast Securities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Oriental Alpha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Eastmoney Securities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Orient Securities Company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 Orient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Dongguan Rongguo Investment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Donghai Funds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Donghai Securities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Soochow Asset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Soochow Securities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Dongxing Securities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Dongxing Securities (Hong Kong) Asset Management Company Limited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East Asia Qianhai Securities Company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Northeast Securities Asset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DH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Fang Ying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Fangyuan Investment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Founder Fubon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Founder Securities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Fengyan Investment Management (Zhejiang Free Trade Zone) Co., Ltd.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FENGJING FUND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Fujian Haoshan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Fuanda Fund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Fullgoal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Gao Yi Asset Management Partnership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Gopher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Green Fund Management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ICBC Wealth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ICBC Credit Suisse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ICBC Asia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280035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19"/>
          </w:cols>
          <w:pgMar w:left="440" w:top="692" w:right="1440"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320675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t>Granford (Beijing) Capital Management Co.,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Granford Capital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Everbright Pramerica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Everbright Trust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Life Everbright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Everbright Securities Company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Everbright Asset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Everbright Securities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Guangdong Fortune Sender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Guangdong Haihui Huasheng Securities Investment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Guangdong Cherami Sunon Securities Investment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Guangdong Spruce Evergreen Fund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GF FUNG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GF Securities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CGB Wealth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Guangzhou Jinyu Investment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Guofang Capital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Sealand Securities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Sinolink Securities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Guojun Asset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 Development Bank Securities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CPIC FUND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Guolian Securities Asset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 Life AMP Asset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 Life Pension Company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 Life Asset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 Life Asset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Guotai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Guotai Junan Securities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Guotai Junan Securities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UBS SDIC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Guosen H&amp;S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Guosen Securities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Guosen Securities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Guosen Securities (HK)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Guoyuan Securities Company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Cathay Securities Investment Trust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HFT Fund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Hainan Omnilux Private Equity Fund Management Center (Limited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Hainan Times Win Win Private Fund Management Partnership (Limited Partnership</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Hainan Tuopu Private Equity Fund Management Co., Ltd. - Tuopu Haiyue Growth Private Equity Securities Investment Master Fund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Hainan Zexing Private Equity Fund Management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280035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19"/>
          </w:cols>
          <w:pgMar w:left="440" w:top="692" w:right="1440"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320675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t>Haitong Institutional and International Business Department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Haitong Research Institute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Haitong Securities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Haitong Securities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Hanhe Capital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ZEAL ASSET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Hangzhou Honghua Investment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Hangzhou Huichuang Investment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Hangzhou Jingyou Investment Management Partnership (Limited Partnership)</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Hangzhou Kaisheng Investment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Hangzhou Kaiyan Investment Management Company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Hangzhou Wenyu Investment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TRIVEST ADVISORS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Hexu Zhiyuan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Union Asset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Hezhi Asset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Hengsheng Qianhai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Focusbridge Investments Limited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Hengsheng Asset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HGNH International Securities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Hongshang Asset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Hony Capital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Hongta Securities Asset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Hongde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Hongsheng Asset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SunCapital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Hua’an Financial Insurance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Sinosafe Assets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Hwabao WP Fund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HWABAO TRUST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Fortune Sg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Guizhou Huachuang Securities Broker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Huafu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Huarong Securities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Huarun Shenguotou Trust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 Resources Yuanda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Huashan Capital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 Merchants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Huatai-Pinebridge Fund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Huatai International Private Equity Fund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Huatai Securities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Huatai Securities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 Wealth Management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280035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19"/>
          </w:cols>
          <w:pgMar w:left="440" w:top="692" w:right="1440"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320675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China Asset Management Co.,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China Everwin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Huaxia Wealth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 Future Capital Group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HSBC Jintrust Fund Management Company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Amundi BOC Wealth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Huijin Asset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 Universal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China Universal Asset Management (Hong Kong) Company Limited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Huisheng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Jihua Investment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Bauer, 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JYAN ASSET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Harvest Wealth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Harvest Fund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Jiaxin Asset Management (Shanghai)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Construction Investment Asset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CCB Life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CCB Fund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 Construction Bank Life Insurance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Jiangmen Changying Investment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Jiangsu Winfast Investment Holding Group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Jiangxi Bide Mingqi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BOCOM Wealth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Bank of Communications Schroder Fund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Golden Eagle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Jinxinyuan (Shanghai) Investment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JINGAN ASSET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Greenwoods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Invesco Great Wall Fund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JD CAPITAL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Nine Thai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Jiupeng Investment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Julu Investment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 Asset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JM CAPITAL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KF Fund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Kaifuli Capital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 Stone Fund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Kaisibo Fund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LAKEFRONT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Smilestone Asset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LIZHEN CAPITAL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Ledger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280035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19"/>
          </w:cols>
          <w:pgMar w:left="440" w:top="692" w:right="1440"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320675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Liaoning Huabang Investment Co.,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Linghui Strategic Investment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Lingren Asset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EVERLEAD CAPITAL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Neuberger Berman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Minsheng Royal Fund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Minsheng Tonghui Asset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 Minsheng Trust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Mingyu Asset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River Fund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Mingshi Partner Fund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Huaxin Funds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Southern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Nanhua Fund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Nanjing Securities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Bank of Nanjing Financial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Ningbo Huanfang Quantitative Investment Management Partnership (Limited Partnership)-SH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ABC-CA Fund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ABC Life Insurance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Lion Fund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Panjing Investment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 CAPITAL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Penghua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PingAn Dahua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PINGAN FUND</w:t>
      </w:r>
    </w:p>
    <w:p>
      <w:pPr>
        <w:spacing w:after="0" w:line="9" w:lineRule="exact"/>
        <w:rPr>
          <w:sz w:val="20"/>
          <w:szCs w:val="20"/>
          <w:color w:val="auto"/>
        </w:rPr>
      </w:pPr>
    </w:p>
    <w:p>
      <w:pPr>
        <w:ind w:right="1599"/>
        <w:spacing w:after="0" w:line="250" w:lineRule="auto"/>
        <w:rPr>
          <w:sz w:val="20"/>
          <w:szCs w:val="20"/>
          <w:color w:val="auto"/>
        </w:rPr>
      </w:pPr>
      <w:r>
        <w:rPr>
          <w:rFonts w:ascii="Arial" w:cs="Arial" w:eastAsia="Arial" w:hAnsi="Arial"/>
          <w:sz w:val="18"/>
          <w:szCs w:val="18"/>
          <w:color w:val="auto"/>
        </w:rPr>
        <w:t>Industry Research Center of Electronic Information and Intelligent Manufacturing Finance Division of PingAn Bank PingAn Securities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Ping’an Innovation Capital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Pingan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XA SPDB Investment Managers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CloudAlpha Capital Management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Qianhe Capital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Qianhai Chengshi Capital for Lianfeng Private Equity Fund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First Seafront Fund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Qianhai Alliance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Qianhai Life Insurance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Qingdao Xingyuan Investment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Qingdao AVIC Saiwei Investment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Qingfund Asset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Chaser Asset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Qunyi Securities Investment Trust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 Life Pension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 Life Asset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280035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19"/>
          </w:cols>
          <w:pgMar w:left="440" w:top="692" w:right="1440"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320675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t>REN BRIDGE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Shanghai Richen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Rongtong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WINFASAT Investment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UBS Asset Management (China)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Rising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Royal Investment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Ruiyi Investment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Foresight Fund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CDH Investments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Cephei Capital Management (Hong Kong)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Runze Capital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Sumitomo Mitsui DS Asset Management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Shanhe Investment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Shanxi Securities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Baihang Investment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Baoyin Investment Consulting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Zen Dragon Capital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Zen Dragon Capital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Chensheng Assets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CRASSETS Investment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Cheng’an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Fangyu Investment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Perseverance Asset Management (Limited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Gongpin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International Trust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Hantan Capital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HeXi Youfang Investing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Trend Capital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Chaos Investment Group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Jinen Investment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Genius Investment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Greenwoods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Jingling Investment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Jiuyin Investment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Jiupeng Asset Management Center (Limited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Military Civil Integration Industry Equity Investment Fund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Shanghai KS Equity Investment Fund Management Co., Ltd. - KSZG Private Securities Investment Fund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Shanghai Liuren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Mingyu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Ningquan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Panjing Investment Management Center (Limited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Panyao Asset Management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280035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19"/>
          </w:cols>
          <w:pgMar w:left="440" w:top="692" w:right="1440"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320675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t>Shanghai Pudong Development Bank Co., Ltd.</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Shanghai Qinmu Asset Management Partnership (Limited Partnership)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Shanghai Autumn Light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Quanxi Investment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Senjin Investment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SWS Research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SWS RESEARCH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Sharewin Equity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Megatrust Investment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T.Y.D. Investment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Shanghai Tongben Investment Management Center (Limited Partnership)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Shanghai Sunsource Investment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Shanghai Tongxiao Investment Development Center (Limited Partnership)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Shanghai Wosheng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Xitai Investment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Shanghai Xianrenzhang Asset Management Partnership (Limited Partnership)</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Shanghai Xinke Investment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Yanniu Investment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YiDe Assets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Yi Zheng Lang Investment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Yijinghui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Silver Leaf Investment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Yude Capital Management Center (Limited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Zhaowan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Zhihe Investment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China Capital Investment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Zige Investment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 International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BOSC ASSET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Shenwan Hongyuan Securities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Shenwan Hongyuan Asset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Shenzhen Dahao Holding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Rising Jinbo Investment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KingTower Asset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Eternale Assets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Shenzhen Qianhai Guhe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ShenZhen QianHai WuYou Equity Investment Fund Management Co., Ltd.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Shenzhen Qianhai Yunxi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Shenzhen Qingshuiyuan Investment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Shenzhen Red Pomegranate Investment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Shenzhen Jinyou Chuangzhi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Shenzhen JM Capital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Shenzhen Kaifeng Investment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LEADINGHORSE CAPITAL MANAGEMENT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280035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19"/>
          </w:cols>
          <w:pgMar w:left="440" w:top="692" w:right="1440"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320675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t>Shenzhen Mingda Capital Management Co.,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Pingrock Assets Management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Shenzhen Qianhai Dengcheng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Shenzhen Shangcheng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Shenzhen Taishi Investment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Shenzhen Weide Investment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Batach-Sophia Partners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Shenzhen Wangzheng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Shenzhen Wukong Investment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Shenzhen Yuanwang Asset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Shenzhen Zhaotu Investment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Shenzhen Zhengfeng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Shen Zhi Asset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Sino Life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Sensegain Asset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Shibei Investment Management (Beijing)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Mega Trust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Investment Department of Century Securities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Private Equity Gongchang Siyuan No. 1 Securities Investment Fund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Suzhou Longyuan Investment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 Pacific Asset Insurance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Tiapin Fund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CIPC Asset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 Pacific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Taiping Pension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Taiping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Manualife Teda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Taikang Pension Insurance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Taikang Asset Management (Hong Kong)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Taikang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Taixin Fund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Tanyi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Tiancheng Holding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Tianchong Capital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TIANFENG SECURITIES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Tianhong Innovation Assets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Tianhui Investment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 Nature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Tongben Investment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Tongjiao Investment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Wanjia Asset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Wangye Enterprise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Upright Asset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Wellington Investment Management International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280035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19"/>
          </w:cols>
          <w:pgMar w:left="440" w:top="692" w:right="1440"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320675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t>Western Leadbank Fund Management Company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Western Securities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Tibet Dongcai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Tibet Trust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Tibet Yuancheng Investment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Xitai Investment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Xiniu Investment Management (Beijing)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 Capital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HSBC Global Asset Management (Hong Kong)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Core Pacific - Yamaichi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Xiaohaitun Investment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SUNON Investment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China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China Asset Management (Hong Kong)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China Asset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Power Capital Investment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Xinyuan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Xincheng Fund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Xinda Aoyin Fund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Xinda Securities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Cornerstone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Xinghe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Industrial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Industrial Bank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Industrial Bank Co., Ltd. Wealth Management Subsidiary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Industrial Securities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CIB Wealth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Xingyin Capital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Industrial Securities International (Asset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Industrial Securities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Symbol Investment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Xunchang Investment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Fine Jade Capital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Asia-Pacific Property &amp; Casualty Insurance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Sunlight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Nomura Overseas Investment Fund Management (Shanghai) Co., Ltd.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Nomura Asset Investment Shanghai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 Fund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Yi Zheng Lang Investment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Yimin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Galaxy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Yinhua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Ginkgo Clobal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Yingda Insurance Asset Management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280035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19"/>
          </w:cols>
          <w:pgMar w:left="440" w:top="692" w:right="1440"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320675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Yingda Securities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Yingda Assets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Infore Capital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Yongan Guofu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Maxwealth Fund Management Company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Yougu Asset Management (Shenzhen)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Yourong Asset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AIA Asset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Yujin Investment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Yude Capital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Yuanhao investment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Point Asset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Yongfeng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Yuancheng Investment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Longrising Asset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Greatwall Fund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Greatwall Life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Changjian Investment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Changjiang Machinery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Changjiang Pension Insurance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Changjiang Securities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Changjiang Securities (Shanghai) Asset Management Co., Ltd.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Changsheng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Changxin Fund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 Merchants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 Merchants Securities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 Merchants Bank Wealth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Zhejiang Jiuzhang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Zhejiang Kaidu Investment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Zhejiang Yingrui Investment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Zhejiang Zheshang Securities Asset Management Co., Ltd.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Zhejiang Zhognwei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Zheshang Fund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Securities Investment Department of Zheshang Securities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Loyal Valley Capital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Zhengyi Asset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Trustbridge Capital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Zhicheng Haiwei Private Equity Fund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Zhongdianke Investment Holding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 International Capital Corporation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 Minsheng Bank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 Life Pension Company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 Life Asset Management Company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Bank of 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280035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19"/>
          </w:cols>
          <w:pgMar w:left="440" w:top="692" w:right="1440"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320675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t>Zhonghai Fund Management Co.,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AVIC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AVIC Securities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 Unified Insurance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Zhonghuan Investment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Bank of Beijing Scotiabank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 Kewo Soil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Zhong Ou Fund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Zhongrong Fund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Zhongrong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Zhognrong Trust - Rosefinch 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ZHONGTAI SECURITIES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Zhongtai Asset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Zhongtian Securities Co., Ltd.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China Fortune-Tech Equity Investment Management (Shanghai) Co., Ltd.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CITIC-PRUDENTIAL Fund Management Company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CITICPE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 Securities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CITIC Futures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CITIC Securities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GENERALI CHINA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BOC International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BOC International Asset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Bank of China Investment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BOC Samsung Life Insurance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 Post and Capital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 Post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 Re Asset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 Re Asset (Hong Kong)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 Bond Insurance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Chongqing Trust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Chongyang Investment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Chongyang Investment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Rosefinch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APS ASSET MANAGEMENT PTE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Balance Investment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BRILLIANCE - BRILLIANT PARTNERS FUND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CITIC SECURITIES COMPANY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Coreview Capital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CSOP Asset Management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Discovering Investment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EARNEST Partners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Elephas Investment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EverestGrowth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280035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19"/>
          </w:cols>
          <w:pgMar w:left="440" w:top="692" w:right="1440"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320675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t>Green Court Capital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GreenCourtCapital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GREENWOODS ASSET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JK Capital Management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JpMorgan Asset Management (China)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LyGH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MatthewsAisia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Neuberger Berman Singapore Pte.Limited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Nomura Securities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Oxbow Capital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PinPoint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Power Corporation of 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Power Pacific Coporation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Prime capital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Prudence Investment Management (HK)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Schroders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Strategic Vision Investment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Sumitomo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SVI Private Fund</w:t>
      </w:r>
    </w:p>
    <w:p>
      <w:pPr>
        <w:spacing w:after="0" w:line="9" w:lineRule="exact"/>
        <w:rPr>
          <w:sz w:val="20"/>
          <w:szCs w:val="20"/>
          <w:color w:val="auto"/>
        </w:rPr>
      </w:pPr>
    </w:p>
    <w:p>
      <w:pPr>
        <w:ind w:right="4299"/>
        <w:spacing w:after="0" w:line="250" w:lineRule="auto"/>
        <w:rPr>
          <w:sz w:val="20"/>
          <w:szCs w:val="20"/>
          <w:color w:val="auto"/>
        </w:rPr>
      </w:pPr>
      <w:r>
        <w:rPr>
          <w:rFonts w:ascii="Arial" w:cs="Arial" w:eastAsia="Arial" w:hAnsi="Arial"/>
          <w:sz w:val="18"/>
          <w:szCs w:val="18"/>
          <w:color w:val="auto"/>
        </w:rPr>
        <w:t>TAIKANG ASSET MANAGEMENT (HONG KONG) COMPANY LIMITED Tiger Pacific Capital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TIGER PACIFIC CAPITAL,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UBS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Yuanhao Greater China Fund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ZY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280035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19"/>
          </w:cols>
          <w:pgMar w:left="440" w:top="692" w:right="1440" w:bottom="1440" w:gutter="0" w:footer="0" w:header="0"/>
        </w:sectPr>
      </w:pPr>
    </w:p>
    <w:bookmarkStart w:id="21" w:name="page22"/>
    <w:bookmarkEnd w:id="21"/>
    <w:p>
      <w:pPr>
        <w:ind w:left="5000"/>
        <w:spacing w:after="0"/>
        <w:tabs>
          <w:tab w:leader="none" w:pos="5600" w:val="left"/>
          <w:tab w:leader="none" w:pos="61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320675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The following information is provided in connection with the furnishing of the above Record of March 2022 Investor Relation Activity of ACM Research (Shanghai), Inc. (the “Record”) pursuant to the Current Report on Form 8-K reporting requirements of ACM Research, Inc.:</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Information presented in the Record includes forward-looking statements for purposes of the safe harbor provisions of the Private Securities Litigation Reform Act of 1995. All statements contained in the Record that do not relate to matters of historical fact should be considered forward-looking statements. Forward-looking statements are based on ACMSH management’s current expectations and beliefs, and involve a number of risks and uncertainties that are difficult to predict and that could cause actual results to differ materially from those stated or implied by the forward-looking statements. Those risks and uncertainties include, but are not limited to, the following, any of which could be exacerbated even further by the continuing COVID-19 outbreak in China and globally: anticipated customer orders or identified market opportunities may not grow or develop as anticipated; customer orders already received may be postponed or canceled; ACMSH may be unable to obtain the qualification and acceptance of its delivered tools when anticipated or at all, which would delay or preclude ACMSH’s recognition of revenue from the sale of those tools; suppliers may not be able to meet ACMSH’s demands on a timely basis; ACMSH’s technologies and tools may not gain market acceptance; ACMSH may be unable to compete effectively by, among other things, enhancing its existing tools, adding additional production capacity and engaging additional major customers; ACMSH may incur significant expenses long before it can recognize revenue from new products, if at all, due to the costs and length of research, development, manufacturing and customer evaluation process cycles; volatile global economic, market, industry and other conditions could result in sharply lower demand for products containing semiconductors and for ACMSH’s products and in disruption of capital and credit markets; ACMS’s failure to successfully manage its operations, including its inability to hire, train, integrate and manage additional qualified engineers for research and development activities; and trade regulations, currency fluctuations, political instability and war may materially adversely affect ACMSH due to its substantial non-U.S. customer and supplier base and its substantial non-U.S. manufacturing operations. Because forward-looking statements involve risks and uncertainties, actual results and events may differ materially from results and events currently expected by ACMSH. ACMSH undertakes no obligation to publicly update these forward-looking statements to reflect events or circumstances that occur after the date hereof or to reflect any change in its expectations with regard to these forward-looking statements or the occurrence of unanticipated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71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lvl w:ilvl="1">
      <w:lvlJc w:val="left"/>
      <w:lvlText w:val="%2"/>
      <w:numFmt w:val="decimal"/>
      <w:start w:val="104"/>
    </w:lvl>
  </w:abstractNum>
  <w:abstractNum w:abstractNumId="2">
    <w:nsid w:val="12200854"/>
    <w:multiLevelType w:val="hybridMultilevel"/>
    <w:lvl w:ilvl="0">
      <w:lvlJc w:val="left"/>
      <w:lvlText w:val="%1."/>
      <w:numFmt w:val="decimal"/>
      <w:start w:val="2"/>
    </w:lvl>
  </w:abstractNum>
  <w:abstractNum w:abstractNumId="3">
    <w:nsid w:val="4DB127F8"/>
    <w:multiLevelType w:val="hybridMultilevel"/>
    <w:lvl w:ilvl="0">
      <w:lvlJc w:val="left"/>
      <w:lvlText w:val="%1:"/>
      <w:numFmt w:val="upperLetter"/>
      <w:start w:val="1"/>
    </w:lvl>
  </w:abstractNum>
  <w:abstractNum w:abstractNumId="4">
    <w:nsid w:val="216231B"/>
    <w:multiLevelType w:val="hybridMultilevel"/>
    <w:lvl w:ilvl="0">
      <w:lvlJc w:val="left"/>
      <w:lvlText w:val="%1:"/>
      <w:numFmt w:val="upperLetter"/>
      <w:start w:val="1"/>
    </w:lvl>
  </w:abstractNum>
  <w:abstractNum w:abstractNumId="5">
    <w:nsid w:val="1F16E9E8"/>
    <w:multiLevelType w:val="hybridMultilevel"/>
    <w:lvl w:ilvl="0">
      <w:lvlJc w:val="left"/>
      <w:lvlText w:val="%1."/>
      <w:numFmt w:val="decimal"/>
      <w:start w:val="6"/>
    </w:lvl>
  </w:abstractNum>
  <w:abstractNum w:abstractNumId="6">
    <w:nsid w:val="1190CDE7"/>
    <w:multiLevelType w:val="hybridMultilevel"/>
    <w:lvl w:ilvl="0">
      <w:lvlJc w:val="left"/>
      <w:lvlText w:val="%1:"/>
      <w:numFmt w:val="upperLetter"/>
      <w:start w:val="1"/>
    </w:lvl>
  </w:abstractNum>
  <w:abstractNum w:abstractNumId="7">
    <w:nsid w:val="66EF438D"/>
    <w:multiLevelType w:val="hybridMultilevel"/>
    <w:lvl w:ilvl="0">
      <w:lvlJc w:val="left"/>
      <w:lvlText w:val="%1."/>
      <w:numFmt w:val="decimal"/>
      <w:start w:val="8"/>
    </w:lvl>
  </w:abstractNum>
  <w:abstractNum w:abstractNumId="8">
    <w:nsid w:val="140E0F76"/>
    <w:multiLevelType w:val="hybridMultilevel"/>
    <w:lvl w:ilvl="0">
      <w:lvlJc w:val="left"/>
      <w:lvlText w:val="%1"/>
      <w:numFmt w:val="upperLetter"/>
      <w:start w:val="1"/>
    </w:lvl>
    <w:lvl w:ilvl="1">
      <w:lvlJc w:val="left"/>
      <w:lvlText w:val="%2."/>
      <w:numFmt w:val="decimal"/>
      <w:start w:val="10"/>
    </w:lvl>
  </w:abstractNum>
  <w:abstractNum w:abstractNumId="9">
    <w:nsid w:val="3352255A"/>
    <w:multiLevelType w:val="hybridMultilevel"/>
    <w:lvl w:ilvl="0">
      <w:lvlJc w:val="left"/>
      <w:lvlText w:val="%1:"/>
      <w:numFmt w:val="upperLetter"/>
      <w:start w:val="1"/>
    </w:lvl>
    <w:lvl w:ilvl="1">
      <w:lvlJc w:val="left"/>
      <w:lvlText w:val="%2."/>
      <w:numFmt w:val="decimal"/>
      <w:start w:val="11"/>
    </w:lvl>
  </w:abstractNum>
  <w:abstractNum w:abstractNumId="10">
    <w:nsid w:val="109CF92E"/>
    <w:multiLevelType w:val="hybridMultilevel"/>
    <w:lvl w:ilvl="0">
      <w:lvlJc w:val="left"/>
      <w:lvlText w:val="%1:"/>
      <w:numFmt w:val="upperLetter"/>
      <w:start w:val="1"/>
    </w:lvl>
    <w:lvl w:ilvl="1">
      <w:lvlJc w:val="left"/>
      <w:lvlText w:val="%2."/>
      <w:numFmt w:val="decimal"/>
      <w:start w:val="12"/>
    </w:lvl>
  </w:abstractNum>
  <w:abstractNum w:abstractNumId="11">
    <w:nsid w:val="DED7263"/>
    <w:multiLevelType w:val="hybridMultilevel"/>
    <w:lvl w:ilvl="0">
      <w:lvlJc w:val="left"/>
      <w:lvlText w:val="%1:"/>
      <w:numFmt w:val="upperLetter"/>
      <w:start w:val="1"/>
    </w:lvl>
    <w:lvl w:ilvl="1">
      <w:lvlJc w:val="left"/>
      <w:lvlText w:val="%2."/>
      <w:numFmt w:val="decimal"/>
      <w:start w:val="13"/>
    </w:lvl>
  </w:abstractNum>
  <w:abstractNum w:abstractNumId="12">
    <w:nsid w:val="7FDCC233"/>
    <w:multiLevelType w:val="hybridMultilevel"/>
    <w:lvl w:ilvl="0">
      <w:lvlJc w:val="left"/>
      <w:lvlText w:val="%1:"/>
      <w:numFmt w:val="upperLetter"/>
      <w:start w:val="1"/>
    </w:lvl>
    <w:lvl w:ilvl="1">
      <w:lvlJc w:val="left"/>
      <w:lvlText w:val="%2."/>
      <w:numFmt w:val="decimal"/>
      <w:start w:val="14"/>
    </w:lvl>
  </w:abstractNum>
  <w:abstractNum w:abstractNumId="13">
    <w:nsid w:val="1BEFD79F"/>
    <w:multiLevelType w:val="hybridMultilevel"/>
    <w:lvl w:ilvl="0">
      <w:lvlJc w:val="left"/>
      <w:lvlText w:val="%1:"/>
      <w:numFmt w:val="upperLetter"/>
      <w:start w:val="1"/>
    </w:lvl>
    <w:lvl w:ilvl="1">
      <w:lvlJc w:val="left"/>
      <w:lvlText w:val="%2"/>
      <w:numFmt w:val="decimal"/>
      <w:start w:val="1"/>
    </w:lvl>
  </w:abstractNum>
  <w:abstractNum w:abstractNumId="14">
    <w:nsid w:val="41A7C4C9"/>
    <w:multiLevelType w:val="hybridMultilevel"/>
    <w:lvl w:ilvl="0">
      <w:lvlJc w:val="left"/>
      <w:lvlText w:val="%1"/>
      <w:numFmt w:val="upperLetter"/>
      <w:start w:val="1"/>
    </w:lvl>
    <w:lvl w:ilvl="1">
      <w:lvlJc w:val="left"/>
      <w:lvlText w:val="%2."/>
      <w:numFmt w:val="decimal"/>
      <w:start w:val="15"/>
    </w:lvl>
  </w:abstractNum>
  <w:abstractNum w:abstractNumId="15">
    <w:nsid w:val="6B68079A"/>
    <w:multiLevelType w:val="hybridMultilevel"/>
    <w:lvl w:ilvl="0">
      <w:lvlJc w:val="left"/>
      <w:lvlText w:val="%1:"/>
      <w:numFmt w:val="upperLetter"/>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2022-04-12T05:14:29Z</dcterms:created>
  <dcterms:modified xsi:type="dcterms:W3CDTF">2022-04-12T05:14:29Z</dcterms:modified>
</cp:coreProperties>
</file>