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20,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39"/>
        </w:trPr>
        <w:tc>
          <w:tcPr>
            <w:tcW w:w="552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20" w:type="dxa"/>
            <w:vAlign w:val="bottom"/>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ACMR</w:t>
            </w:r>
          </w:p>
        </w:tc>
        <w:tc>
          <w:tcPr>
            <w:tcW w:w="2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our operating subsidiary ACM Research (Shanghai), Inc. (“ACM Shanghai”) are listed on the Sci-Tech innovation board (the “STAR Market”) of the Shanghai Stock Exchange (the “SSE”). In accordance with the SSE’s rules governing the STAR Market, ACM Shanghai filed with the SSE a Record of March 2025 Investor Relations Activity (the “Record”). The SSE posted the Record to the SSE’s website on March 20, 2025. A copy of the Record is attached as Exhibit 99.1 hereto.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intended to be furnished and shall not be deemed “filed” for purposes of Section 18 of the Securities Exchange Act of 1934, as amended, or otherwise subject to the liabilities of that Section, nor shall it be deemed to be incorporated by reference into any filing of ACM Research, Inc. under the Securities Act of 1933, as amended.</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24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Record of March 2025 Investor Relations Activity filed by ACM Research (Shanghai), Inc. with the Shanghai Stock Exchange on March 20,</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ind w:right="4860" w:firstLine="298"/>
        <w:spacing w:after="0" w:line="578" w:lineRule="auto"/>
        <w:tabs>
          <w:tab w:leader="none" w:pos="1066"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XBRL document) * Unofficial English translation of original document prepared in Mandarin Chinese.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24, 2025</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3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Stock Code: 688082</w:t>
            </w:r>
          </w:p>
        </w:tc>
        <w:tc>
          <w:tcPr>
            <w:tcW w:w="3900" w:type="dxa"/>
            <w:vAlign w:val="bottom"/>
          </w:tcPr>
          <w:p>
            <w:pPr>
              <w:spacing w:after="0"/>
              <w:rPr>
                <w:sz w:val="20"/>
                <w:szCs w:val="20"/>
                <w:color w:val="auto"/>
              </w:rPr>
            </w:pPr>
          </w:p>
        </w:tc>
        <w:tc>
          <w:tcPr>
            <w:tcW w:w="404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Short Name: ACMSH</w:t>
            </w:r>
          </w:p>
        </w:tc>
      </w:tr>
      <w:tr>
        <w:trPr>
          <w:trHeight w:val="432"/>
        </w:trPr>
        <w:tc>
          <w:tcPr>
            <w:tcW w:w="3300" w:type="dxa"/>
            <w:vAlign w:val="bottom"/>
          </w:tcPr>
          <w:p>
            <w:pPr>
              <w:spacing w:after="0"/>
              <w:rPr>
                <w:sz w:val="24"/>
                <w:szCs w:val="24"/>
                <w:color w:val="auto"/>
              </w:rPr>
            </w:pPr>
          </w:p>
        </w:tc>
        <w:tc>
          <w:tcPr>
            <w:tcW w:w="39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ACM Research (Shanghai), Inc.</w:t>
            </w:r>
          </w:p>
        </w:tc>
        <w:tc>
          <w:tcPr>
            <w:tcW w:w="4040" w:type="dxa"/>
            <w:vAlign w:val="bottom"/>
          </w:tcPr>
          <w:p>
            <w:pPr>
              <w:spacing w:after="0"/>
              <w:rPr>
                <w:sz w:val="24"/>
                <w:szCs w:val="24"/>
                <w:color w:val="auto"/>
              </w:rPr>
            </w:pPr>
          </w:p>
        </w:tc>
      </w:tr>
      <w:tr>
        <w:trPr>
          <w:trHeight w:val="432"/>
        </w:trPr>
        <w:tc>
          <w:tcPr>
            <w:tcW w:w="3300" w:type="dxa"/>
            <w:vAlign w:val="bottom"/>
          </w:tcPr>
          <w:p>
            <w:pPr>
              <w:spacing w:after="0"/>
              <w:rPr>
                <w:sz w:val="24"/>
                <w:szCs w:val="24"/>
                <w:color w:val="auto"/>
              </w:rPr>
            </w:pPr>
          </w:p>
        </w:tc>
        <w:tc>
          <w:tcPr>
            <w:tcW w:w="39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Records of Investor Relation Activities</w:t>
            </w:r>
          </w:p>
        </w:tc>
        <w:tc>
          <w:tcPr>
            <w:tcW w:w="4040" w:type="dxa"/>
            <w:vAlign w:val="bottom"/>
          </w:tcPr>
          <w:p>
            <w:pPr>
              <w:spacing w:after="0"/>
              <w:rPr>
                <w:sz w:val="24"/>
                <w:szCs w:val="24"/>
                <w:color w:val="auto"/>
              </w:rPr>
            </w:pPr>
          </w:p>
        </w:tc>
      </w:tr>
      <w:tr>
        <w:trPr>
          <w:trHeight w:val="432"/>
        </w:trPr>
        <w:tc>
          <w:tcPr>
            <w:tcW w:w="3300" w:type="dxa"/>
            <w:vAlign w:val="bottom"/>
          </w:tcPr>
          <w:p>
            <w:pPr>
              <w:spacing w:after="0"/>
              <w:rPr>
                <w:sz w:val="24"/>
                <w:szCs w:val="24"/>
                <w:color w:val="auto"/>
              </w:rPr>
            </w:pPr>
          </w:p>
        </w:tc>
        <w:tc>
          <w:tcPr>
            <w:tcW w:w="39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No.: 2025-01</w:t>
            </w:r>
          </w:p>
        </w:tc>
        <w:tc>
          <w:tcPr>
            <w:tcW w:w="4040" w:type="dxa"/>
            <w:vAlign w:val="bottom"/>
          </w:tcPr>
          <w:p>
            <w:pPr>
              <w:spacing w:after="0"/>
              <w:rPr>
                <w:sz w:val="24"/>
                <w:szCs w:val="24"/>
                <w:color w:val="auto"/>
              </w:rPr>
            </w:pPr>
          </w:p>
        </w:tc>
      </w:tr>
      <w:tr>
        <w:trPr>
          <w:trHeight w:val="223"/>
        </w:trPr>
        <w:tc>
          <w:tcPr>
            <w:tcW w:w="330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spacing w:after="0"/>
              <w:rPr>
                <w:sz w:val="19"/>
                <w:szCs w:val="19"/>
                <w:color w:val="auto"/>
              </w:rPr>
            </w:pPr>
          </w:p>
        </w:tc>
      </w:tr>
      <w:tr>
        <w:trPr>
          <w:trHeight w:val="162"/>
        </w:trPr>
        <w:tc>
          <w:tcPr>
            <w:tcW w:w="330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8"/>
                <w:szCs w:val="18"/>
                <w:b w:val="1"/>
                <w:bCs w:val="1"/>
                <w:color w:val="auto"/>
              </w:rPr>
              <w:t>Categories of investor</w:t>
            </w:r>
          </w:p>
        </w:tc>
        <w:tc>
          <w:tcPr>
            <w:tcW w:w="3900" w:type="dxa"/>
            <w:vAlign w:val="bottom"/>
          </w:tcPr>
          <w:p>
            <w:pPr>
              <w:ind w:left="100"/>
              <w:spacing w:after="0" w:line="16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Targeted investor research</w:t>
            </w:r>
          </w:p>
        </w:tc>
        <w:tc>
          <w:tcPr>
            <w:tcW w:w="4040" w:type="dxa"/>
            <w:vAlign w:val="bottom"/>
            <w:tcBorders>
              <w:right w:val="single" w:sz="8" w:color="auto"/>
            </w:tcBorders>
          </w:tcPr>
          <w:p>
            <w:pPr>
              <w:ind w:left="120"/>
              <w:spacing w:after="0" w:line="16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Analyst meeting</w:t>
            </w:r>
          </w:p>
        </w:tc>
      </w:tr>
      <w:tr>
        <w:trPr>
          <w:trHeight w:val="216"/>
        </w:trPr>
        <w:tc>
          <w:tcPr>
            <w:tcW w:w="33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relation activities</w:t>
            </w:r>
          </w:p>
        </w:tc>
        <w:tc>
          <w:tcPr>
            <w:tcW w:w="390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Media interview</w:t>
            </w:r>
          </w:p>
        </w:tc>
        <w:tc>
          <w:tcPr>
            <w:tcW w:w="4040" w:type="dxa"/>
            <w:vAlign w:val="bottom"/>
            <w:tcBorders>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Results announcement</w:t>
            </w:r>
          </w:p>
        </w:tc>
      </w:tr>
      <w:tr>
        <w:trPr>
          <w:trHeight w:val="216"/>
        </w:trPr>
        <w:tc>
          <w:tcPr>
            <w:tcW w:w="3300" w:type="dxa"/>
            <w:vAlign w:val="bottom"/>
            <w:tcBorders>
              <w:left w:val="single" w:sz="8" w:color="auto"/>
              <w:right w:val="single" w:sz="8" w:color="auto"/>
            </w:tcBorders>
          </w:tcPr>
          <w:p>
            <w:pPr>
              <w:spacing w:after="0"/>
              <w:rPr>
                <w:sz w:val="18"/>
                <w:szCs w:val="18"/>
                <w:color w:val="auto"/>
              </w:rPr>
            </w:pPr>
          </w:p>
        </w:tc>
        <w:tc>
          <w:tcPr>
            <w:tcW w:w="390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Press conference</w:t>
            </w:r>
          </w:p>
        </w:tc>
        <w:tc>
          <w:tcPr>
            <w:tcW w:w="4040" w:type="dxa"/>
            <w:vAlign w:val="bottom"/>
            <w:tcBorders>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Roadshow</w:t>
            </w:r>
          </w:p>
        </w:tc>
      </w:tr>
      <w:tr>
        <w:trPr>
          <w:trHeight w:val="277"/>
        </w:trPr>
        <w:tc>
          <w:tcPr>
            <w:tcW w:w="3300" w:type="dxa"/>
            <w:vAlign w:val="bottom"/>
            <w:tcBorders>
              <w:left w:val="single" w:sz="8" w:color="auto"/>
              <w:bottom w:val="single" w:sz="8" w:color="auto"/>
              <w:right w:val="single" w:sz="8" w:color="auto"/>
            </w:tcBorders>
          </w:tcPr>
          <w:p>
            <w:pPr>
              <w:spacing w:after="0"/>
              <w:rPr>
                <w:sz w:val="24"/>
                <w:szCs w:val="24"/>
                <w:color w:val="auto"/>
              </w:rPr>
            </w:pPr>
          </w:p>
        </w:tc>
        <w:tc>
          <w:tcPr>
            <w:tcW w:w="3900" w:type="dxa"/>
            <w:vAlign w:val="bottom"/>
            <w:tcBorders>
              <w:bottom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On-site visit</w:t>
            </w:r>
          </w:p>
        </w:tc>
        <w:tc>
          <w:tcPr>
            <w:tcW w:w="4040" w:type="dxa"/>
            <w:vAlign w:val="bottom"/>
            <w:tcBorders>
              <w:bottom w:val="single" w:sz="8" w:color="auto"/>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Others</w:t>
            </w:r>
          </w:p>
        </w:tc>
      </w:tr>
      <w:tr>
        <w:trPr>
          <w:trHeight w:val="223"/>
        </w:trPr>
        <w:tc>
          <w:tcPr>
            <w:tcW w:w="33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18, 2025</w:t>
            </w:r>
          </w:p>
        </w:tc>
        <w:tc>
          <w:tcPr>
            <w:tcW w:w="4040" w:type="dxa"/>
            <w:vAlign w:val="bottom"/>
            <w:tcBorders>
              <w:bottom w:val="single" w:sz="8" w:color="auto"/>
              <w:right w:val="single" w:sz="8" w:color="auto"/>
            </w:tcBorders>
          </w:tcPr>
          <w:p>
            <w:pPr>
              <w:spacing w:after="0"/>
              <w:rPr>
                <w:sz w:val="19"/>
                <w:szCs w:val="19"/>
                <w:color w:val="auto"/>
              </w:rPr>
            </w:pPr>
          </w:p>
        </w:tc>
      </w:tr>
      <w:tr>
        <w:trPr>
          <w:trHeight w:val="223"/>
        </w:trPr>
        <w:tc>
          <w:tcPr>
            <w:tcW w:w="330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Venue</w:t>
            </w:r>
          </w:p>
        </w:tc>
        <w:tc>
          <w:tcPr>
            <w:tcW w:w="3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Conference call</w:t>
            </w:r>
          </w:p>
        </w:tc>
        <w:tc>
          <w:tcPr>
            <w:tcW w:w="4040" w:type="dxa"/>
            <w:vAlign w:val="bottom"/>
            <w:tcBorders>
              <w:bottom w:val="single" w:sz="8" w:color="auto"/>
              <w:right w:val="single" w:sz="8" w:color="auto"/>
            </w:tcBorders>
          </w:tcPr>
          <w:p>
            <w:pPr>
              <w:spacing w:after="0"/>
              <w:rPr>
                <w:sz w:val="19"/>
                <w:szCs w:val="19"/>
                <w:color w:val="auto"/>
              </w:rPr>
            </w:pPr>
          </w:p>
        </w:tc>
      </w:tr>
      <w:tr>
        <w:trPr>
          <w:trHeight w:val="194"/>
        </w:trPr>
        <w:tc>
          <w:tcPr>
            <w:tcW w:w="3300" w:type="dxa"/>
            <w:vAlign w:val="bottom"/>
            <w:tcBorders>
              <w:left w:val="single" w:sz="8" w:color="auto"/>
              <w:right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Representatives of the</w:t>
            </w:r>
          </w:p>
        </w:tc>
        <w:tc>
          <w:tcPr>
            <w:tcW w:w="390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Chairman: HUI WANG</w:t>
            </w:r>
          </w:p>
        </w:tc>
        <w:tc>
          <w:tcPr>
            <w:tcW w:w="4040" w:type="dxa"/>
            <w:vAlign w:val="bottom"/>
            <w:tcBorders>
              <w:right w:val="single" w:sz="8" w:color="auto"/>
            </w:tcBorders>
          </w:tcPr>
          <w:p>
            <w:pPr>
              <w:spacing w:after="0"/>
              <w:rPr>
                <w:sz w:val="16"/>
                <w:szCs w:val="16"/>
                <w:color w:val="auto"/>
              </w:rPr>
            </w:pPr>
          </w:p>
        </w:tc>
      </w:tr>
      <w:tr>
        <w:trPr>
          <w:trHeight w:val="220"/>
        </w:trPr>
        <w:tc>
          <w:tcPr>
            <w:tcW w:w="33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Listed Company</w:t>
            </w: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Manager: JIAN WANG</w:t>
            </w:r>
          </w:p>
        </w:tc>
        <w:tc>
          <w:tcPr>
            <w:tcW w:w="4040" w:type="dxa"/>
            <w:vAlign w:val="bottom"/>
            <w:tcBorders>
              <w:right w:val="single" w:sz="8" w:color="auto"/>
            </w:tcBorders>
          </w:tcPr>
          <w:p>
            <w:pPr>
              <w:spacing w:after="0"/>
              <w:rPr>
                <w:sz w:val="19"/>
                <w:szCs w:val="19"/>
                <w:color w:val="auto"/>
              </w:rPr>
            </w:pPr>
          </w:p>
        </w:tc>
      </w:tr>
      <w:tr>
        <w:trPr>
          <w:trHeight w:val="216"/>
        </w:trPr>
        <w:tc>
          <w:tcPr>
            <w:tcW w:w="3300" w:type="dxa"/>
            <w:vAlign w:val="bottom"/>
            <w:tcBorders>
              <w:left w:val="single" w:sz="8" w:color="auto"/>
              <w:right w:val="single" w:sz="8" w:color="auto"/>
            </w:tcBorders>
          </w:tcPr>
          <w:p>
            <w:pPr>
              <w:spacing w:after="0"/>
              <w:rPr>
                <w:sz w:val="18"/>
                <w:szCs w:val="18"/>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LISA YI LU FENG</w:t>
            </w:r>
          </w:p>
        </w:tc>
        <w:tc>
          <w:tcPr>
            <w:tcW w:w="4040" w:type="dxa"/>
            <w:vAlign w:val="bottom"/>
            <w:tcBorders>
              <w:right w:val="single" w:sz="8" w:color="auto"/>
            </w:tcBorders>
          </w:tcPr>
          <w:p>
            <w:pPr>
              <w:spacing w:after="0"/>
              <w:rPr>
                <w:sz w:val="18"/>
                <w:szCs w:val="18"/>
                <w:color w:val="auto"/>
              </w:rPr>
            </w:pPr>
          </w:p>
        </w:tc>
      </w:tr>
      <w:tr>
        <w:trPr>
          <w:trHeight w:val="241"/>
        </w:trPr>
        <w:tc>
          <w:tcPr>
            <w:tcW w:w="330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Board Secretary: MINGZHU LUO</w:t>
            </w:r>
          </w:p>
        </w:tc>
        <w:tc>
          <w:tcPr>
            <w:tcW w:w="4040" w:type="dxa"/>
            <w:vAlign w:val="bottom"/>
            <w:tcBorders>
              <w:bottom w:val="single" w:sz="8" w:color="auto"/>
              <w:right w:val="single" w:sz="8" w:color="auto"/>
            </w:tcBorders>
          </w:tcPr>
          <w:p>
            <w:pPr>
              <w:spacing w:after="0"/>
              <w:rPr>
                <w:sz w:val="20"/>
                <w:szCs w:val="20"/>
                <w:color w:val="auto"/>
              </w:rPr>
            </w:pPr>
          </w:p>
        </w:tc>
      </w:tr>
      <w:tr>
        <w:trPr>
          <w:trHeight w:val="198"/>
        </w:trPr>
        <w:tc>
          <w:tcPr>
            <w:tcW w:w="3300" w:type="dxa"/>
            <w:vAlign w:val="bottom"/>
            <w:tcBorders>
              <w:left w:val="single" w:sz="8" w:color="auto"/>
              <w:right w:val="single" w:sz="8" w:color="auto"/>
            </w:tcBorders>
          </w:tcPr>
          <w:p>
            <w:pPr>
              <w:spacing w:after="0"/>
              <w:rPr>
                <w:sz w:val="17"/>
                <w:szCs w:val="17"/>
                <w:color w:val="auto"/>
              </w:rPr>
            </w:pPr>
          </w:p>
        </w:tc>
        <w:tc>
          <w:tcPr>
            <w:tcW w:w="7940" w:type="dxa"/>
            <w:vAlign w:val="bottom"/>
            <w:tcBorders>
              <w:right w:val="single" w:sz="8" w:color="auto"/>
            </w:tcBorders>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I. Company Introduction: </w:t>
            </w:r>
            <w:r>
              <w:rPr>
                <w:rFonts w:ascii="Times New Roman" w:cs="Times New Roman" w:eastAsia="Times New Roman" w:hAnsi="Times New Roman"/>
                <w:sz w:val="18"/>
                <w:szCs w:val="18"/>
                <w:color w:val="auto"/>
              </w:rPr>
              <w:t>Leaders of ACM Research (Shanghai), Inc. (the “Company”) briefly described</w:t>
            </w:r>
          </w:p>
        </w:tc>
      </w:tr>
      <w:tr>
        <w:trPr>
          <w:trHeight w:val="212"/>
        </w:trPr>
        <w:tc>
          <w:tcPr>
            <w:tcW w:w="3300" w:type="dxa"/>
            <w:vAlign w:val="bottom"/>
            <w:tcBorders>
              <w:left w:val="single" w:sz="8" w:color="auto"/>
              <w:righ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Company’s results and financials for the year 2024, and responded to investors’ questions and concerns.</w:t>
            </w:r>
          </w:p>
        </w:tc>
      </w:tr>
      <w:tr>
        <w:trPr>
          <w:trHeight w:val="216"/>
        </w:trPr>
        <w:tc>
          <w:tcPr>
            <w:tcW w:w="3300" w:type="dxa"/>
            <w:vAlign w:val="bottom"/>
            <w:tcBorders>
              <w:left w:val="single" w:sz="8" w:color="auto"/>
              <w:right w:val="single" w:sz="8" w:color="auto"/>
            </w:tcBorders>
          </w:tcPr>
          <w:p>
            <w:pPr>
              <w:spacing w:after="0"/>
              <w:rPr>
                <w:sz w:val="18"/>
                <w:szCs w:val="18"/>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II. Q&amp;A</w:t>
            </w:r>
          </w:p>
        </w:tc>
        <w:tc>
          <w:tcPr>
            <w:tcW w:w="4040" w:type="dxa"/>
            <w:vAlign w:val="bottom"/>
            <w:tcBorders>
              <w:right w:val="single" w:sz="8" w:color="auto"/>
            </w:tcBorders>
          </w:tcPr>
          <w:p>
            <w:pPr>
              <w:spacing w:after="0"/>
              <w:rPr>
                <w:sz w:val="18"/>
                <w:szCs w:val="18"/>
                <w:color w:val="auto"/>
              </w:rPr>
            </w:pPr>
          </w:p>
        </w:tc>
      </w:tr>
      <w:tr>
        <w:trPr>
          <w:trHeight w:val="216"/>
        </w:trPr>
        <w:tc>
          <w:tcPr>
            <w:tcW w:w="33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Summary of Investor</w:t>
            </w:r>
          </w:p>
        </w:tc>
        <w:tc>
          <w:tcPr>
            <w:tcW w:w="7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 Could you provide a breakdown of the revenue share for the plating and furnace equipment</w:t>
            </w:r>
          </w:p>
        </w:tc>
      </w:tr>
      <w:tr>
        <w:trPr>
          <w:trHeight w:val="220"/>
        </w:trPr>
        <w:tc>
          <w:tcPr>
            <w:tcW w:w="330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Relation Activities</w:t>
            </w:r>
          </w:p>
        </w:tc>
        <w:tc>
          <w:tcPr>
            <w:tcW w:w="7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categories, in terms of total revenue and newly signed orders?</w:t>
            </w:r>
          </w:p>
        </w:tc>
      </w:tr>
      <w:tr>
        <w:trPr>
          <w:trHeight w:val="216"/>
        </w:trPr>
        <w:tc>
          <w:tcPr>
            <w:tcW w:w="3300" w:type="dxa"/>
            <w:vAlign w:val="bottom"/>
            <w:tcBorders>
              <w:left w:val="single" w:sz="8" w:color="auto"/>
              <w:righ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 We did not separate revenues and sales between plating and furnace equipment, but the majority came</w:t>
            </w:r>
          </w:p>
        </w:tc>
      </w:tr>
      <w:tr>
        <w:trPr>
          <w:trHeight w:val="241"/>
        </w:trPr>
        <w:tc>
          <w:tcPr>
            <w:tcW w:w="330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from plating equipment.</w:t>
            </w:r>
          </w:p>
        </w:tc>
        <w:tc>
          <w:tcPr>
            <w:tcW w:w="4040" w:type="dxa"/>
            <w:vAlign w:val="bottom"/>
            <w:tcBorders>
              <w:bottom w:val="single" w:sz="8" w:color="auto"/>
              <w:right w:val="single" w:sz="8" w:color="auto"/>
            </w:tcBorders>
          </w:tcPr>
          <w:p>
            <w:pPr>
              <w:spacing w:after="0"/>
              <w:rPr>
                <w:sz w:val="20"/>
                <w:szCs w:val="20"/>
                <w:color w:val="auto"/>
              </w:rPr>
            </w:pPr>
          </w:p>
        </w:tc>
      </w:tr>
      <w:tr>
        <w:trPr>
          <w:trHeight w:val="398"/>
        </w:trPr>
        <w:tc>
          <w:tcPr>
            <w:tcW w:w="33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549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549015"/>
                    </a:xfrm>
                    <a:prstGeom prst="rect">
                      <a:avLst/>
                    </a:prstGeom>
                    <a:noFill/>
                  </pic:spPr>
                </pic:pic>
              </a:graphicData>
            </a:graphic>
          </wp:anchor>
        </w:drawing>
        <w:t>2. What’s your outlook on the future performance of furnace equipment?</w:t>
      </w:r>
    </w:p>
    <w:p>
      <w:pPr>
        <w:spacing w:after="0" w:line="43" w:lineRule="exact"/>
        <w:rPr>
          <w:sz w:val="20"/>
          <w:szCs w:val="20"/>
          <w:color w:val="auto"/>
        </w:rPr>
      </w:pPr>
    </w:p>
    <w:p>
      <w:pPr>
        <w:jc w:val="both"/>
        <w:ind w:left="2260" w:right="20" w:firstLine="3"/>
        <w:spacing w:after="0" w:line="252" w:lineRule="auto"/>
        <w:tabs>
          <w:tab w:leader="none" w:pos="249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making steady progress in developing new customers for our furnace equipment. By the end of 2024, we had 17 furnace equipment customers, a notable increase from 9 at the end of 2023. We expect revenue contribution from furnace equipment to accelerate further in 2025, becoming a new driver of the Company’s future growth. Meanwhile, we are developing multiple new ALD furnace equipment models to further solidify our differentiated competitive advantages and provide tailored solutions to our customers. We expect these efforts to support stable growth and long-term sustainable development of our operating performance.</w:t>
      </w:r>
    </w:p>
    <w:p>
      <w:pPr>
        <w:spacing w:after="0" w:line="184" w:lineRule="exact"/>
        <w:rPr>
          <w:sz w:val="20"/>
          <w:szCs w:val="20"/>
          <w:color w:val="auto"/>
        </w:rPr>
      </w:pPr>
    </w:p>
    <w:p>
      <w:pPr>
        <w:jc w:val="both"/>
        <w:ind w:left="2260" w:right="20" w:firstLine="3"/>
        <w:spacing w:after="0" w:line="256" w:lineRule="auto"/>
        <w:tabs>
          <w:tab w:leader="none" w:pos="246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NAURA Technology’s investment in Kingsemi previously attracted significant market attention. What’s your view on the recent shareholding changes in the semiconductor equipment sector, particularly in the Track segment? Looking ahead, how do you see the development of China’s Track market over the next few years?</w:t>
      </w:r>
    </w:p>
    <w:p>
      <w:pPr>
        <w:spacing w:after="0" w:line="3" w:lineRule="exact"/>
        <w:rPr>
          <w:rFonts w:ascii="Times New Roman" w:cs="Times New Roman" w:eastAsia="Times New Roman" w:hAnsi="Times New Roman"/>
          <w:sz w:val="18"/>
          <w:szCs w:val="18"/>
          <w:b w:val="1"/>
          <w:bCs w:val="1"/>
          <w:color w:val="auto"/>
        </w:rPr>
      </w:pPr>
    </w:p>
    <w:p>
      <w:pPr>
        <w:jc w:val="both"/>
        <w:ind w:left="226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Mergers and acquisitions in the semiconductor equipment sector are a normal part of industry evolution. In recent years, our Company has accumulated extensive experience in cleaning and plating equipment. Currently, our cleaning and plating products hold over 30% market share in China, securing a leading position in the industry. At the same time, we are further enhancing supplier management and developing an independent supply chain. In the Track segment, equipment reliability directly impacts the production capacity, efficiency, and yield of lithography machines. As a critical step in semiconductor manufacturing, the Track process has broad market prospects. Our newly developed 300WPH KrF-line Track equipment is expected to be delivered to customers by mid-year, where we aim to complete rapid verification. We are confident in its market potential and its contribution to the localization of high-end Track equipment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11" w:right="359" w:bottom="1440" w:gutter="0" w:footer="0" w:header="0"/>
        </w:sectPr>
      </w:pPr>
    </w:p>
    <w:bookmarkStart w:id="5" w:name="page6"/>
    <w:bookmarkEnd w:id="5"/>
    <w:p>
      <w:pPr>
        <w:ind w:left="2260" w:right="20" w:firstLine="3"/>
        <w:spacing w:after="0" w:line="263" w:lineRule="auto"/>
        <w:tabs>
          <w:tab w:leader="none" w:pos="24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451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451735"/>
                    </a:xfrm>
                    <a:prstGeom prst="rect">
                      <a:avLst/>
                    </a:prstGeom>
                    <a:noFill/>
                  </pic:spPr>
                </pic:pic>
              </a:graphicData>
            </a:graphic>
          </wp:anchor>
        </w:drawing>
        <w:t>What is your view on the growth outlook for the advanced packaging equipment segment, and what are the Company’s expectations for its future development?</w:t>
      </w:r>
    </w:p>
    <w:p>
      <w:pPr>
        <w:jc w:val="both"/>
        <w:ind w:left="22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Our plating equipment achieved solid progress amidst relatively limited growth in China’s packaging sector last year. Looking ahead, we expect advanced packaging technologies such as CoWoS and fan-out to enter a period of rapid growth. As a result, we remain optimistic about the outlook for plating equipment in the advanced packaging sector and anticipate substantial growth in the coming years.</w:t>
      </w:r>
    </w:p>
    <w:p>
      <w:pPr>
        <w:spacing w:after="0" w:line="184" w:lineRule="exact"/>
        <w:rPr>
          <w:rFonts w:ascii="Times New Roman" w:cs="Times New Roman" w:eastAsia="Times New Roman" w:hAnsi="Times New Roman"/>
          <w:sz w:val="18"/>
          <w:szCs w:val="18"/>
          <w:b w:val="1"/>
          <w:bCs w:val="1"/>
          <w:color w:val="auto"/>
        </w:rPr>
      </w:pPr>
    </w:p>
    <w:p>
      <w:pPr>
        <w:ind w:left="2260" w:right="20" w:firstLine="3"/>
        <w:spacing w:after="0" w:line="263" w:lineRule="auto"/>
        <w:tabs>
          <w:tab w:leader="none" w:pos="24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Given the tightening external restrictions, has the Company seen a clear benefit to its cleaning equipment business?</w:t>
      </w:r>
    </w:p>
    <w:p>
      <w:pPr>
        <w:jc w:val="both"/>
        <w:ind w:left="2260"/>
        <w:spacing w:after="0" w:line="22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While some cleaning equipment such as supercritical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dry equipment and certain tools involving chemical processing has been subject to restrictions, the majority of our cleaning equipment remains largely unaffected. From a product portfolio perspective, we offer a comprehensive range of cleaning solutions, covering approximately 90%-95% of process steps from upstream to downstream. At present, our R&amp;D in cleaning equipment is progressing smoothly. With our differentiated technical strengths and close cooperation with customers, we expect to further expand our market share in this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275590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11" w:right="359" w:bottom="1440" w:gutter="0" w:footer="0" w:header="0"/>
        </w:sectPr>
      </w:pPr>
    </w:p>
    <w:bookmarkStart w:id="6" w:name="page7"/>
    <w:bookmarkEnd w:id="6"/>
    <w:p>
      <w:pPr>
        <w:jc w:val="both"/>
        <w:ind w:left="22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314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314575"/>
                    </a:xfrm>
                    <a:prstGeom prst="rect">
                      <a:avLst/>
                    </a:prstGeom>
                    <a:noFill/>
                  </pic:spPr>
                </pic:pic>
              </a:graphicData>
            </a:graphic>
          </wp:anchor>
        </w:drawing>
        <w:t>Notably, our independently developed Tahoe cleaning equipment, protected by global intellectual property rights, has been highly recognized by customers. In 2024, we received multiple repeat orders from a logic manufacturer. The equipment was also delivered to a major memory manufacturer and completed process verification. The Tahoe system integrates two modules—a wet bench module and a single-wafer module— into a single wet cleaning platform. It supports dozens of critical cleaning processes, including photoresist removal, post-etch cleaning, post-ion implantation cleaning, and post-CMP cleaning. It can reduce sulfuric acid consumption by up to 75%, lowering sulfuric acid-related costs by tens of thousands of U.S., dollars annually. This not only reduces production costs for customers but also aligns with national energy conservation and emission reduction policies. In addition, the Tahoe system offers strong cleaning capabilities, achieving single-digit particle levels in the 26 nm particle test, meeting the stringent requirements of high-end manufacturing. Its cleaning performance and process flexibility are comparable to that of single-wafer low-temperature SPM cleaning equipment. Currently, Tahoe has attracted significant interest from both domestic and international customers. With strong market potential, we are committed to expanding its presence in the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15" w:right="359" w:bottom="1440" w:gutter="0" w:footer="0" w:header="0"/>
        </w:sectPr>
      </w:pPr>
    </w:p>
    <w:bookmarkStart w:id="7" w:name="page8"/>
    <w:bookmarkEnd w:id="7"/>
    <w:p>
      <w:pPr>
        <w:jc w:val="both"/>
        <w:ind w:left="2260" w:right="20" w:firstLine="3"/>
        <w:spacing w:after="0" w:line="259" w:lineRule="auto"/>
        <w:tabs>
          <w:tab w:leader="none" w:pos="244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549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549015"/>
                    </a:xfrm>
                    <a:prstGeom prst="rect">
                      <a:avLst/>
                    </a:prstGeom>
                    <a:noFill/>
                  </pic:spPr>
                </pic:pic>
              </a:graphicData>
            </a:graphic>
          </wp:anchor>
        </w:drawing>
        <w:t>Sulfuric acid cleaning equipment is expected to be a key growth area over the next two years. What is the Company’s current market share in China’s sulfuric acid cleaning equipment market? And what’s your target for its contribution to overall cleaning equipment revenue?</w:t>
      </w:r>
    </w:p>
    <w:p>
      <w:pPr>
        <w:jc w:val="both"/>
        <w:ind w:left="2260" w:right="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We are optimistic about the future expansion of high-temperature sulfuric acid products in China. Our sulfuric acid cleaning equipment is well-suited to meet diverse and differentiated customer needs. Leveraging differentiated technical advantages, we are highly competitive in both the high-temperature (&gt;170°C) and medium- to low-temperature sulfuric acid cleaning equipment markets. We have completed verification on production lines at multiple customers. This year, our primary goal is to enhance the global recognition of Tahoe cleaning equipment, drive its adoption in overseas markets and contribute to the company’s overall revenue growth.</w:t>
      </w:r>
    </w:p>
    <w:p>
      <w:pPr>
        <w:spacing w:after="0" w:line="184" w:lineRule="exact"/>
        <w:rPr>
          <w:rFonts w:ascii="Times New Roman" w:cs="Times New Roman" w:eastAsia="Times New Roman" w:hAnsi="Times New Roman"/>
          <w:sz w:val="18"/>
          <w:szCs w:val="18"/>
          <w:b w:val="1"/>
          <w:bCs w:val="1"/>
          <w:color w:val="auto"/>
        </w:rPr>
      </w:pPr>
    </w:p>
    <w:p>
      <w:pPr>
        <w:jc w:val="both"/>
        <w:ind w:left="2260" w:firstLine="3"/>
        <w:spacing w:after="0" w:line="256" w:lineRule="auto"/>
        <w:tabs>
          <w:tab w:leader="none" w:pos="2496"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a Japanese competitor launched a combined single-wafer and wet bench cleaning equipment. According to their description, the product’s advantages appear similar to yours. Are there any key differences between their product and yours? Do you expect it to impact your overseas market expansion?</w:t>
      </w:r>
    </w:p>
    <w:p>
      <w:pPr>
        <w:spacing w:after="0" w:line="3" w:lineRule="exact"/>
        <w:rPr>
          <w:rFonts w:ascii="Times New Roman" w:cs="Times New Roman" w:eastAsia="Times New Roman" w:hAnsi="Times New Roman"/>
          <w:sz w:val="18"/>
          <w:szCs w:val="18"/>
          <w:b w:val="1"/>
          <w:bCs w:val="1"/>
          <w:color w:val="auto"/>
        </w:rPr>
      </w:pPr>
    </w:p>
    <w:p>
      <w:pPr>
        <w:jc w:val="both"/>
        <w:ind w:left="226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Our independently developed Tahoe cleaning technology is a world-first innovation and is protected by global intellectual property rights. It not only meets high industry standards but also drives technological advancement, cleaner production development, and elevated standards in the global semiconductor industry through its efficient and environmentally friendly design. Global semiconductor equipment manufacturers each bring unique capabilities to the table. We are glad to see that this technical path pioneered by the Company has inspired other tier-1 peers. We believe this will help foster a healthy cycle in the global market to jointly promote industry development. With our strategic product portfolio and years of industry experience, we are confident in our competitiveness in the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11" w:right="359" w:bottom="1440" w:gutter="0" w:footer="0" w:header="0"/>
        </w:sectPr>
      </w:pPr>
    </w:p>
    <w:bookmarkStart w:id="8" w:name="page9"/>
    <w:bookmarkEnd w:id="8"/>
    <w:p>
      <w:pPr>
        <w:ind w:left="2260" w:right="20" w:firstLine="3"/>
        <w:spacing w:after="0" w:line="263" w:lineRule="auto"/>
        <w:tabs>
          <w:tab w:leader="none" w:pos="245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628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8775"/>
                    </a:xfrm>
                    <a:prstGeom prst="rect">
                      <a:avLst/>
                    </a:prstGeom>
                    <a:noFill/>
                  </pic:spPr>
                </pic:pic>
              </a:graphicData>
            </a:graphic>
          </wp:anchor>
        </w:drawing>
        <w:t>Looking ahead, does the company expect China’s semiconductor market to evolve into a perfectly competitive one?</w:t>
      </w:r>
    </w:p>
    <w:p>
      <w:pPr>
        <w:jc w:val="both"/>
        <w:ind w:left="22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We believe that China’s semiconductor market has always been, and will continue to be, an open and competitive market in the past, present, and future. As a semiconductor equipment provider, we expect the market will remain open, allowing fair competition with international peers on a level playing field. At the same time, leveraging our differentiated products and technological strengths, we also look forward to expanding into overseas markets to achieve shared growth and healthy competition. We believe that such efforts will help foster a positive and harmonious competition environment across both domestic and overseas markets, jointly advancing the globalization of the semiconductor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11" w:right="359" w:bottom="1440" w:gutter="0" w:footer="0" w:header="0"/>
        </w:sectPr>
      </w:pPr>
    </w:p>
    <w:bookmarkStart w:id="9" w:name="page10"/>
    <w:bookmarkEnd w:id="9"/>
    <w:p>
      <w:pPr>
        <w:jc w:val="both"/>
        <w:ind w:left="2260" w:right="20" w:firstLine="3"/>
        <w:spacing w:after="0" w:line="259" w:lineRule="auto"/>
        <w:tabs>
          <w:tab w:leader="none" w:pos="244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118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t>If China’s semiconductor parts industry reaches a globally leading level in terms of technology and functionality, how substantial would the cost advantages be? What level of cost reduction could be achieved in the long run?</w:t>
      </w:r>
    </w:p>
    <w:p>
      <w:pPr>
        <w:jc w:val="both"/>
        <w:ind w:left="22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China’s semiconductor parts already possess a clear cost advantage. However, the key challenges lie in collaboration with equipment manufacturers and customer-side verification. Once these hurdles are overcome, we believe the cost advantage of China's semiconductor parts will be further amplified. As for the extent of cost reduction, it can only be accurately assessed after cooperation with equipment manufacturers and completion of verification by end customers.</w:t>
      </w:r>
    </w:p>
    <w:p>
      <w:pPr>
        <w:spacing w:after="0" w:line="182" w:lineRule="exact"/>
        <w:rPr>
          <w:rFonts w:ascii="Times New Roman" w:cs="Times New Roman" w:eastAsia="Times New Roman" w:hAnsi="Times New Roman"/>
          <w:sz w:val="18"/>
          <w:szCs w:val="18"/>
          <w:b w:val="1"/>
          <w:bCs w:val="1"/>
          <w:color w:val="auto"/>
        </w:rPr>
      </w:pPr>
    </w:p>
    <w:p>
      <w:pPr>
        <w:jc w:val="both"/>
        <w:ind w:left="2260" w:firstLine="3"/>
        <w:spacing w:after="0" w:line="259" w:lineRule="auto"/>
        <w:tabs>
          <w:tab w:leader="none" w:pos="257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Could you share the current status of verification for your panel-level advanced packaging equipment at overseas foundries and OSATs? Does panel size have an impact on the competitive landscape for plating equipment?</w:t>
      </w:r>
    </w:p>
    <w:p>
      <w:pPr>
        <w:jc w:val="both"/>
        <w:ind w:left="226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Our independently developed panel-level horizontal plating equipment was recently awarded the “Technology Enablement Award” by 3D InCites in the U.S. This equipment was introduced as an innovative alternative to traditional vertical plating equipment, addressing key technical difficulties in the panel-level packaging stage of semiconductor manufacturing. It features our proprietary horizontal plating technology, which ensures excellent panel uniformity and precision, prevents cross-contamination between plating solutions, and enhances chip quality while also improving efficiency and reducing costs. The equipment is capable of processing panels up to 600 × 600 mm in size. We believe that panel-level packaging formats such as 310 × 310 mm, 515 × 510 mm, and 600 × 600 mm will become an emerging trend in AI chip packaging. Backed by our strong technological differentiation and sharp market insights, we expect to continue delivering innovative products to both domestic and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11" w:right="359" w:bottom="1440" w:gutter="0" w:footer="0" w:header="0"/>
        </w:sectPr>
      </w:pPr>
    </w:p>
    <w:bookmarkStart w:id="10" w:name="page11"/>
    <w:bookmarkEnd w:id="10"/>
    <w:p>
      <w:pPr>
        <w:ind w:left="2260" w:right="20" w:firstLine="3"/>
        <w:spacing w:after="0" w:line="263" w:lineRule="auto"/>
        <w:tabs>
          <w:tab w:leader="none" w:pos="253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040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040255"/>
                    </a:xfrm>
                    <a:prstGeom prst="rect">
                      <a:avLst/>
                    </a:prstGeom>
                    <a:noFill/>
                  </pic:spPr>
                </pic:pic>
              </a:graphicData>
            </a:graphic>
          </wp:anchor>
        </w:drawing>
        <w:t>Will geopolitical tensions have an impact on the Company’s advanced packaging business in the U.S. and Taiwan region?</w:t>
      </w:r>
    </w:p>
    <w:p>
      <w:pPr>
        <w:jc w:val="both"/>
        <w:ind w:left="22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We and our parent company ACMR are listed on the capital markets in China and the U.S., respectively, and have established a global sales presence, including in the United States, South Korea, the Taiwan region, and Europe. We are confident in our ability to continue delivering our independently developed, differentiated products to international markets such as the United States, South Korea, the Taiwan region, Singapore, and Europe.</w:t>
      </w:r>
    </w:p>
    <w:p>
      <w:pPr>
        <w:spacing w:after="0" w:line="182" w:lineRule="exact"/>
        <w:rPr>
          <w:rFonts w:ascii="Times New Roman" w:cs="Times New Roman" w:eastAsia="Times New Roman" w:hAnsi="Times New Roman"/>
          <w:sz w:val="18"/>
          <w:szCs w:val="18"/>
          <w:b w:val="1"/>
          <w:bCs w:val="1"/>
          <w:color w:val="auto"/>
        </w:rPr>
      </w:pPr>
    </w:p>
    <w:p>
      <w:pPr>
        <w:ind w:left="2540" w:hanging="277"/>
        <w:spacing w:after="0"/>
        <w:tabs>
          <w:tab w:leader="none" w:pos="2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Which customers are currently testing your horizontal plating products?</w:t>
      </w:r>
    </w:p>
    <w:p>
      <w:pPr>
        <w:spacing w:after="0" w:line="31" w:lineRule="exact"/>
        <w:rPr>
          <w:sz w:val="20"/>
          <w:szCs w:val="20"/>
          <w:color w:val="auto"/>
        </w:rPr>
      </w:pPr>
    </w:p>
    <w:p>
      <w:pPr>
        <w:jc w:val="both"/>
        <w:ind w:left="2260" w:right="20" w:firstLine="3"/>
        <w:spacing w:after="0" w:line="255" w:lineRule="auto"/>
        <w:tabs>
          <w:tab w:leader="none" w:pos="24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product is still in internal R&amp;D and at the demo stage. Although it has not yet been commercially released, we expect at least one unit to undergo customer testing this year. Our sales team and process engineers are actively working to drive this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266700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1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48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48920"/>
                    </a:xfrm>
                    <a:prstGeom prst="rect">
                      <a:avLst/>
                    </a:prstGeom>
                    <a:noFill/>
                  </pic:spPr>
                </pic:pic>
              </a:graphicData>
            </a:graphic>
          </wp:anchor>
        </w:drawing>
        <w:t>Enclosure: List of participants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 Capital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MediaHoly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Oxbow Capital Management (HK)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Aijian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Ernst &amp; Young Hua Ming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Pictet Asset Management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Win Integrity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Guan Cheng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Junze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Yutian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Zhilu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Bosera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Boyu Capital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Caitong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Caitong Securities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Chengtong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Northeast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Eastmoney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Dongxing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Asia Qianhai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Fullgoal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Gengji (Shanghai)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Guangdong Jiuyi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Guangdong Juzhou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Guangdong Yinshi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Guangdong Zhengyuan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Qianhe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Guangxi Yingzhou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Guofu Life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Sealand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Sinolink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Gowin AMC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Hainan Junyang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Hainan Yangjiao Private Fund Management Partnership (Limited Partnership)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Hainan Zonglvwan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Futures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Hangzhou Gaoyuan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Haoze Zhiyuan Asset Management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48920"/>
                    </a:xfrm>
                    <a:prstGeom prst="rect">
                      <a:avLst/>
                    </a:prstGeom>
                    <a:noFill/>
                  </pic:spPr>
                </pic:pic>
              </a:graphicData>
            </a:graphic>
          </wp:anchor>
        </w:drawing>
        <w:t>Harvest Forever Capital Management (Beijing)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Hehe (Beijing)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HongShan Capital Equity Investment Management (Tianjin) Co.,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Hongta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Hongyun Private Fund Management (Hainan)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Hunan Eight Zero After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Huachuang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Walden International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Huafu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Huakai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Baoxing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Financial Holdings (HK)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Jintrust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Universal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Harvest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Jiaze (Xiamen)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Jiangsu Parallel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Jiangsu Ruihua Investment Holdings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Jiangxi Peter Mingqi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Jiangxin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Jinyi Private Fund Management (Zhuhai Hengqin)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Liduoxing (Shanghai)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Lianbo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Minsheng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DIB Asset Management (Zhuhai)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(China)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Investment Management (China)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Nanjing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ABC Life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Panhou Dynamic (Shanghai)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Ping An Bank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Ping 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Sumitomo Mitsui DS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BYSZ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Bodu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Ivy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Chengrui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Duoshi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Huanyi Private Fund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48920"/>
                    </a:xfrm>
                    <a:prstGeom prst="rect">
                      <a:avLst/>
                    </a:prstGeom>
                    <a:noFill/>
                  </pic:spPr>
                </pic:pic>
              </a:graphicData>
            </a:graphic>
          </wp:anchor>
        </w:drawing>
        <w:t>Shanghai Huizheng Financial Consulting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Jiashi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Jin En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Jingxi Investment Management Partnership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Leijun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Lianshi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Miyuan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Mingyu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Puyi Asset Management Co., Ltd.</w:t>
      </w:r>
    </w:p>
    <w:p>
      <w:pPr>
        <w:spacing w:after="0" w:line="9" w:lineRule="exact"/>
        <w:rPr>
          <w:sz w:val="20"/>
          <w:szCs w:val="20"/>
          <w:color w:val="auto"/>
        </w:rPr>
      </w:pPr>
    </w:p>
    <w:p>
      <w:pPr>
        <w:ind w:right="5019"/>
        <w:spacing w:after="0" w:line="250" w:lineRule="auto"/>
        <w:rPr>
          <w:sz w:val="20"/>
          <w:szCs w:val="20"/>
          <w:color w:val="auto"/>
        </w:rPr>
      </w:pPr>
      <w:r>
        <w:rPr>
          <w:rFonts w:ascii="Times New Roman" w:cs="Times New Roman" w:eastAsia="Times New Roman" w:hAnsi="Times New Roman"/>
          <w:sz w:val="18"/>
          <w:szCs w:val="18"/>
          <w:color w:val="auto"/>
        </w:rPr>
        <w:t>Shanghai Qinmu Asset Management Partnership (Limited Partnership) Shanghai Shenyin Wanguo Research and Consulting Co., Ltd. Shanghai Shicheng Investment Management Co., Ltd. Shanghai Tianni Investment Management Co., Ltd.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Tongsheng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Tuling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Xietun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Xingzhi Venture 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Yiheyuan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Yuyi Asset Management Partnership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Zhaoyun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Zhongyu Asset Management Center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Chengyi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Chuangfu Business Investment Management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Qianhai Chenxing Private Securities Investment Fund Management Partnership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Qianhai Huijiedali 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Guohui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Shangcheng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Yujin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Zhucheng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Zhongtian Fortune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Bernstein (Hong Kong)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Schroder Investment Management (HK)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Century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Taiping Fund Management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Wentian Private Security Investment Fund Management (Guangzhou)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Xi’an Pubu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Xi’an Qingshan Enterprise Management Consulting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Xinhua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Industrial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Symbol Investment (Shanghai)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Yinhua Fund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48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48920"/>
                    </a:xfrm>
                    <a:prstGeom prst="rect">
                      <a:avLst/>
                    </a:prstGeom>
                    <a:noFill/>
                  </pic:spPr>
                </pic:pic>
              </a:graphicData>
            </a:graphic>
          </wp:anchor>
        </w:drawing>
        <w:t>Chang’an Fund Management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Merchants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Merchants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Zheshang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Fortune Growth Capital Holding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YT Capital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PICC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Galaxy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AVIC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United Insurance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Lombarda China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CITIC-Prudential Asset Management Company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CITIC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 International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Post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Dynamics Asset Management (HK) Private Limited</w:t>
      </w:r>
    </w:p>
    <w:p>
      <w:pPr>
        <w:spacing w:after="0" w:line="207" w:lineRule="exact"/>
        <w:rPr>
          <w:sz w:val="20"/>
          <w:szCs w:val="20"/>
          <w:color w:val="auto"/>
        </w:rPr>
      </w:pPr>
    </w:p>
    <w:p>
      <w:pPr>
        <w:ind w:left="5000"/>
        <w:spacing w:after="0"/>
        <w:tabs>
          <w:tab w:leader="none" w:pos="5560" w:val="left"/>
          <w:tab w:leader="none" w:pos="6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information is provided in connection with the furnishing of the above Record of March 2025 Investor Relation Activity of ACM Research (Shanghai), Inc. (“ACMSH”) (the “Record”) pursuant to the Current Report on Form 8-K reporting requirements of ACM Research,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adversely affect ACMSH due to its substantial non-U.S. customer and supplier base and its substantial non-U.S. manufacturing operations. A further description of these risks, uncertainties and other matters can be found in filings ACM Research, Inc. makes with the U.S. Securities and Exchange Commission.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2"/>
      <w:numFmt w:val="decimal"/>
      <w:start w:val="104"/>
    </w:lvl>
  </w:abstractNum>
  <w:abstractNum w:abstractNumId="2">
    <w:nsid w:val="2EB141F2"/>
    <w:multiLevelType w:val="hybridMultilevel"/>
    <w:lvl w:ilvl="0">
      <w:lvlJc w:val="left"/>
      <w:lvlText w:val="%1:"/>
      <w:numFmt w:val="upperLetter"/>
      <w:start w:val="1"/>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decimal"/>
      <w:start w:val="6"/>
    </w:lvl>
  </w:abstractNum>
  <w:abstractNum w:abstractNumId="6">
    <w:nsid w:val="515F007C"/>
    <w:multiLevelType w:val="hybridMultilevel"/>
    <w:lvl w:ilvl="0">
      <w:lvlJc w:val="left"/>
      <w:lvlText w:val="%1."/>
      <w:numFmt w:val="decimal"/>
      <w:start w:val="8"/>
    </w:lvl>
  </w:abstractNum>
  <w:abstractNum w:abstractNumId="7">
    <w:nsid w:val="5BD062C2"/>
    <w:multiLevelType w:val="hybridMultilevel"/>
    <w:lvl w:ilvl="0">
      <w:lvlJc w:val="left"/>
      <w:lvlText w:val="%1."/>
      <w:numFmt w:val="decimal"/>
      <w:start w:val="9"/>
    </w:lvl>
  </w:abstractNum>
  <w:abstractNum w:abstractNumId="8">
    <w:nsid w:val="12200854"/>
    <w:multiLevelType w:val="hybridMultilevel"/>
    <w:lvl w:ilvl="0">
      <w:lvlJc w:val="left"/>
      <w:lvlText w:val="%1."/>
      <w:numFmt w:val="decimal"/>
      <w:start w:val="11"/>
    </w:lvl>
  </w:abstractNum>
  <w:abstractNum w:abstractNumId="9">
    <w:nsid w:val="4DB127F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2025-03-24T15:41:23Z</dcterms:created>
  <dcterms:modified xsi:type="dcterms:W3CDTF">2025-03-24T15:41:23Z</dcterms:modified>
</cp:coreProperties>
</file>