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Feng Lisa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740"/>
        <w:spacing w:after="0" w:line="346" w:lineRule="auto"/>
        <w:rPr>
          <w:sz w:val="20"/>
          <w:szCs w:val="20"/>
          <w:color w:val="auto"/>
        </w:rPr>
      </w:pPr>
      <w:r>
        <w:rPr>
          <w:rFonts w:ascii="Arial" w:cs="Arial" w:eastAsia="Arial" w:hAnsi="Arial"/>
          <w:sz w:val="15"/>
          <w:szCs w:val="15"/>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04/28/2020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60"/>
        <w:spacing w:after="0"/>
        <w:rPr>
          <w:sz w:val="20"/>
          <w:szCs w:val="20"/>
          <w:color w:val="auto"/>
        </w:rPr>
      </w:pPr>
      <w:r>
        <w:rPr>
          <w:rFonts w:ascii="Arial" w:cs="Arial" w:eastAsia="Arial" w:hAnsi="Arial"/>
          <w:sz w:val="17"/>
          <w:szCs w:val="17"/>
          <w:color w:val="0000FF"/>
        </w:rPr>
        <w:t>See remarks</w:t>
      </w:r>
    </w:p>
    <w:p>
      <w:pPr>
        <w:spacing w:after="0" w:line="43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8"/>
          </w:tcPr>
          <w:p>
            <w:pPr>
              <w:jc w:val="center"/>
              <w:ind w:right="40"/>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1"/>
          </w:tcPr>
          <w:p>
            <w:pPr>
              <w:ind w:left="30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94539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38.26</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04/28/2020</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04/27/2030</w:t>
            </w: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10,000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-2840355</wp:posOffset>
            </wp:positionV>
            <wp:extent cx="7033895" cy="2882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88226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and become exercisable as to 2,500 shares on April 28, 2021 and the remaining 7,500 shares will vest and become exercisable in equal monthly installments over the following 36 months, subject to continued service through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of ACM Research (Shanghai), Inc.</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Mark L. Johnson,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06/26/2020</w:t>
            </w:r>
          </w:p>
        </w:tc>
        <w:tc>
          <w:tcPr>
            <w:tcW w:w="0" w:type="dxa"/>
            <w:vAlign w:val="bottom"/>
          </w:tcPr>
          <w:p>
            <w:pPr>
              <w:spacing w:after="0"/>
              <w:rPr>
                <w:sz w:val="1"/>
                <w:szCs w:val="1"/>
                <w:color w:val="auto"/>
              </w:rPr>
            </w:pPr>
          </w:p>
        </w:tc>
      </w:tr>
      <w:tr>
        <w:trPr>
          <w:trHeight w:val="88"/>
        </w:trPr>
        <w:tc>
          <w:tcPr>
            <w:tcW w:w="1420" w:type="dxa"/>
            <w:vAlign w:val="bottom"/>
            <w:vMerge w:val="restart"/>
          </w:tcPr>
          <w:p>
            <w:pPr>
              <w:spacing w:after="0" w:line="186" w:lineRule="exact"/>
              <w:rPr>
                <w:sz w:val="20"/>
                <w:szCs w:val="20"/>
                <w:color w:val="auto"/>
              </w:rPr>
            </w:pPr>
            <w:r>
              <w:rPr>
                <w:rFonts w:ascii="Arial" w:cs="Arial" w:eastAsia="Arial" w:hAnsi="Arial"/>
                <w:sz w:val="17"/>
                <w:szCs w:val="17"/>
                <w:color w:val="0000FF"/>
                <w:w w:val="89"/>
              </w:rPr>
              <w:t>in-Fact for Lisa Feng</w:t>
            </w:r>
          </w:p>
        </w:tc>
        <w:tc>
          <w:tcPr>
            <w:tcW w:w="7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2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9777"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2020-06-26T16:32:21Z</dcterms:created>
  <dcterms:modified xsi:type="dcterms:W3CDTF">2020-06-26T16:32:21Z</dcterms:modified>
</cp:coreProperties>
</file>