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25, 2022</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66"/>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Trading symbol</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4"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our operating subsidiary ACM Research (Shanghai), Inc. are listed on the Sci-Tech innovAtion board, or the STAR Market, of the Shanghai Stock Exchange, or SSE. In accordance with the SSE’s rules governing the STAR Market, ACM Research (Shanghai), Inc. filed with the SSE an Announcement of Preliminary Earnings Estimate in 2021, or the Announcement. The SSE posted the Announcement to the SSE’s website on February 25, 2022. A copy of the Announcement is included as Exhibit 99.01 to this report.</w:t>
      </w:r>
    </w:p>
    <w:p>
      <w:pPr>
        <w:spacing w:after="0" w:line="2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60" w:hanging="982"/>
        <w:spacing w:after="0" w:line="277" w:lineRule="auto"/>
        <w:tabs>
          <w:tab w:leader="none" w:pos="11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t>Announcement of Preliminary Earnings Estimate in 2021 filed by ACM Research (Shanghai), Inc. with the Shanghai Stock Exchange on February 25, 2022</w:t>
      </w:r>
    </w:p>
    <w:p>
      <w:pPr>
        <w:spacing w:after="0" w:line="170" w:lineRule="exact"/>
        <w:rPr>
          <w:sz w:val="20"/>
          <w:szCs w:val="20"/>
          <w:color w:val="auto"/>
        </w:rPr>
      </w:pPr>
    </w:p>
    <w:p>
      <w:pPr>
        <w:ind w:right="4760" w:firstLine="298"/>
        <w:spacing w:after="0" w:line="659" w:lineRule="auto"/>
        <w:tabs>
          <w:tab w:leader="none" w:pos="1161" w:val="left"/>
        </w:tabs>
        <w:numPr>
          <w:ilvl w:val="1"/>
          <w:numId w:val="3"/>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XBRL document) * Unofficial English translation of original document prepared in Mandarin Chinese.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 2022</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52" w:lineRule="exact"/>
        <w:rPr>
          <w:sz w:val="20"/>
          <w:szCs w:val="20"/>
          <w:color w:val="auto"/>
        </w:rPr>
      </w:pPr>
    </w:p>
    <w:p>
      <w:pPr>
        <w:spacing w:after="0"/>
        <w:tabs>
          <w:tab w:leader="none" w:pos="3960" w:val="left"/>
          <w:tab w:leader="none" w:pos="9020" w:val="left"/>
        </w:tabs>
        <w:rPr>
          <w:sz w:val="20"/>
          <w:szCs w:val="20"/>
          <w:color w:val="auto"/>
        </w:rPr>
      </w:pPr>
      <w:r>
        <w:rPr>
          <w:rFonts w:ascii="Arial" w:cs="Arial" w:eastAsia="Arial" w:hAnsi="Arial"/>
          <w:sz w:val="18"/>
          <w:szCs w:val="18"/>
          <w:color w:val="auto"/>
        </w:rPr>
        <w:t>Stock Code: 688082</w:t>
      </w:r>
      <w:r>
        <w:rPr>
          <w:sz w:val="20"/>
          <w:szCs w:val="20"/>
          <w:color w:val="auto"/>
        </w:rPr>
        <w:tab/>
      </w:r>
      <w:r>
        <w:rPr>
          <w:rFonts w:ascii="Arial" w:cs="Arial" w:eastAsia="Arial" w:hAnsi="Arial"/>
          <w:sz w:val="18"/>
          <w:szCs w:val="18"/>
          <w:color w:val="auto"/>
        </w:rPr>
        <w:t>Short Name: ACMSH</w:t>
      </w:r>
      <w:r>
        <w:rPr>
          <w:sz w:val="20"/>
          <w:szCs w:val="20"/>
          <w:color w:val="auto"/>
        </w:rPr>
        <w:tab/>
      </w:r>
      <w:r>
        <w:rPr>
          <w:rFonts w:ascii="Arial" w:cs="Arial" w:eastAsia="Arial" w:hAnsi="Arial"/>
          <w:sz w:val="16"/>
          <w:szCs w:val="16"/>
          <w:color w:val="auto"/>
        </w:rPr>
        <w:t>Announcement No.: 2022-003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ACM Research (Shanghai),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Announcement of Preliminary Earnings Estimate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79310" cy="389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389890"/>
                    </a:xfrm>
                    <a:prstGeom prst="rect">
                      <a:avLst/>
                    </a:prstGeom>
                    <a:noFill/>
                  </pic:spPr>
                </pic:pic>
              </a:graphicData>
            </a:graphic>
          </wp:anchor>
        </w:drawing>
      </w:r>
    </w:p>
    <w:p>
      <w:pPr>
        <w:spacing w:after="0" w:line="304" w:lineRule="exact"/>
        <w:rPr>
          <w:sz w:val="20"/>
          <w:szCs w:val="20"/>
          <w:color w:val="auto"/>
        </w:rPr>
      </w:pPr>
    </w:p>
    <w:p>
      <w:pPr>
        <w:ind w:left="100" w:right="20"/>
        <w:spacing w:after="0" w:line="308" w:lineRule="auto"/>
        <w:rPr>
          <w:sz w:val="20"/>
          <w:szCs w:val="20"/>
          <w:color w:val="auto"/>
        </w:rPr>
      </w:pPr>
      <w:r>
        <w:rPr>
          <w:rFonts w:ascii="Arial" w:cs="Arial" w:eastAsia="Arial" w:hAnsi="Arial"/>
          <w:sz w:val="17"/>
          <w:szCs w:val="17"/>
          <w:color w:val="auto"/>
        </w:rPr>
        <w:t>The Board of Directors and all directors of the Company guarantee that there are no misrepresentations, misleading statements or material omissions in the content hereof, and will bear legal responsibility for the authenticity, accuracy and integrity of such content according to law.</w:t>
      </w: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main financial data of ACM Research (Shanghai), Inc. (the “Company”) in 2021 contained herein is the preliminary accounting data without being audited by an accounting firm, subject to the Company’s 2021 annual report. Investors should pay attention to investment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Main financial data and indicators in 2021</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9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Unit: RMB’0,000 or ’0,000 Shares</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6"/>
              </w:rPr>
              <w:t>Item</w:t>
            </w:r>
          </w:p>
        </w:tc>
        <w:tc>
          <w:tcPr>
            <w:tcW w:w="2180" w:type="dxa"/>
            <w:vAlign w:val="bottom"/>
            <w:tcBorders>
              <w:bottom w:val="single" w:sz="8" w:color="auto"/>
              <w:right w:val="single" w:sz="8" w:color="auto"/>
            </w:tcBorders>
            <w:shd w:val="clear" w:color="auto" w:fill="E6E6E6"/>
          </w:tcPr>
          <w:p>
            <w:pPr>
              <w:jc w:val="right"/>
              <w:ind w:right="410"/>
              <w:spacing w:after="0"/>
              <w:rPr>
                <w:sz w:val="20"/>
                <w:szCs w:val="20"/>
                <w:color w:val="auto"/>
              </w:rPr>
            </w:pPr>
            <w:r>
              <w:rPr>
                <w:rFonts w:ascii="Arial" w:cs="Arial" w:eastAsia="Arial" w:hAnsi="Arial"/>
                <w:sz w:val="18"/>
                <w:szCs w:val="18"/>
                <w:color w:val="auto"/>
              </w:rPr>
              <w:t>Reporting period</w:t>
            </w:r>
          </w:p>
        </w:tc>
        <w:tc>
          <w:tcPr>
            <w:tcW w:w="2180" w:type="dxa"/>
            <w:vAlign w:val="bottom"/>
            <w:tcBorders>
              <w:bottom w:val="single" w:sz="8" w:color="auto"/>
              <w:right w:val="single" w:sz="8" w:color="auto"/>
            </w:tcBorders>
            <w:shd w:val="clear" w:color="auto" w:fill="E6E6E6"/>
          </w:tcPr>
          <w:p>
            <w:pPr>
              <w:jc w:val="right"/>
              <w:ind w:right="90"/>
              <w:spacing w:after="0"/>
              <w:rPr>
                <w:sz w:val="20"/>
                <w:szCs w:val="20"/>
                <w:color w:val="auto"/>
              </w:rPr>
            </w:pPr>
            <w:r>
              <w:rPr>
                <w:rFonts w:ascii="Arial" w:cs="Arial" w:eastAsia="Arial" w:hAnsi="Arial"/>
                <w:sz w:val="18"/>
                <w:szCs w:val="18"/>
                <w:color w:val="auto"/>
                <w:w w:val="97"/>
              </w:rPr>
              <w:t>Same period of prior year</w:t>
            </w:r>
          </w:p>
        </w:tc>
        <w:tc>
          <w:tcPr>
            <w:tcW w:w="2980" w:type="dxa"/>
            <w:vAlign w:val="bottom"/>
            <w:tcBorders>
              <w:bottom w:val="single" w:sz="8" w:color="auto"/>
              <w:right w:val="single" w:sz="8" w:color="auto"/>
            </w:tcBorders>
            <w:shd w:val="clear" w:color="auto" w:fill="E6E6E6"/>
          </w:tcPr>
          <w:p>
            <w:pPr>
              <w:jc w:val="right"/>
              <w:ind w:right="990"/>
              <w:spacing w:after="0"/>
              <w:rPr>
                <w:sz w:val="20"/>
                <w:szCs w:val="20"/>
                <w:color w:val="auto"/>
              </w:rPr>
            </w:pPr>
            <w:r>
              <w:rPr>
                <w:rFonts w:ascii="Arial" w:cs="Arial" w:eastAsia="Arial" w:hAnsi="Arial"/>
                <w:sz w:val="18"/>
                <w:szCs w:val="18"/>
                <w:color w:val="auto"/>
              </w:rPr>
              <w:t>Change (%)</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0"/>
              </w:rPr>
              <w:t>Total operating income</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162,086.91</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100,747.18</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5"/>
              </w:rPr>
              <w:t>Operating profit</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26,795.66</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22,271.03</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6"/>
              </w:rPr>
              <w:t>Total profit</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26,874.38</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22,302.41</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1"/>
              </w:rPr>
              <w:t>Net profit attributable to owners of the parent</w:t>
            </w:r>
          </w:p>
        </w:tc>
        <w:tc>
          <w:tcPr>
            <w:tcW w:w="21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26,624.82</w:t>
            </w:r>
          </w:p>
        </w:tc>
        <w:tc>
          <w:tcPr>
            <w:tcW w:w="21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19,676.99</w:t>
            </w:r>
          </w:p>
        </w:tc>
        <w:tc>
          <w:tcPr>
            <w:tcW w:w="29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0"/>
              </w:rPr>
              <w:t>company</w:t>
            </w:r>
          </w:p>
        </w:tc>
        <w:tc>
          <w:tcPr>
            <w:tcW w:w="21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91"/>
              </w:rPr>
              <w:t>Net profit attributable to owners of the parent</w:t>
            </w:r>
          </w:p>
        </w:tc>
        <w:tc>
          <w:tcPr>
            <w:tcW w:w="21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19,473.43</w:t>
            </w:r>
          </w:p>
        </w:tc>
        <w:tc>
          <w:tcPr>
            <w:tcW w:w="21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9,243.78</w:t>
            </w:r>
          </w:p>
        </w:tc>
        <w:tc>
          <w:tcPr>
            <w:tcW w:w="29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37"/>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1"/>
              </w:rPr>
              <w:t>company after deducting non-recurring profit or loss</w:t>
            </w:r>
          </w:p>
        </w:tc>
        <w:tc>
          <w:tcPr>
            <w:tcW w:w="218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0"/>
              </w:rPr>
              <w:t>Basic earnings per share (RMB)</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87"/>
              </w:rPr>
              <w:t>Weighted average return on net assets</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Decrease by 3.11%</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spacing w:after="0"/>
              <w:rPr>
                <w:sz w:val="19"/>
                <w:szCs w:val="19"/>
                <w:color w:val="auto"/>
              </w:rPr>
            </w:pPr>
          </w:p>
        </w:tc>
        <w:tc>
          <w:tcPr>
            <w:tcW w:w="2180" w:type="dxa"/>
            <w:vAlign w:val="bottom"/>
            <w:tcBorders>
              <w:bottom w:val="single" w:sz="8" w:color="auto"/>
              <w:right w:val="single" w:sz="8" w:color="auto"/>
            </w:tcBorders>
            <w:shd w:val="clear" w:color="auto" w:fill="E6E6E6"/>
          </w:tcPr>
          <w:p>
            <w:pPr>
              <w:jc w:val="right"/>
              <w:ind w:right="450"/>
              <w:spacing w:after="0"/>
              <w:rPr>
                <w:sz w:val="20"/>
                <w:szCs w:val="20"/>
                <w:color w:val="auto"/>
              </w:rPr>
            </w:pPr>
            <w:r>
              <w:rPr>
                <w:rFonts w:ascii="Arial" w:cs="Arial" w:eastAsia="Arial" w:hAnsi="Arial"/>
                <w:sz w:val="18"/>
                <w:szCs w:val="18"/>
                <w:color w:val="auto"/>
              </w:rPr>
              <w:t>Ending balance</w:t>
            </w:r>
          </w:p>
        </w:tc>
        <w:tc>
          <w:tcPr>
            <w:tcW w:w="2180" w:type="dxa"/>
            <w:vAlign w:val="bottom"/>
            <w:tcBorders>
              <w:bottom w:val="single" w:sz="8" w:color="auto"/>
              <w:right w:val="single" w:sz="8" w:color="auto"/>
            </w:tcBorders>
            <w:shd w:val="clear" w:color="auto" w:fill="E6E6E6"/>
          </w:tcPr>
          <w:p>
            <w:pPr>
              <w:jc w:val="right"/>
              <w:ind w:right="350"/>
              <w:spacing w:after="0"/>
              <w:rPr>
                <w:sz w:val="20"/>
                <w:szCs w:val="20"/>
                <w:color w:val="auto"/>
              </w:rPr>
            </w:pPr>
            <w:r>
              <w:rPr>
                <w:rFonts w:ascii="Arial" w:cs="Arial" w:eastAsia="Arial" w:hAnsi="Arial"/>
                <w:sz w:val="18"/>
                <w:szCs w:val="18"/>
                <w:color w:val="auto"/>
              </w:rPr>
              <w:t>Beginning balance</w:t>
            </w:r>
          </w:p>
        </w:tc>
        <w:tc>
          <w:tcPr>
            <w:tcW w:w="2980" w:type="dxa"/>
            <w:vAlign w:val="bottom"/>
            <w:tcBorders>
              <w:bottom w:val="single" w:sz="8" w:color="auto"/>
              <w:right w:val="single" w:sz="8" w:color="auto"/>
            </w:tcBorders>
            <w:shd w:val="clear" w:color="auto" w:fill="E6E6E6"/>
          </w:tcPr>
          <w:p>
            <w:pPr>
              <w:jc w:val="right"/>
              <w:ind w:right="990"/>
              <w:spacing w:after="0"/>
              <w:rPr>
                <w:sz w:val="20"/>
                <w:szCs w:val="20"/>
                <w:color w:val="auto"/>
              </w:rPr>
            </w:pPr>
            <w:r>
              <w:rPr>
                <w:rFonts w:ascii="Arial" w:cs="Arial" w:eastAsia="Arial" w:hAnsi="Arial"/>
                <w:sz w:val="18"/>
                <w:szCs w:val="18"/>
                <w:color w:val="auto"/>
              </w:rPr>
              <w:t>Change (%)</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84"/>
              </w:rPr>
              <w:t>Total assets</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633,741.34</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187,241.00</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238.46</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91"/>
              </w:rPr>
              <w:t>Owners’ equity attributable to the parent company</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481,496.11</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104,867.33</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359.15</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color w:val="auto"/>
                <w:w w:val="89"/>
              </w:rPr>
              <w:t>Share capital</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43,355.71</w:t>
            </w:r>
          </w:p>
        </w:tc>
        <w:tc>
          <w:tcPr>
            <w:tcW w:w="2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39,020.13</w:t>
            </w:r>
          </w:p>
        </w:tc>
        <w:tc>
          <w:tcPr>
            <w:tcW w:w="2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2"/>
        </w:trPr>
        <w:tc>
          <w:tcPr>
            <w:tcW w:w="3900" w:type="dxa"/>
            <w:vAlign w:val="bottom"/>
            <w:tcBorders>
              <w:left w:val="single" w:sz="8" w:color="auto"/>
              <w:right w:val="single" w:sz="8" w:color="auto"/>
            </w:tcBorders>
            <w:shd w:val="clear" w:color="auto" w:fill="E6E6E6"/>
          </w:tcPr>
          <w:p>
            <w:pPr>
              <w:jc w:val="center"/>
              <w:spacing w:after="0" w:line="201" w:lineRule="exact"/>
              <w:rPr>
                <w:sz w:val="20"/>
                <w:szCs w:val="20"/>
                <w:color w:val="auto"/>
              </w:rPr>
            </w:pPr>
            <w:r>
              <w:rPr>
                <w:rFonts w:ascii="Arial" w:cs="Arial" w:eastAsia="Arial" w:hAnsi="Arial"/>
                <w:sz w:val="18"/>
                <w:szCs w:val="18"/>
                <w:color w:val="auto"/>
                <w:w w:val="89"/>
              </w:rPr>
              <w:t>Net assets per share attributable to owners of the</w:t>
            </w:r>
          </w:p>
        </w:tc>
        <w:tc>
          <w:tcPr>
            <w:tcW w:w="2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11.11</w:t>
            </w:r>
          </w:p>
        </w:tc>
        <w:tc>
          <w:tcPr>
            <w:tcW w:w="2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2.69</w:t>
            </w:r>
          </w:p>
        </w:tc>
        <w:tc>
          <w:tcPr>
            <w:tcW w:w="2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313.01</w:t>
            </w:r>
          </w:p>
        </w:tc>
        <w:tc>
          <w:tcPr>
            <w:tcW w:w="0" w:type="dxa"/>
            <w:vAlign w:val="bottom"/>
          </w:tcPr>
          <w:p>
            <w:pPr>
              <w:spacing w:after="0"/>
              <w:rPr>
                <w:sz w:val="1"/>
                <w:szCs w:val="1"/>
                <w:color w:val="auto"/>
              </w:rPr>
            </w:pPr>
          </w:p>
        </w:tc>
      </w:tr>
      <w:tr>
        <w:trPr>
          <w:trHeight w:val="122"/>
        </w:trPr>
        <w:tc>
          <w:tcPr>
            <w:tcW w:w="3900" w:type="dxa"/>
            <w:vAlign w:val="bottom"/>
            <w:tcBorders>
              <w:left w:val="single" w:sz="8" w:color="auto"/>
              <w:right w:val="single" w:sz="8" w:color="auto"/>
            </w:tcBorders>
            <w:vMerge w:val="restart"/>
            <w:shd w:val="clear" w:color="auto" w:fill="E6E6E6"/>
          </w:tcPr>
          <w:p>
            <w:pPr>
              <w:jc w:val="center"/>
              <w:spacing w:after="0"/>
              <w:rPr>
                <w:sz w:val="20"/>
                <w:szCs w:val="20"/>
                <w:color w:val="auto"/>
              </w:rPr>
            </w:pPr>
            <w:r>
              <w:rPr>
                <w:rFonts w:ascii="Arial" w:cs="Arial" w:eastAsia="Arial" w:hAnsi="Arial"/>
                <w:sz w:val="18"/>
                <w:szCs w:val="18"/>
                <w:color w:val="auto"/>
                <w:w w:val="92"/>
              </w:rPr>
              <w:t>parent company (RMB)</w:t>
            </w:r>
          </w:p>
        </w:tc>
        <w:tc>
          <w:tcPr>
            <w:tcW w:w="218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00" w:type="dxa"/>
            <w:vAlign w:val="bottom"/>
            <w:tcBorders>
              <w:left w:val="single" w:sz="8" w:color="auto"/>
              <w:bottom w:val="single" w:sz="8" w:color="auto"/>
              <w:right w:val="single" w:sz="8" w:color="auto"/>
            </w:tcBorders>
            <w:vMerge w:val="continue"/>
            <w:shd w:val="clear" w:color="auto" w:fill="E6E6E6"/>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8"/>
        </w:trPr>
        <w:tc>
          <w:tcPr>
            <w:tcW w:w="39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83" w:right="3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21"/>
          <w:szCs w:val="21"/>
          <w:color w:val="auto"/>
        </w:rPr>
        <w:t>Note: 1.The Ministry of Finance promulgated Accounting Standards for Business Enterprises No.21-Leasing (2018 [35] No.) in 2018. The company conducted accounting and prepared statements according to the requirements of the new lease standards from January 1, 2021, and adjusted according to the financial statements at the beginning of the year for the first time. The adjusted total assets at the beginning of the reporting period were RMB 1,872,410,000. Besides, the beginning balance of the reporting period is the same as the ending balance of the prior year legally disclosed.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 The above financial data and indicators are presented on a consolidated basis without audit, subject to the Company’s 2021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Description of operating results and financial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Operating results, financial conditions and main factors affecting operating results during the reporting period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reporting period, the Company had: a total operating income amounting to RMB1,620,869,100, representing a YoY increase of 60.88%; net profit attributable to owners of the parent company amounting to RMB266,248,200, a YoY increase of 35.31%; net profit attributable to owners of the parent company after deducting non-recurring profit or loss amounting to RMB194,734,300, a YoY increase of 110.67%; and basic earnings per share amounting to RMB0.68, a YoY increase of 36.00%.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reporting period, the Company had: total assets amounting to RMB6,337,413,400, an increase of 238.46% over the beginning of the reporting period; owners’ equity attributable to the parent company amounting to RMB4,814,961,100, an increase of 359.15% over the beginning of the reporting period; net assets per share attributable to owners of the parent company amounting to RMB11.11, an increase of 313.01% over the beginning of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Description of main factors affecting operating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Always adhering to the R&amp;D strategy of differentiated competition and innovation, the Company has accumulated a series of technologies through independent R&amp;D, with the products having outstanding competitive advantages. During the reporting period, benefited from the continuous growth of the semiconductor industry market demand, the Company’s operating income increased significantly compared with the same period of prior year, driving significant YoY increases in the net profit attributable to owners of the parent company and the net profit attributable to owners of the parent company after deducting non-recurring profit or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(II) Description of main reasons for the change in major financial data and indicators by 30% or more</w:t>
      </w:r>
    </w:p>
    <w:p>
      <w:pPr>
        <w:spacing w:after="0" w:line="225" w:lineRule="exact"/>
        <w:rPr>
          <w:sz w:val="20"/>
          <w:szCs w:val="20"/>
          <w:color w:val="auto"/>
        </w:rPr>
      </w:pPr>
    </w:p>
    <w:p>
      <w:pPr>
        <w:jc w:val="both"/>
        <w:ind w:firstLine="8"/>
        <w:spacing w:after="0" w:line="279" w:lineRule="auto"/>
        <w:tabs>
          <w:tab w:leader="none" w:pos="20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2021, the Company’s operating income amounted to RMB1.621 billion, with a YoY increase of 60.88%, mainly due to the expansion of market demand, and the continuous growth of sales orders and production capacity, further improving the operating income. Meanwhile, the Company continued its development strategy of product diversification, in response to which the Company’s operating income from semiconductor cleaning equipment, semiconductor electroplating equipment and advanced packaging wet equipment in 2021 increased significantly.</w:t>
      </w:r>
    </w:p>
    <w:p>
      <w:pPr>
        <w:spacing w:after="0" w:line="171" w:lineRule="exact"/>
        <w:rPr>
          <w:rFonts w:ascii="Arial" w:cs="Arial" w:eastAsia="Arial" w:hAnsi="Arial"/>
          <w:sz w:val="17"/>
          <w:szCs w:val="17"/>
          <w:color w:val="auto"/>
        </w:rPr>
      </w:pPr>
    </w:p>
    <w:p>
      <w:pPr>
        <w:jc w:val="both"/>
        <w:ind w:firstLine="8"/>
        <w:spacing w:after="0" w:line="263"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2021, the net profit attributable to owners of the parent company increased by 35.31% year over year, the net profit attributable to owners of the parent company after deducting non-recurring profit or loss increased by 110.67% year over year, and the basic earnings per share increased by 36.00% year over year, mainly due to the fast growth of the Company’s operating income.</w:t>
      </w:r>
    </w:p>
    <w:p>
      <w:pPr>
        <w:spacing w:after="0" w:line="183" w:lineRule="exact"/>
        <w:rPr>
          <w:rFonts w:ascii="Arial" w:cs="Arial" w:eastAsia="Arial" w:hAnsi="Arial"/>
          <w:sz w:val="18"/>
          <w:szCs w:val="18"/>
          <w:color w:val="auto"/>
        </w:rPr>
      </w:pPr>
    </w:p>
    <w:p>
      <w:pPr>
        <w:ind w:right="34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total assets and the owners’ equity attributable to the parent company increased by 238.46% and 359.15% respectively over the beginning of the reporting period, mainly due to the Company’s receipt of the initial public offering proceeds and the asset growth with the increase of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Risk warning</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main financial data of 2021 contained herein represents preliminary accounting data without being audited by an accounting firm and may be different from the data disclosed in the 2021 annual report. The 2021 annual report of the Company shall prevail. Investors should pay attention to investment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Please take note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ACM Research (Shanghai),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2"/>
      <w:numFmt w:val="decimal"/>
      <w:start w:val="10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2022-03-02T16:07:54Z</dcterms:created>
  <dcterms:modified xsi:type="dcterms:W3CDTF">2022-03-02T16:07:54Z</dcterms:modified>
</cp:coreProperties>
</file>