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0" w:after="0"/>
        <w:jc w:val="left"/>
        <w:rPr/>
      </w:pPr>
      <w:r>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July 21, 2023</w:t>
      </w:r>
    </w:p>
    <w:p>
      <w:pPr>
        <w:pStyle w:val="TextBody"/>
        <w:bidi w:val="0"/>
        <w:spacing w:before="0" w:after="0"/>
        <w:jc w:val="left"/>
        <w:rPr/>
      </w:pPr>
      <w:r>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ACM Research, Inc.</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spacing w:before="0" w:after="0"/>
        <w:jc w:val="left"/>
        <w:rPr/>
      </w:pPr>
      <w:r>
        <w:rPr/>
        <w:t> </w:t>
      </w:r>
    </w:p>
    <w:tbl>
      <w:tblPr>
        <w:tblW w:w="8805" w:type="dxa"/>
        <w:jc w:val="left"/>
        <w:tblInd w:w="0" w:type="dxa"/>
        <w:tblLayout w:type="fixed"/>
        <w:tblCellMar>
          <w:top w:w="0" w:type="dxa"/>
          <w:left w:w="0" w:type="dxa"/>
          <w:bottom w:w="0" w:type="dxa"/>
          <w:right w:w="0" w:type="dxa"/>
        </w:tblCellMar>
      </w:tblPr>
      <w:tblGrid>
        <w:gridCol w:w="3740"/>
        <w:gridCol w:w="60"/>
        <w:gridCol w:w="2195"/>
        <w:gridCol w:w="60"/>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color w:val="000000"/>
          <w:sz w:val="20"/>
        </w:rPr>
        <w:t>Registrant’s telephone number, including area code:</w:t>
      </w:r>
      <w:r>
        <w:rPr>
          <w:rFonts w:ascii="Times New Roman" w:hAnsi="Times New Roman"/>
          <w:sz w:val="20"/>
        </w:rPr>
        <w:t> </w:t>
      </w:r>
      <w:r>
        <w:rPr>
          <w:rFonts w:ascii="Times New Roman" w:hAnsi="Times New Roman"/>
          <w:b/>
          <w:color w:val="000000"/>
          <w:sz w:val="20"/>
        </w:rPr>
        <w:t>(510) 445-3700</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tbl>
      <w:tblPr>
        <w:tblW w:w="4870" w:type="dxa"/>
        <w:jc w:val="left"/>
        <w:tblInd w:w="0" w:type="dxa"/>
        <w:tblLayout w:type="fixed"/>
        <w:tblCellMar>
          <w:top w:w="0" w:type="dxa"/>
          <w:left w:w="0" w:type="dxa"/>
          <w:bottom w:w="0" w:type="dxa"/>
          <w:right w:w="0" w:type="dxa"/>
        </w:tblCellMar>
      </w:tblPr>
      <w:tblGrid>
        <w:gridCol w:w="875"/>
        <w:gridCol w:w="3995"/>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4.01.</w:t>
            </w:r>
          </w:p>
        </w:tc>
        <w:tc>
          <w:tcPr>
            <w:tcW w:w="3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Changes in Registrant’s Certifying Accountant.</w:t>
            </w:r>
          </w:p>
        </w:tc>
      </w:tr>
    </w:tbl>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21, 2023, ACM Research, Inc. (the “Company”) was informed by Armanino LLP (“Armanino”), the Company’s current independent registered public accounting firm, that Armanino will resign as the Company’s independent auditor effective as of the earlier of (a) the date the Company engages a new independent registered public accounting firm or (b) the filing of the Company’s Quarterly Report on Form 10-Q for the fiscal quarter ended September 30, 2023.</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Armanino advised the Company that its decision to resign was due to Armanino’s decision to exit from the practice of providing financial statement audit services to all public companies.  Armanino is not required to and did not seek the Company’s consent to its decision to resign as the Company’s independent registered public accounting firm. As a result, neither the Company’s Board of Directors nor the Company’s Audit Committee participated in Armanino’s decision to resign.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light of Armanino’s determination, the Audit Committee of the Company’s Board of Directors has initiated a process to select and appoint a new accounting firm to serve as the Company’s independent registered public accountant commencing with the audit of the Company’s financial statements for the fiscal year ending December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Armanino’s audit report on the Company's consolidated financial statements as of and for the year ended December 31, 2022 did not contain an adverse opinion or a disclaimer of opinion, and was not qualified or modified as to uncertainty, audit scope or accounting principles.  Armanino was first appointed as the Company’s independent registered public accountant for the fiscal year ended December 31, 2022, and did not audit the Company’s financial statements for the fiscal year ended December 31, 2021 or any prior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disclosed in the Company’s Annual Report on Form 10-K for the fiscal year ended December 31, 2022, Armanino issued an adverse opinion on the Company’s internal control over financial reporting for the fiscal year ended December 31, 2022, as a result of material weaknesses identified by Armanino and the Company’s management.  There were not any disagreements or differences of opinion between Armanino and the Company with respect to these material weaknesses or Armanino’s adverse opinion on the Company’s internal control over financial reporting.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year ended December 31, 2022, and through the date of Armanino’s notification of resignation, there were no (a) disagreements with Armanino on any matter of accounting principles or practices, financial statement disclosure, or auditing scope or procedure, which disagreements, if not resolved to Armanino’s satisfaction, would have caused Armanino to make reference to the subject matter thereof in connection with its reports for such periods; or (b) except as described in the preceding paragraph, reportable events, as described under Item 304(a)(1)(v) of Regulation 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accordance with Item 304(a)(3) of Regulation S-K, the Company provided Armanino with a copy of the disclosures it is making in this Current Report on Form 8-K and requested from Armanino a letter addressed to the Securities and Exchange Commission indicating whether it agrees with such disclosures. A copy of Armanino’s letter dated July 27, 2023 is attached as Exhibit 16.1 hereto.</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28" w:type="dxa"/>
          <w:right w:w="0" w:type="dxa"/>
        </w:tblCellMar>
      </w:tblPr>
      <w:tblGrid>
        <w:gridCol w:w="650"/>
        <w:gridCol w:w="60"/>
        <w:gridCol w:w="594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pPr>
            <w:hyperlink w:anchor="brhc20056458_ex16-1.htm">
              <w:r>
                <w:rPr>
                  <w:rStyle w:val="InternetLink"/>
                  <w:rFonts w:ascii="Times New Roman" w:hAnsi="Times New Roman"/>
                  <w:sz w:val="20"/>
                </w:rPr>
                <w:t>16.1</w:t>
              </w:r>
            </w:hyperlink>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Letter from Armanino LLP dated July 27, 2023.</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055" w:type="dxa"/>
        <w:jc w:val="left"/>
        <w:tblInd w:w="0" w:type="dxa"/>
        <w:tblLayout w:type="fixed"/>
        <w:tblCellMar>
          <w:top w:w="0" w:type="dxa"/>
          <w:left w:w="0" w:type="dxa"/>
          <w:bottom w:w="0" w:type="dxa"/>
          <w:right w:w="0" w:type="dxa"/>
        </w:tblCellMar>
      </w:tblPr>
      <w:tblGrid>
        <w:gridCol w:w="1715"/>
        <w:gridCol w:w="320"/>
        <w:gridCol w:w="3020"/>
      </w:tblGrid>
      <w:tr>
        <w:trPr/>
        <w:tc>
          <w:tcPr>
            <w:tcW w:w="171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71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17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7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July 27, 2023</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3</w:t>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jc w:val="left"/>
        <w:rPr/>
      </w:pPr>
      <w:r>
        <w:rPr/>
      </w:r>
      <w:bookmarkStart w:id="0" w:name="brhc20056458_ex16-1.htm"/>
      <w:bookmarkStart w:id="1" w:name="ksbrhc20056458_ex161"/>
      <w:bookmarkStart w:id="2" w:name="brhc20056458_ex16-1.htm"/>
      <w:bookmarkStart w:id="3" w:name="ksbrhc20056458_ex161"/>
      <w:bookmarkEnd w:id="2"/>
      <w:bookmarkEnd w:id="3"/>
      <w:r>
        <w:br w:type="page"/>
      </w:r>
    </w:p>
    <w:p>
      <w:pPr>
        <w:pStyle w:val="TextBody"/>
        <w:bidi w:val="0"/>
        <w:spacing w:before="0" w:after="0"/>
        <w:ind w:left="100" w:right="0" w:hanging="0"/>
        <w:jc w:val="right"/>
        <w:rPr>
          <w:rFonts w:ascii="Times New Roman" w:hAnsi="Times New Roman"/>
          <w:b/>
          <w:sz w:val="20"/>
        </w:rPr>
      </w:pPr>
      <w:r>
        <w:rPr>
          <w:rFonts w:ascii="Times New Roman" w:hAnsi="Times New Roman"/>
          <w:b/>
          <w:sz w:val="20"/>
        </w:rPr>
        <w:t>Exhibit 16.1</w:t>
      </w:r>
    </w:p>
    <w:p>
      <w:pPr>
        <w:pStyle w:val="TextBody"/>
        <w:bidi w:val="0"/>
        <w:spacing w:before="0" w:after="0"/>
        <w:jc w:val="left"/>
        <w:rPr>
          <w:sz w:val="20"/>
        </w:rPr>
      </w:pPr>
      <w:r>
        <w:rPr>
          <w:sz w:val="20"/>
        </w:rPr>
      </w:r>
      <w:bookmarkStart w:id="4" w:name="zff469f316a1c49e2a68bb9797d673106"/>
      <w:bookmarkStart w:id="5" w:name="zff469f316a1c49e2a68bb9797d673106"/>
      <w:bookmarkEnd w:id="5"/>
    </w:p>
    <w:tbl>
      <w:tblPr>
        <w:tblW w:w="4520" w:type="dxa"/>
        <w:jc w:val="left"/>
        <w:tblInd w:w="0" w:type="dxa"/>
        <w:tblLayout w:type="fixed"/>
        <w:tblCellMar>
          <w:top w:w="0" w:type="dxa"/>
          <w:left w:w="0" w:type="dxa"/>
          <w:bottom w:w="0" w:type="dxa"/>
          <w:right w:w="0" w:type="dxa"/>
        </w:tblCellMar>
      </w:tblPr>
      <w:tblGrid>
        <w:gridCol w:w="2360"/>
        <w:gridCol w:w="2160"/>
      </w:tblGrid>
      <w:tr>
        <w:trPr/>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Armanino LLP</w:t>
            </w:r>
          </w:p>
          <w:p>
            <w:pPr>
              <w:pStyle w:val="TableContents"/>
              <w:bidi w:val="0"/>
              <w:spacing w:before="0" w:after="0"/>
              <w:jc w:val="left"/>
              <w:rPr>
                <w:rFonts w:ascii="Times New Roman" w:hAnsi="Times New Roman"/>
                <w:sz w:val="20"/>
              </w:rPr>
            </w:pPr>
            <w:r>
              <w:rPr>
                <w:rFonts w:ascii="Times New Roman" w:hAnsi="Times New Roman"/>
                <w:sz w:val="20"/>
              </w:rPr>
              <w:t>2700 Camino Ramon</w:t>
            </w:r>
          </w:p>
          <w:p>
            <w:pPr>
              <w:pStyle w:val="TableContents"/>
              <w:bidi w:val="0"/>
              <w:spacing w:before="0" w:after="0"/>
              <w:jc w:val="left"/>
              <w:rPr>
                <w:rFonts w:ascii="Times New Roman" w:hAnsi="Times New Roman"/>
                <w:sz w:val="20"/>
              </w:rPr>
            </w:pPr>
            <w:r>
              <w:rPr>
                <w:rFonts w:ascii="Times New Roman" w:hAnsi="Times New Roman"/>
                <w:sz w:val="20"/>
              </w:rPr>
              <w:t>Suite 350</w:t>
            </w:r>
          </w:p>
          <w:p>
            <w:pPr>
              <w:pStyle w:val="TableContents"/>
              <w:bidi w:val="0"/>
              <w:spacing w:before="0" w:after="0"/>
              <w:jc w:val="left"/>
              <w:rPr>
                <w:rFonts w:ascii="Times New Roman" w:hAnsi="Times New Roman"/>
                <w:sz w:val="20"/>
              </w:rPr>
            </w:pPr>
            <w:r>
              <w:rPr>
                <w:rFonts w:ascii="Times New Roman" w:hAnsi="Times New Roman"/>
                <w:sz w:val="20"/>
              </w:rPr>
              <w:t>San Ramon, CA 94583-5004</w:t>
            </w:r>
          </w:p>
          <w:p>
            <w:pPr>
              <w:pStyle w:val="TableContents"/>
              <w:bidi w:val="0"/>
              <w:spacing w:before="0" w:after="0"/>
              <w:jc w:val="left"/>
              <w:rPr>
                <w:rFonts w:ascii="Times New Roman" w:hAnsi="Times New Roman"/>
                <w:sz w:val="20"/>
              </w:rPr>
            </w:pPr>
            <w:r>
              <w:rPr>
                <w:rFonts w:ascii="Times New Roman" w:hAnsi="Times New Roman"/>
                <w:sz w:val="20"/>
              </w:rPr>
              <w:t>925 790 2600  main</w:t>
            </w:r>
          </w:p>
          <w:p>
            <w:pPr>
              <w:pStyle w:val="TableContents"/>
              <w:bidi w:val="0"/>
              <w:spacing w:before="0" w:after="0"/>
              <w:jc w:val="left"/>
              <w:rPr/>
            </w:pPr>
            <w:r>
              <w:rPr>
                <w:rFonts w:ascii="Times New Roman" w:hAnsi="Times New Roman"/>
                <w:sz w:val="20"/>
              </w:rPr>
              <w:t>925 790 2601</w:t>
            </w:r>
            <w:r>
              <w:rPr/>
              <w:t xml:space="preserve">  </w:t>
            </w:r>
            <w:r>
              <w:rPr>
                <w:rFonts w:ascii="Times New Roman" w:hAnsi="Times New Roman"/>
                <w:sz w:val="20"/>
              </w:rPr>
              <w:t>fax</w:t>
            </w:r>
          </w:p>
          <w:p>
            <w:pPr>
              <w:pStyle w:val="TableContents"/>
              <w:bidi w:val="0"/>
              <w:spacing w:before="0" w:after="0"/>
              <w:jc w:val="left"/>
              <w:rPr>
                <w:rFonts w:ascii="Times New Roman" w:hAnsi="Times New Roman"/>
                <w:sz w:val="20"/>
              </w:rPr>
            </w:pPr>
            <w:r>
              <w:rPr>
                <w:rFonts w:ascii="Times New Roman" w:hAnsi="Times New Roman"/>
                <w:sz w:val="20"/>
              </w:rPr>
              <w:t>armanino.com</w:t>
            </w:r>
          </w:p>
        </w:tc>
        <w:tc>
          <w:tcPr>
            <w:tcW w:w="2160" w:type="dxa"/>
            <w:tcBorders/>
            <w:vAlign w:val="center"/>
          </w:tcPr>
          <w:p>
            <w:pPr>
              <w:pStyle w:val="TableContents"/>
              <w:bidi w:val="0"/>
              <w:spacing w:before="0" w:after="0"/>
              <w:jc w:val="right"/>
              <w:rPr/>
            </w:pPr>
            <w:r>
              <w:rPr/>
              <w:drawing>
                <wp:inline distT="0" distB="0" distL="0" distR="0">
                  <wp:extent cx="13716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00050"/>
                          </a:xfrm>
                          <a:prstGeom prst="rect">
                            <a:avLst/>
                          </a:prstGeom>
                        </pic:spPr>
                      </pic:pic>
                    </a:graphicData>
                  </a:graphic>
                </wp:inline>
              </w:drawing>
            </w:r>
          </w:p>
          <w:p>
            <w:pPr>
              <w:pStyle w:val="TableContents"/>
              <w:bidi w:val="0"/>
              <w:spacing w:before="0" w:after="0"/>
              <w:jc w:val="left"/>
              <w:rPr/>
            </w:pPr>
            <w:r>
              <w:rPr/>
              <w:t> </w:t>
            </w:r>
          </w:p>
        </w:tc>
      </w:tr>
    </w:tbl>
    <w:p>
      <w:pPr>
        <w:pStyle w:val="TextBody"/>
        <w:bidi w:val="0"/>
        <w:spacing w:before="0" w:after="0"/>
        <w:ind w:left="100" w:right="0" w:hanging="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July 27, 2023</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sz w:val="20"/>
        </w:rPr>
      </w:pPr>
      <w:r>
        <w:rPr>
          <w:rFonts w:ascii="Times New Roman" w:hAnsi="Times New Roman"/>
          <w:sz w:val="20"/>
        </w:rPr>
        <w:t>Securities and Exchange Commission 100 F Street N.E.</w:t>
      </w:r>
    </w:p>
    <w:p>
      <w:pPr>
        <w:pStyle w:val="TextBody"/>
        <w:bidi w:val="0"/>
        <w:spacing w:before="0" w:after="0"/>
        <w:jc w:val="left"/>
        <w:rPr>
          <w:rFonts w:ascii="Times New Roman" w:hAnsi="Times New Roman"/>
          <w:sz w:val="20"/>
        </w:rPr>
      </w:pPr>
      <w:r>
        <w:rPr>
          <w:rFonts w:ascii="Times New Roman" w:hAnsi="Times New Roman"/>
          <w:sz w:val="20"/>
        </w:rPr>
        <w:t>Washington D.C. 20549</w:t>
      </w:r>
    </w:p>
    <w:p>
      <w:pPr>
        <w:pStyle w:val="TextBody"/>
        <w:bidi w:val="0"/>
        <w:spacing w:before="0" w:after="0"/>
        <w:jc w:val="left"/>
        <w:rPr>
          <w:rFonts w:ascii="Times New Roman" w:hAnsi="Times New Roman"/>
          <w:sz w:val="20"/>
        </w:rPr>
      </w:pPr>
      <w:r>
        <w:rPr>
          <w:rFonts w:ascii="Times New Roman" w:hAnsi="Times New Roman"/>
          <w:sz w:val="20"/>
        </w:rPr>
        <w:t>Commissioners: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sz w:val="20"/>
        </w:rPr>
      </w:pPr>
      <w:r>
        <w:rPr>
          <w:rFonts w:ascii="Times New Roman" w:hAnsi="Times New Roman"/>
          <w:sz w:val="20"/>
        </w:rPr>
        <w:t>We have read item 4.01 of Form 8-K of ACM Research, Inc dated July 27, 2023, and agree with the statements concerning our firm contained therein. We have no basis to agree or disagree with other statements of the registrant contained herein.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 w:name="zec00b55f88134c6182b10737205d9476"/>
      <w:bookmarkStart w:id="7" w:name="zec00b55f88134c6182b10737205d9476"/>
      <w:bookmarkEnd w:id="7"/>
    </w:p>
    <w:tbl>
      <w:tblPr>
        <w:tblW w:w="2835" w:type="dxa"/>
        <w:jc w:val="left"/>
        <w:tblInd w:w="0" w:type="dxa"/>
        <w:tblLayout w:type="fixed"/>
        <w:tblCellMar>
          <w:top w:w="0" w:type="dxa"/>
          <w:left w:w="0" w:type="dxa"/>
          <w:bottom w:w="0" w:type="dxa"/>
          <w:right w:w="0" w:type="dxa"/>
        </w:tblCellMar>
      </w:tblPr>
      <w:tblGrid>
        <w:gridCol w:w="60"/>
        <w:gridCol w:w="2775"/>
      </w:tblGrid>
      <w:tr>
        <w:trPr/>
        <w:tc>
          <w:tcPr>
            <w:tcW w:w="6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0"/>
              <w:jc w:val="left"/>
              <w:rPr/>
            </w:pPr>
            <w:r>
              <w:rPr/>
              <w:drawing>
                <wp:inline distT="0" distB="0" distL="0" distR="0">
                  <wp:extent cx="17240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409575"/>
                          </a:xfrm>
                          <a:prstGeom prst="rect">
                            <a:avLst/>
                          </a:prstGeom>
                        </pic:spPr>
                      </pic:pic>
                    </a:graphicData>
                  </a:graphic>
                </wp:inline>
              </w:drawing>
            </w:r>
            <w:r>
              <w:rPr/>
              <w:t xml:space="preserve"> </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16"/>
              </w:rPr>
            </w:pPr>
            <w:r>
              <w:rPr>
                <w:rFonts w:ascii="Times New Roman" w:hAnsi="Times New Roman"/>
                <w:sz w:val="20"/>
              </w:rPr>
              <w:t xml:space="preserve">Armanino </w:t>
            </w:r>
            <w:r>
              <w:rPr>
                <w:rFonts w:ascii="Times New Roman" w:hAnsi="Times New Roman"/>
                <w:sz w:val="16"/>
              </w:rPr>
              <w:t>LLP</w:t>
            </w:r>
          </w:p>
          <w:p>
            <w:pPr>
              <w:pStyle w:val="TableContents"/>
              <w:bidi w:val="0"/>
              <w:spacing w:before="0" w:after="0"/>
              <w:jc w:val="both"/>
              <w:rPr>
                <w:rFonts w:ascii="Times New Roman" w:hAnsi="Times New Roman"/>
                <w:sz w:val="20"/>
              </w:rPr>
            </w:pPr>
            <w:r>
              <w:rPr>
                <w:rFonts w:ascii="Times New Roman" w:hAnsi="Times New Roman"/>
                <w:sz w:val="20"/>
              </w:rPr>
              <w:t>San Ramon, California</w:t>
            </w:r>
          </w:p>
        </w:tc>
      </w:tr>
    </w:tbl>
    <w:p>
      <w:pPr>
        <w:pStyle w:val="TextBody"/>
        <w:bidi w:val="0"/>
        <w:spacing w:before="0" w:after="0"/>
        <w:jc w:val="left"/>
        <w:rPr>
          <w:sz w:val="20"/>
        </w:rPr>
      </w:pPr>
      <w:r>
        <w:rPr>
          <w:sz w:val="20"/>
        </w:rPr>
      </w:r>
    </w:p>
    <w:p>
      <w:pPr>
        <w:pStyle w:val="TextBody"/>
        <w:bidi w:val="0"/>
        <w:spacing w:before="0" w:after="0"/>
        <w:jc w:val="left"/>
        <w:rPr/>
      </w:pPr>
      <w:r>
        <w:rPr/>
        <w:drawing>
          <wp:inline distT="0" distB="0" distL="0" distR="0">
            <wp:extent cx="78105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1050" cy="523875"/>
                    </a:xfrm>
                    <a:prstGeom prst="rect">
                      <a:avLst/>
                    </a:prstGeom>
                  </pic:spPr>
                </pic:pic>
              </a:graphicData>
            </a:graphic>
          </wp:inline>
        </w:drawing>
      </w:r>
      <w:r>
        <w:rPr/>
        <w:t xml:space="preserve"> </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left"/>
        <w:rPr/>
      </w:pPr>
      <w:r>
        <w:rPr/>
        <w:t> </w:t>
      </w:r>
    </w:p>
    <w:p>
      <w:pPr>
        <w:pStyle w:val="TextBody"/>
        <w:bidi w:val="0"/>
        <w:spacing w:before="0" w:after="283"/>
        <w:jc w:val="left"/>
        <w:rPr>
          <w:sz w:val="20"/>
        </w:rPr>
      </w:pPr>
      <w:r>
        <w:rPr>
          <w:sz w:val="20"/>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971</Words>
  <Characters>5296</Characters>
  <CharactersWithSpaces>6249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