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277495</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 SECURITIES AND EXCHANGE COMMISSION</w:t>
      </w:r>
    </w:p>
    <w:p>
      <w:pPr>
        <w:spacing w:after="0" w:line="3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Washington, D.C. 20549</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8-K</w:t>
      </w:r>
    </w:p>
    <w:p>
      <w:pPr>
        <w:spacing w:after="0" w:line="262"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CURRENT REPORT</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Section 13 or 15(d) of the Securities Exchange Act of 1934</w:t>
      </w:r>
    </w:p>
    <w:p>
      <w:pPr>
        <w:spacing w:after="0" w:line="234"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 xml:space="preserve">Date of Report (Date of earliest event reported): </w:t>
      </w:r>
      <w:r>
        <w:rPr>
          <w:rFonts w:ascii="Arial" w:cs="Arial" w:eastAsia="Arial" w:hAnsi="Arial"/>
          <w:sz w:val="18"/>
          <w:szCs w:val="18"/>
          <w:b w:val="1"/>
          <w:bCs w:val="1"/>
          <w:color w:val="auto"/>
        </w:rPr>
        <w:t>August 5, 2020</w:t>
      </w:r>
    </w:p>
    <w:p>
      <w:pPr>
        <w:spacing w:after="0" w:line="227"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ACM Research, Inc.</w:t>
      </w:r>
    </w:p>
    <w:p>
      <w:pPr>
        <w:spacing w:after="0" w:line="50" w:lineRule="exact"/>
        <w:rPr>
          <w:sz w:val="24"/>
          <w:szCs w:val="24"/>
          <w:color w:val="auto"/>
        </w:rPr>
      </w:pPr>
    </w:p>
    <w:p>
      <w:pPr>
        <w:jc w:val="center"/>
        <w:ind w:right="-19"/>
        <w:spacing w:after="0"/>
        <w:rPr>
          <w:sz w:val="20"/>
          <w:szCs w:val="20"/>
          <w:color w:val="auto"/>
        </w:rPr>
      </w:pPr>
      <w:r>
        <w:rPr>
          <w:rFonts w:ascii="Arial" w:cs="Arial" w:eastAsia="Arial" w:hAnsi="Arial"/>
          <w:sz w:val="18"/>
          <w:szCs w:val="18"/>
          <w:i w:val="1"/>
          <w:iCs w:val="1"/>
          <w:color w:val="auto"/>
        </w:rPr>
        <w:t>(Exact Name of Registrant as Specified in its Charter)</w:t>
      </w:r>
    </w:p>
    <w:p>
      <w:pPr>
        <w:sectPr>
          <w:pgSz w:w="11900" w:h="16838" w:orient="portrait"/>
          <w:cols w:equalWidth="0" w:num="1">
            <w:col w:w="11240"/>
          </w:cols>
          <w:pgMar w:left="320" w:top="778" w:right="339" w:bottom="1440" w:gutter="0" w:footer="0" w:header="0"/>
        </w:sectPr>
      </w:pPr>
    </w:p>
    <w:p>
      <w:pPr>
        <w:spacing w:after="0" w:line="232" w:lineRule="exact"/>
        <w:rPr>
          <w:sz w:val="24"/>
          <w:szCs w:val="24"/>
          <w:color w:val="auto"/>
        </w:rPr>
      </w:pPr>
    </w:p>
    <w:p>
      <w:pPr>
        <w:jc w:val="center"/>
        <w:ind w:right="200"/>
        <w:spacing w:after="0"/>
        <w:rPr>
          <w:sz w:val="20"/>
          <w:szCs w:val="20"/>
          <w:color w:val="auto"/>
        </w:rPr>
      </w:pPr>
      <w:r>
        <w:rPr>
          <w:rFonts w:ascii="Arial" w:cs="Arial" w:eastAsia="Arial" w:hAnsi="Arial"/>
          <w:sz w:val="18"/>
          <w:szCs w:val="18"/>
          <w:b w:val="1"/>
          <w:bCs w:val="1"/>
          <w:color w:val="auto"/>
        </w:rPr>
        <w:t>Delaware</w:t>
      </w:r>
    </w:p>
    <w:p>
      <w:pPr>
        <w:spacing w:after="0" w:line="27" w:lineRule="exact"/>
        <w:rPr>
          <w:sz w:val="24"/>
          <w:szCs w:val="24"/>
          <w:color w:val="auto"/>
        </w:rPr>
      </w:pPr>
    </w:p>
    <w:p>
      <w:pPr>
        <w:jc w:val="center"/>
        <w:ind w:right="200"/>
        <w:spacing w:after="0"/>
        <w:rPr>
          <w:sz w:val="20"/>
          <w:szCs w:val="20"/>
          <w:color w:val="auto"/>
        </w:rPr>
      </w:pPr>
      <w:r>
        <w:rPr>
          <w:rFonts w:ascii="Arial" w:cs="Arial" w:eastAsia="Arial" w:hAnsi="Arial"/>
          <w:sz w:val="16"/>
          <w:szCs w:val="16"/>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860"/>
        <w:spacing w:after="0"/>
        <w:rPr>
          <w:sz w:val="20"/>
          <w:szCs w:val="20"/>
          <w:color w:val="auto"/>
        </w:rPr>
      </w:pPr>
      <w:r>
        <w:rPr>
          <w:rFonts w:ascii="Arial" w:cs="Arial" w:eastAsia="Arial" w:hAnsi="Arial"/>
          <w:sz w:val="18"/>
          <w:szCs w:val="18"/>
          <w:b w:val="1"/>
          <w:bCs w:val="1"/>
          <w:color w:val="auto"/>
        </w:rPr>
        <w:t>001-38273</w:t>
      </w:r>
    </w:p>
    <w:p>
      <w:pPr>
        <w:spacing w:after="0" w:line="27" w:lineRule="exact"/>
        <w:rPr>
          <w:sz w:val="24"/>
          <w:szCs w:val="24"/>
          <w:color w:val="auto"/>
        </w:rPr>
      </w:pPr>
    </w:p>
    <w:p>
      <w:pPr>
        <w:jc w:val="center"/>
        <w:ind w:right="860"/>
        <w:spacing w:after="0"/>
        <w:rPr>
          <w:sz w:val="20"/>
          <w:szCs w:val="20"/>
          <w:color w:val="auto"/>
        </w:rPr>
      </w:pPr>
      <w:r>
        <w:rPr>
          <w:rFonts w:ascii="Arial" w:cs="Arial" w:eastAsia="Arial" w:hAnsi="Arial"/>
          <w:sz w:val="16"/>
          <w:szCs w:val="16"/>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212" w:lineRule="exact"/>
        <w:rPr>
          <w:sz w:val="24"/>
          <w:szCs w:val="24"/>
          <w:color w:val="auto"/>
        </w:rPr>
      </w:pPr>
    </w:p>
    <w:p>
      <w:pPr>
        <w:jc w:val="center"/>
        <w:ind w:right="660"/>
        <w:spacing w:after="0"/>
        <w:rPr>
          <w:sz w:val="20"/>
          <w:szCs w:val="20"/>
          <w:color w:val="auto"/>
        </w:rPr>
      </w:pPr>
      <w:r>
        <w:rPr>
          <w:rFonts w:ascii="Arial" w:cs="Arial" w:eastAsia="Arial" w:hAnsi="Arial"/>
          <w:sz w:val="18"/>
          <w:szCs w:val="18"/>
          <w:b w:val="1"/>
          <w:bCs w:val="1"/>
          <w:color w:val="auto"/>
        </w:rPr>
        <w:t>94-3290283</w:t>
      </w:r>
    </w:p>
    <w:p>
      <w:pPr>
        <w:spacing w:after="0" w:line="27" w:lineRule="exact"/>
        <w:rPr>
          <w:sz w:val="24"/>
          <w:szCs w:val="24"/>
          <w:color w:val="auto"/>
        </w:rPr>
      </w:pPr>
    </w:p>
    <w:p>
      <w:pPr>
        <w:jc w:val="center"/>
        <w:ind w:right="660"/>
        <w:spacing w:after="0"/>
        <w:rPr>
          <w:sz w:val="20"/>
          <w:szCs w:val="20"/>
          <w:color w:val="auto"/>
        </w:rPr>
      </w:pPr>
      <w:r>
        <w:rPr>
          <w:rFonts w:ascii="Arial" w:cs="Arial" w:eastAsia="Arial" w:hAnsi="Arial"/>
          <w:sz w:val="16"/>
          <w:szCs w:val="16"/>
          <w:i w:val="1"/>
          <w:iCs w:val="1"/>
          <w:color w:val="auto"/>
        </w:rPr>
        <w:t>(IRS Employer Identification No.)</w:t>
      </w:r>
    </w:p>
    <w:p>
      <w:pPr>
        <w:spacing w:after="0" w:line="200" w:lineRule="exact"/>
        <w:rPr>
          <w:sz w:val="24"/>
          <w:szCs w:val="24"/>
          <w:color w:val="auto"/>
        </w:rPr>
      </w:pPr>
    </w:p>
    <w:p>
      <w:pPr>
        <w:sectPr>
          <w:pgSz w:w="11900" w:h="16838" w:orient="portrait"/>
          <w:cols w:equalWidth="0" w:num="3">
            <w:col w:w="3900" w:space="720"/>
            <w:col w:w="2820" w:space="720"/>
            <w:col w:w="3080"/>
          </w:cols>
          <w:pgMar w:left="320" w:top="778" w:right="339" w:bottom="1440" w:gutter="0" w:footer="0" w:header="0"/>
          <w:type w:val="continuous"/>
        </w:sectPr>
      </w:pPr>
    </w:p>
    <w:p>
      <w:pPr>
        <w:spacing w:after="0" w:line="57" w:lineRule="exact"/>
        <w:rPr>
          <w:sz w:val="24"/>
          <w:szCs w:val="24"/>
          <w:color w:val="auto"/>
        </w:rPr>
      </w:pPr>
    </w:p>
    <w:p>
      <w:pPr>
        <w:jc w:val="center"/>
        <w:ind w:right="1700"/>
        <w:spacing w:after="0"/>
        <w:rPr>
          <w:sz w:val="20"/>
          <w:szCs w:val="20"/>
          <w:color w:val="auto"/>
        </w:rPr>
      </w:pPr>
      <w:r>
        <w:rPr>
          <w:rFonts w:ascii="Arial" w:cs="Arial" w:eastAsia="Arial" w:hAnsi="Arial"/>
          <w:sz w:val="18"/>
          <w:szCs w:val="18"/>
          <w:b w:val="1"/>
          <w:bCs w:val="1"/>
          <w:color w:val="auto"/>
        </w:rPr>
        <w:t>42307 Osgood Road, Suite I</w:t>
      </w:r>
    </w:p>
    <w:p>
      <w:pPr>
        <w:spacing w:after="0" w:line="27" w:lineRule="exact"/>
        <w:rPr>
          <w:sz w:val="24"/>
          <w:szCs w:val="24"/>
          <w:color w:val="auto"/>
        </w:rPr>
      </w:pPr>
    </w:p>
    <w:p>
      <w:pPr>
        <w:jc w:val="center"/>
        <w:ind w:right="1700"/>
        <w:spacing w:after="0"/>
        <w:rPr>
          <w:sz w:val="20"/>
          <w:szCs w:val="20"/>
          <w:color w:val="auto"/>
        </w:rPr>
      </w:pPr>
      <w:r>
        <w:rPr>
          <w:rFonts w:ascii="Arial" w:cs="Arial" w:eastAsia="Arial" w:hAnsi="Arial"/>
          <w:sz w:val="18"/>
          <w:szCs w:val="18"/>
          <w:b w:val="1"/>
          <w:bCs w:val="1"/>
          <w:color w:val="auto"/>
        </w:rPr>
        <w:t>Fremont, California</w:t>
      </w:r>
    </w:p>
    <w:p>
      <w:pPr>
        <w:spacing w:after="0" w:line="9" w:lineRule="exact"/>
        <w:rPr>
          <w:sz w:val="24"/>
          <w:szCs w:val="24"/>
          <w:color w:val="auto"/>
        </w:rPr>
      </w:pPr>
    </w:p>
    <w:p>
      <w:pPr>
        <w:jc w:val="center"/>
        <w:ind w:right="1700"/>
        <w:spacing w:after="0"/>
        <w:rPr>
          <w:sz w:val="20"/>
          <w:szCs w:val="20"/>
          <w:color w:val="auto"/>
        </w:rPr>
      </w:pPr>
      <w:r>
        <w:rPr>
          <w:rFonts w:ascii="Arial" w:cs="Arial" w:eastAsia="Arial" w:hAnsi="Arial"/>
          <w:sz w:val="16"/>
          <w:szCs w:val="16"/>
          <w:i w:val="1"/>
          <w:i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line="253" w:lineRule="exact"/>
        <w:rPr>
          <w:sz w:val="24"/>
          <w:szCs w:val="24"/>
          <w:color w:val="auto"/>
        </w:rPr>
      </w:pPr>
    </w:p>
    <w:p>
      <w:pPr>
        <w:jc w:val="center"/>
        <w:ind w:right="2420"/>
        <w:spacing w:after="0"/>
        <w:rPr>
          <w:sz w:val="20"/>
          <w:szCs w:val="20"/>
          <w:color w:val="auto"/>
        </w:rPr>
      </w:pPr>
      <w:r>
        <w:rPr>
          <w:rFonts w:ascii="Arial" w:cs="Arial" w:eastAsia="Arial" w:hAnsi="Arial"/>
          <w:sz w:val="18"/>
          <w:szCs w:val="18"/>
          <w:b w:val="1"/>
          <w:bCs w:val="1"/>
          <w:color w:val="auto"/>
        </w:rPr>
        <w:t>94539</w:t>
      </w:r>
    </w:p>
    <w:p>
      <w:pPr>
        <w:spacing w:after="0" w:line="27" w:lineRule="exact"/>
        <w:rPr>
          <w:sz w:val="24"/>
          <w:szCs w:val="24"/>
          <w:color w:val="auto"/>
        </w:rPr>
      </w:pPr>
    </w:p>
    <w:p>
      <w:pPr>
        <w:jc w:val="center"/>
        <w:ind w:right="2420"/>
        <w:spacing w:after="0"/>
        <w:rPr>
          <w:sz w:val="20"/>
          <w:szCs w:val="20"/>
          <w:color w:val="auto"/>
        </w:rPr>
      </w:pPr>
      <w:r>
        <w:rPr>
          <w:rFonts w:ascii="Arial" w:cs="Arial" w:eastAsia="Arial" w:hAnsi="Arial"/>
          <w:sz w:val="16"/>
          <w:szCs w:val="16"/>
          <w:i w:val="1"/>
          <w:iCs w:val="1"/>
          <w:color w:val="auto"/>
        </w:rPr>
        <w:t>(Zip Code)</w:t>
      </w:r>
    </w:p>
    <w:p>
      <w:pPr>
        <w:spacing w:after="0" w:line="200" w:lineRule="exact"/>
        <w:rPr>
          <w:sz w:val="24"/>
          <w:szCs w:val="24"/>
          <w:color w:val="auto"/>
        </w:rPr>
      </w:pPr>
    </w:p>
    <w:p>
      <w:pPr>
        <w:sectPr>
          <w:pgSz w:w="11900" w:h="16838" w:orient="portrait"/>
          <w:cols w:equalWidth="0" w:num="2">
            <w:col w:w="7320" w:space="720"/>
            <w:col w:w="3200"/>
          </w:cols>
          <w:pgMar w:left="320" w:top="778" w:right="339" w:bottom="1440" w:gutter="0" w:footer="0" w:header="0"/>
          <w:type w:val="continuous"/>
        </w:sectPr>
      </w:pPr>
    </w:p>
    <w:p>
      <w:pPr>
        <w:spacing w:after="0" w:line="5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 xml:space="preserve">Registrant’s telephone number, including area code: </w:t>
      </w:r>
      <w:r>
        <w:rPr>
          <w:rFonts w:ascii="Arial" w:cs="Arial" w:eastAsia="Arial" w:hAnsi="Arial"/>
          <w:sz w:val="18"/>
          <w:szCs w:val="18"/>
          <w:b w:val="1"/>
          <w:bCs w:val="1"/>
          <w:color w:val="auto"/>
        </w:rPr>
        <w:t>(510) 445-3700</w:t>
      </w:r>
    </w:p>
    <w:p>
      <w:pPr>
        <w:spacing w:after="0" w:line="252"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Not Applicable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i w:val="1"/>
          <w:iCs w:val="1"/>
          <w:color w:val="auto"/>
        </w:rPr>
        <w:t>(Former Name or Former Address, If Changed Since Last Report)</w:t>
      </w:r>
    </w:p>
    <w:p>
      <w:pPr>
        <w:spacing w:after="0" w:line="238" w:lineRule="exact"/>
        <w:rPr>
          <w:sz w:val="24"/>
          <w:szCs w:val="24"/>
          <w:color w:val="auto"/>
        </w:rPr>
      </w:pPr>
    </w:p>
    <w:p>
      <w:pPr>
        <w:spacing w:after="0" w:line="255"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 w:lineRule="exact"/>
        <w:rPr>
          <w:sz w:val="24"/>
          <w:szCs w:val="24"/>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5"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340" w:hanging="332"/>
        <w:spacing w:after="0"/>
        <w:tabs>
          <w:tab w:leader="none" w:pos="34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36"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5640" w:type="dxa"/>
            <w:vAlign w:val="bottom"/>
            <w:gridSpan w:val="2"/>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40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3680" w:type="dxa"/>
            <w:vAlign w:val="bottom"/>
          </w:tcPr>
          <w:p>
            <w:pPr>
              <w:spacing w:after="0"/>
              <w:rPr>
                <w:sz w:val="20"/>
                <w:szCs w:val="20"/>
                <w:color w:val="auto"/>
              </w:rPr>
            </w:pPr>
          </w:p>
        </w:tc>
      </w:tr>
      <w:tr>
        <w:trPr>
          <w:trHeight w:val="466"/>
        </w:trPr>
        <w:tc>
          <w:tcPr>
            <w:tcW w:w="5640" w:type="dxa"/>
            <w:vAlign w:val="bottom"/>
            <w:gridSpan w:val="2"/>
          </w:tcPr>
          <w:p>
            <w:pPr>
              <w:ind w:left="1940"/>
              <w:spacing w:after="0"/>
              <w:rPr>
                <w:sz w:val="20"/>
                <w:szCs w:val="20"/>
                <w:color w:val="auto"/>
              </w:rPr>
            </w:pPr>
            <w:r>
              <w:rPr>
                <w:rFonts w:ascii="Arial" w:cs="Arial" w:eastAsia="Arial" w:hAnsi="Arial"/>
                <w:sz w:val="18"/>
                <w:szCs w:val="18"/>
                <w:b w:val="1"/>
                <w:bCs w:val="1"/>
                <w:color w:val="auto"/>
              </w:rPr>
              <w:t>Title of each class</w:t>
            </w:r>
          </w:p>
        </w:tc>
        <w:tc>
          <w:tcPr>
            <w:tcW w:w="1920" w:type="dxa"/>
            <w:vAlign w:val="bottom"/>
            <w:gridSpan w:val="2"/>
          </w:tcPr>
          <w:p>
            <w:pPr>
              <w:jc w:val="center"/>
              <w:ind w:right="520"/>
              <w:spacing w:after="0"/>
              <w:rPr>
                <w:sz w:val="20"/>
                <w:szCs w:val="20"/>
                <w:color w:val="auto"/>
              </w:rPr>
            </w:pPr>
            <w:r>
              <w:rPr>
                <w:rFonts w:ascii="Arial" w:cs="Arial" w:eastAsia="Arial" w:hAnsi="Arial"/>
                <w:sz w:val="18"/>
                <w:szCs w:val="18"/>
                <w:b w:val="1"/>
                <w:bCs w:val="1"/>
                <w:color w:val="auto"/>
                <w:w w:val="89"/>
              </w:rPr>
              <w:t>Trading symbol</w:t>
            </w:r>
          </w:p>
        </w:tc>
        <w:tc>
          <w:tcPr>
            <w:tcW w:w="3680" w:type="dxa"/>
            <w:vAlign w:val="bottom"/>
          </w:tcPr>
          <w:p>
            <w:pPr>
              <w:jc w:val="center"/>
              <w:spacing w:after="0"/>
              <w:rPr>
                <w:sz w:val="20"/>
                <w:szCs w:val="20"/>
                <w:color w:val="auto"/>
              </w:rPr>
            </w:pPr>
            <w:r>
              <w:rPr>
                <w:rFonts w:ascii="Arial" w:cs="Arial" w:eastAsia="Arial" w:hAnsi="Arial"/>
                <w:sz w:val="18"/>
                <w:szCs w:val="18"/>
                <w:b w:val="1"/>
                <w:bCs w:val="1"/>
                <w:color w:val="auto"/>
                <w:w w:val="87"/>
              </w:rPr>
              <w:t>Name of each exchange on which registered</w:t>
            </w:r>
          </w:p>
        </w:tc>
      </w:tr>
      <w:tr>
        <w:trPr>
          <w:trHeight w:val="216"/>
        </w:trPr>
        <w:tc>
          <w:tcPr>
            <w:tcW w:w="52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Class A Common Stock, par value $0.0001 per share</w:t>
            </w:r>
          </w:p>
        </w:tc>
        <w:tc>
          <w:tcPr>
            <w:tcW w:w="440" w:type="dxa"/>
            <w:vAlign w:val="bottom"/>
            <w:tcBorders>
              <w:top w:val="single" w:sz="8" w:color="CCEEFF"/>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8"/>
              </w:rPr>
              <w:t>ACMR</w:t>
            </w:r>
          </w:p>
        </w:tc>
        <w:tc>
          <w:tcPr>
            <w:tcW w:w="520" w:type="dxa"/>
            <w:vAlign w:val="bottom"/>
            <w:tcBorders>
              <w:top w:val="single" w:sz="8" w:color="CCEEFF"/>
            </w:tcBorders>
            <w:shd w:val="clear" w:color="auto" w:fill="CCEEFF"/>
          </w:tcPr>
          <w:p>
            <w:pPr>
              <w:spacing w:after="0"/>
              <w:rPr>
                <w:sz w:val="18"/>
                <w:szCs w:val="18"/>
                <w:color w:val="auto"/>
              </w:rPr>
            </w:pPr>
          </w:p>
        </w:tc>
        <w:tc>
          <w:tcPr>
            <w:tcW w:w="3680" w:type="dxa"/>
            <w:vAlign w:val="bottom"/>
            <w:tcBorders>
              <w:top w:val="single" w:sz="8" w:color="auto"/>
            </w:tcBorders>
            <w:shd w:val="clear" w:color="auto" w:fill="CCEEFF"/>
          </w:tcPr>
          <w:p>
            <w:pPr>
              <w:jc w:val="center"/>
              <w:spacing w:after="0"/>
              <w:rPr>
                <w:sz w:val="20"/>
                <w:szCs w:val="20"/>
                <w:color w:val="auto"/>
              </w:rPr>
            </w:pPr>
            <w:r>
              <w:rPr>
                <w:rFonts w:ascii="Arial" w:cs="Arial" w:eastAsia="Arial" w:hAnsi="Arial"/>
                <w:sz w:val="18"/>
                <w:szCs w:val="18"/>
                <w:color w:val="auto"/>
                <w:w w:val="91"/>
              </w:rPr>
              <w:t>Nasdaq Global Market</w:t>
            </w:r>
          </w:p>
        </w:tc>
      </w:tr>
    </w:tbl>
    <w:p>
      <w:pPr>
        <w:spacing w:after="0" w:line="229" w:lineRule="exact"/>
        <w:rPr>
          <w:sz w:val="24"/>
          <w:szCs w:val="24"/>
          <w:color w:val="auto"/>
        </w:rPr>
      </w:pPr>
    </w:p>
    <w:p>
      <w:pPr>
        <w:ind w:right="280"/>
        <w:spacing w:after="0" w:line="233" w:lineRule="exact"/>
        <w:rPr>
          <w:sz w:val="20"/>
          <w:szCs w:val="20"/>
          <w:color w:val="auto"/>
        </w:rPr>
      </w:pPr>
      <w:r>
        <w:rPr>
          <w:rFonts w:ascii="Arial" w:cs="Arial" w:eastAsia="Arial" w:hAnsi="Arial"/>
          <w:sz w:val="18"/>
          <w:szCs w:val="18"/>
          <w:color w:val="auto"/>
        </w:rPr>
        <w:t xml:space="preserve">Indicate by check mark whether the registrant is an emerging growth company as defined in Rule 405 of the Securities Act of 1933 or Rule 12b-2 of the Securities Exchange Act of 1934: Emerging growth company </w:t>
      </w:r>
      <w:r>
        <w:rPr>
          <w:rFonts w:ascii="MS PGothic" w:cs="MS PGothic" w:eastAsia="MS PGothic" w:hAnsi="MS PGothic"/>
          <w:sz w:val="18"/>
          <w:szCs w:val="18"/>
          <w:color w:val="auto"/>
        </w:rPr>
        <w:t>☒</w:t>
      </w:r>
    </w:p>
    <w:p>
      <w:pPr>
        <w:spacing w:after="0" w:line="209" w:lineRule="exact"/>
        <w:rPr>
          <w:sz w:val="24"/>
          <w:szCs w:val="24"/>
          <w:color w:val="auto"/>
        </w:rPr>
      </w:pPr>
    </w:p>
    <w:p>
      <w:pPr>
        <w:ind w:right="16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184785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279400</wp:posOffset>
            </wp:positionV>
            <wp:extent cx="71323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416560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78" w:right="339" w:bottom="1440" w:gutter="0" w:footer="0" w:header="0"/>
          <w:type w:val="continuous"/>
        </w:sectPr>
      </w:pPr>
    </w:p>
    <w:bookmarkStart w:id="1" w:name="page2"/>
    <w:bookmarkEnd w:id="1"/>
    <w:p>
      <w:pPr>
        <w:spacing w:after="0"/>
        <w:tabs>
          <w:tab w:leader="none" w:pos="1640" w:val="left"/>
        </w:tabs>
        <w:rPr>
          <w:sz w:val="20"/>
          <w:szCs w:val="20"/>
          <w:color w:val="auto"/>
        </w:rPr>
      </w:pPr>
      <w:r>
        <w:rPr>
          <w:rFonts w:ascii="Arial" w:cs="Arial" w:eastAsia="Arial" w:hAnsi="Arial"/>
          <w:sz w:val="18"/>
          <w:szCs w:val="18"/>
          <w:b w:val="1"/>
          <w:bCs w:val="1"/>
          <w:color w:val="auto"/>
        </w:rPr>
        <w:t>Item 2.02.</w:t>
      </w:r>
      <w:r>
        <w:rPr>
          <w:sz w:val="20"/>
          <w:szCs w:val="20"/>
          <w:color w:val="auto"/>
        </w:rPr>
        <w:tab/>
      </w:r>
      <w:r>
        <w:rPr>
          <w:rFonts w:ascii="Arial" w:cs="Arial" w:eastAsia="Arial" w:hAnsi="Arial"/>
          <w:sz w:val="16"/>
          <w:szCs w:val="16"/>
          <w:b w:val="1"/>
          <w:bCs w:val="1"/>
          <w:color w:val="auto"/>
        </w:rPr>
        <w:t>Results of Operations and Financial Condition.</w:t>
      </w:r>
    </w:p>
    <w:p>
      <w:pPr>
        <w:spacing w:after="0" w:line="256" w:lineRule="exact"/>
        <w:rPr>
          <w:sz w:val="20"/>
          <w:szCs w:val="20"/>
          <w:color w:val="auto"/>
        </w:rPr>
      </w:pPr>
    </w:p>
    <w:p>
      <w:pPr>
        <w:ind w:right="80" w:firstLine="324"/>
        <w:spacing w:after="0" w:line="277" w:lineRule="auto"/>
        <w:rPr>
          <w:sz w:val="20"/>
          <w:szCs w:val="20"/>
          <w:color w:val="auto"/>
        </w:rPr>
      </w:pPr>
      <w:r>
        <w:rPr>
          <w:rFonts w:ascii="Arial" w:cs="Arial" w:eastAsia="Arial" w:hAnsi="Arial"/>
          <w:sz w:val="18"/>
          <w:szCs w:val="18"/>
          <w:color w:val="auto"/>
        </w:rPr>
        <w:t>On August 5, 2020, we issued a press release announcing financial results for the second quarter of 2020. The full text of the press release is furnished as Exhibit 99.01 hereto and is incorporated herein by reference.</w:t>
      </w:r>
    </w:p>
    <w:p>
      <w:pPr>
        <w:spacing w:after="0" w:line="197"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information contained in this Item 2.02, including the exhibit furnished hereto, is intended to be furnished and shall not be deemed “filed” for purposes of Section 18 of the Securities Exchange Act of 1934 or otherwise subject to the liabilities of that section, nor shall it be deemed incorporated by reference in any filing under the Securities Act of 1933 or the Securities Exchange Act of 1934, except as expressly set forth by specific reference in such filing.</w:t>
      </w:r>
    </w:p>
    <w:p>
      <w:pPr>
        <w:spacing w:after="0" w:line="210" w:lineRule="exact"/>
        <w:rPr>
          <w:sz w:val="20"/>
          <w:szCs w:val="20"/>
          <w:color w:val="auto"/>
        </w:rPr>
      </w:pPr>
    </w:p>
    <w:p>
      <w:pPr>
        <w:spacing w:after="0"/>
        <w:tabs>
          <w:tab w:leader="none" w:pos="1280"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6"/>
          <w:szCs w:val="16"/>
          <w:b w:val="1"/>
          <w:bCs w:val="1"/>
          <w:color w:val="auto"/>
        </w:rPr>
        <w:t>Regulation FD Disclosure.</w:t>
      </w:r>
    </w:p>
    <w:p>
      <w:pPr>
        <w:spacing w:after="0" w:line="256" w:lineRule="exact"/>
        <w:rPr>
          <w:sz w:val="20"/>
          <w:szCs w:val="20"/>
          <w:color w:val="auto"/>
        </w:rPr>
      </w:pPr>
    </w:p>
    <w:p>
      <w:pPr>
        <w:ind w:right="420" w:firstLine="648"/>
        <w:spacing w:after="0" w:line="311" w:lineRule="auto"/>
        <w:rPr>
          <w:sz w:val="20"/>
          <w:szCs w:val="20"/>
          <w:color w:val="auto"/>
        </w:rPr>
      </w:pPr>
      <w:r>
        <w:rPr>
          <w:rFonts w:ascii="Arial" w:cs="Arial" w:eastAsia="Arial" w:hAnsi="Arial"/>
          <w:sz w:val="16"/>
          <w:szCs w:val="16"/>
          <w:color w:val="auto"/>
        </w:rPr>
        <w:t>On August 5, 2020, we issued press releases titled “ACM Research Expands Customer Base with Orders from Two New Analog/Power IC Manufacturing Customers” and “ACM Research Announces Delivery of Smart Megasonix Wafer Cleaning Tool to U.S. Demo Lab of Leading Global Semiconductor Equipment Manufacturer.” The full texts of those press release are furnished as Exhibits 99.02 and 99.03, respectively, hereto.</w:t>
      </w:r>
    </w:p>
    <w:p>
      <w:pPr>
        <w:spacing w:after="0" w:line="176" w:lineRule="exact"/>
        <w:rPr>
          <w:sz w:val="20"/>
          <w:szCs w:val="20"/>
          <w:color w:val="auto"/>
        </w:rPr>
      </w:pPr>
    </w:p>
    <w:p>
      <w:pPr>
        <w:ind w:right="140" w:firstLine="324"/>
        <w:spacing w:after="0" w:line="259" w:lineRule="auto"/>
        <w:rPr>
          <w:sz w:val="20"/>
          <w:szCs w:val="20"/>
          <w:color w:val="auto"/>
        </w:rPr>
      </w:pPr>
      <w:r>
        <w:rPr>
          <w:rFonts w:ascii="Arial" w:cs="Arial" w:eastAsia="Arial" w:hAnsi="Arial"/>
          <w:sz w:val="18"/>
          <w:szCs w:val="18"/>
          <w:color w:val="auto"/>
        </w:rPr>
        <w:t>The information contained in this Item 7.01, including the exhibits furnished hereto, is intended to be furnished and shall not be deemed “filed” for purposes of Section 18 of the Securities Exchange Act of 1934 or otherwise subject to the liabilities of that section, nor shall it be deemed incorporated by reference in any filing under the Securities Act of 1933 or the Securities Exchange Act of 1934, except as expressly set forth by specific reference in such filing.</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Item 9.01</w:t>
            </w:r>
          </w:p>
        </w:tc>
        <w:tc>
          <w:tcPr>
            <w:tcW w:w="10080" w:type="dxa"/>
            <w:vAlign w:val="bottom"/>
          </w:tcPr>
          <w:p>
            <w:pPr>
              <w:ind w:left="50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59"/>
        </w:trPr>
        <w:tc>
          <w:tcPr>
            <w:tcW w:w="1160" w:type="dxa"/>
            <w:vAlign w:val="bottom"/>
            <w:gridSpan w:val="2"/>
          </w:tcPr>
          <w:p>
            <w:pPr>
              <w:spacing w:after="0"/>
              <w:rPr>
                <w:sz w:val="20"/>
                <w:szCs w:val="20"/>
                <w:color w:val="auto"/>
              </w:rPr>
            </w:pPr>
            <w:r>
              <w:rPr>
                <w:rFonts w:ascii="Arial" w:cs="Arial" w:eastAsia="Arial" w:hAnsi="Arial"/>
                <w:sz w:val="18"/>
                <w:szCs w:val="18"/>
                <w:b w:val="1"/>
                <w:bCs w:val="1"/>
                <w:color w:val="auto"/>
              </w:rPr>
              <w:t>(d) Exhibits.</w:t>
            </w:r>
          </w:p>
        </w:tc>
        <w:tc>
          <w:tcPr>
            <w:tcW w:w="10080" w:type="dxa"/>
            <w:vAlign w:val="bottom"/>
          </w:tcPr>
          <w:p>
            <w:pPr>
              <w:spacing w:after="0"/>
              <w:rPr>
                <w:sz w:val="24"/>
                <w:szCs w:val="24"/>
                <w:color w:val="auto"/>
              </w:rPr>
            </w:pPr>
          </w:p>
        </w:tc>
      </w:tr>
      <w:tr>
        <w:trPr>
          <w:trHeight w:val="466"/>
        </w:trPr>
        <w:tc>
          <w:tcPr>
            <w:tcW w:w="86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Exhibit</w:t>
            </w:r>
          </w:p>
        </w:tc>
        <w:tc>
          <w:tcPr>
            <w:tcW w:w="300" w:type="dxa"/>
            <w:vAlign w:val="bottom"/>
          </w:tcPr>
          <w:p>
            <w:pPr>
              <w:spacing w:after="0"/>
              <w:rPr>
                <w:sz w:val="24"/>
                <w:szCs w:val="24"/>
                <w:color w:val="auto"/>
              </w:rPr>
            </w:pPr>
          </w:p>
        </w:tc>
        <w:tc>
          <w:tcPr>
            <w:tcW w:w="10080" w:type="dxa"/>
            <w:vAlign w:val="bottom"/>
            <w:tcBorders>
              <w:bottom w:val="single" w:sz="8" w:color="auto"/>
            </w:tcBorders>
          </w:tcPr>
          <w:p>
            <w:pPr>
              <w:ind w:left="4600"/>
              <w:spacing w:after="0"/>
              <w:rPr>
                <w:sz w:val="20"/>
                <w:szCs w:val="20"/>
                <w:color w:val="auto"/>
              </w:rPr>
            </w:pPr>
            <w:r>
              <w:rPr>
                <w:rFonts w:ascii="Arial" w:cs="Arial" w:eastAsia="Arial" w:hAnsi="Arial"/>
                <w:sz w:val="18"/>
                <w:szCs w:val="18"/>
                <w:b w:val="1"/>
                <w:bCs w:val="1"/>
                <w:color w:val="auto"/>
              </w:rPr>
              <w:t>Description</w:t>
            </w:r>
          </w:p>
        </w:tc>
      </w:tr>
    </w:tbl>
    <w:p>
      <w:pPr>
        <w:spacing w:after="0" w:line="175" w:lineRule="exact"/>
        <w:rPr>
          <w:sz w:val="20"/>
          <w:szCs w:val="20"/>
          <w:color w:val="auto"/>
        </w:rPr>
      </w:pPr>
    </w:p>
    <w:p>
      <w:pPr>
        <w:ind w:left="240"/>
        <w:spacing w:after="0"/>
        <w:tabs>
          <w:tab w:leader="none" w:pos="1140" w:val="left"/>
        </w:tabs>
        <w:rPr>
          <w:rFonts w:ascii="Arial" w:cs="Arial" w:eastAsia="Arial" w:hAnsi="Arial"/>
          <w:sz w:val="18"/>
          <w:szCs w:val="18"/>
          <w:color w:val="0000EE"/>
        </w:rPr>
      </w:pPr>
      <w:hyperlink w:anchor="page4">
        <w:r>
          <w:rPr>
            <w:rFonts w:ascii="Arial" w:cs="Arial" w:eastAsia="Arial" w:hAnsi="Arial"/>
            <w:sz w:val="18"/>
            <w:szCs w:val="18"/>
            <w:u w:val="single" w:color="auto"/>
            <w:color w:val="0000EE"/>
          </w:rPr>
          <w:t>99.01</w:t>
        </w:r>
      </w:hyperlink>
      <w:r>
        <w:rPr>
          <w:rFonts w:ascii="Arial" w:cs="Arial" w:eastAsia="Arial" w:hAnsi="Arial"/>
          <w:sz w:val="18"/>
          <w:szCs w:val="18"/>
          <w:color w:val="0000EE"/>
        </w:rPr>
        <w:tab/>
      </w:r>
      <w:r>
        <w:rPr>
          <w:rFonts w:ascii="Arial" w:cs="Arial" w:eastAsia="Arial" w:hAnsi="Arial"/>
          <w:sz w:val="16"/>
          <w:szCs w:val="16"/>
          <w:color w:val="0000EE"/>
        </w:rPr>
        <w:t>Press release of ACM Research, Inc. dated August 5, 2020, titled “ACM Research Reports Second Quarter 2020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-121920</wp:posOffset>
            </wp:positionV>
            <wp:extent cx="7132320" cy="1371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spacing w:after="0" w:line="178" w:lineRule="exact"/>
        <w:rPr>
          <w:sz w:val="20"/>
          <w:szCs w:val="20"/>
          <w:color w:val="auto"/>
        </w:rPr>
      </w:pPr>
    </w:p>
    <w:p>
      <w:pPr>
        <w:ind w:left="1160" w:hanging="937"/>
        <w:spacing w:after="0" w:line="277" w:lineRule="auto"/>
        <w:tabs>
          <w:tab w:leader="none" w:pos="1140" w:val="left"/>
        </w:tabs>
        <w:rPr>
          <w:rFonts w:ascii="Arial" w:cs="Arial" w:eastAsia="Arial" w:hAnsi="Arial"/>
          <w:sz w:val="18"/>
          <w:szCs w:val="18"/>
          <w:color w:val="0000EE"/>
        </w:rPr>
      </w:pPr>
      <w:hyperlink w:anchor="page13">
        <w:r>
          <w:rPr>
            <w:rFonts w:ascii="Arial" w:cs="Arial" w:eastAsia="Arial" w:hAnsi="Arial"/>
            <w:sz w:val="18"/>
            <w:szCs w:val="18"/>
            <w:u w:val="single" w:color="auto"/>
            <w:color w:val="0000EE"/>
          </w:rPr>
          <w:t>99.02</w:t>
        </w:r>
      </w:hyperlink>
      <w:r>
        <w:rPr>
          <w:rFonts w:ascii="Arial" w:cs="Arial" w:eastAsia="Arial" w:hAnsi="Arial"/>
          <w:sz w:val="18"/>
          <w:szCs w:val="18"/>
          <w:color w:val="0000EE"/>
        </w:rPr>
        <w:tab/>
        <w:t>Press release of ACM Research, Inc. dated August 5, 2020, titled “ACM Research Expands Customer Base with Orders from Two New Analog/Power IC Manufacturing Customers”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132320" cy="2743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123" w:lineRule="exact"/>
        <w:rPr>
          <w:sz w:val="20"/>
          <w:szCs w:val="20"/>
          <w:color w:val="auto"/>
        </w:rPr>
      </w:pPr>
    </w:p>
    <w:p>
      <w:pPr>
        <w:ind w:left="1160" w:hanging="937"/>
        <w:spacing w:after="0" w:line="277" w:lineRule="auto"/>
        <w:tabs>
          <w:tab w:leader="none" w:pos="1140" w:val="left"/>
        </w:tabs>
        <w:rPr>
          <w:rFonts w:ascii="Arial" w:cs="Arial" w:eastAsia="Arial" w:hAnsi="Arial"/>
          <w:sz w:val="18"/>
          <w:szCs w:val="18"/>
          <w:color w:val="0000EE"/>
        </w:rPr>
      </w:pPr>
      <w:hyperlink w:anchor="page16">
        <w:r>
          <w:rPr>
            <w:rFonts w:ascii="Arial" w:cs="Arial" w:eastAsia="Arial" w:hAnsi="Arial"/>
            <w:sz w:val="18"/>
            <w:szCs w:val="18"/>
            <w:u w:val="single" w:color="auto"/>
            <w:color w:val="0000EE"/>
          </w:rPr>
          <w:t>99.03</w:t>
        </w:r>
      </w:hyperlink>
      <w:r>
        <w:rPr>
          <w:rFonts w:ascii="Arial" w:cs="Arial" w:eastAsia="Arial" w:hAnsi="Arial"/>
          <w:sz w:val="18"/>
          <w:szCs w:val="18"/>
          <w:color w:val="0000EE"/>
        </w:rPr>
        <w:tab/>
        <w:t>Press release of ACM Research, Inc. dated August 5, 2020, titled “ACM Research Announces Delivery of Smart Megasonix Wafer Cleaning Tool to U.S. Demo Lab of Leading Global Semiconductor Equipment Manufacturer”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-293370</wp:posOffset>
            </wp:positionV>
            <wp:extent cx="7132320" cy="2743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27432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w:t>
      </w:r>
    </w:p>
    <w:p>
      <w:pPr>
        <w:spacing w:after="0" w:line="256" w:lineRule="exact"/>
        <w:rPr>
          <w:sz w:val="20"/>
          <w:szCs w:val="20"/>
          <w:color w:val="auto"/>
        </w:rPr>
      </w:pPr>
    </w:p>
    <w:p>
      <w:pPr>
        <w:ind w:firstLine="324"/>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97"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ACM RESEARCH, INC.</w:t>
      </w:r>
    </w:p>
    <w:p>
      <w:pPr>
        <w:spacing w:after="0" w:line="198" w:lineRule="exact"/>
        <w:rPr>
          <w:sz w:val="20"/>
          <w:szCs w:val="20"/>
          <w:color w:val="auto"/>
        </w:rPr>
      </w:pPr>
    </w:p>
    <w:p>
      <w:pPr>
        <w:ind w:left="5640"/>
        <w:spacing w:after="0"/>
        <w:tabs>
          <w:tab w:leader="none" w:pos="61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23495</wp:posOffset>
            </wp:positionV>
            <wp:extent cx="3206115"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206115" cy="17145"/>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Mark McKechnie</w:t>
      </w:r>
    </w:p>
    <w:p>
      <w:pPr>
        <w:spacing w:after="0" w:line="23" w:lineRule="exact"/>
        <w:rPr>
          <w:sz w:val="20"/>
          <w:szCs w:val="20"/>
          <w:color w:val="auto"/>
        </w:rPr>
      </w:pPr>
    </w:p>
    <w:p>
      <w:pPr>
        <w:ind w:left="6200"/>
        <w:spacing w:after="0"/>
        <w:rPr>
          <w:sz w:val="20"/>
          <w:szCs w:val="20"/>
          <w:color w:val="auto"/>
        </w:rPr>
      </w:pPr>
      <w:r>
        <w:rPr>
          <w:rFonts w:ascii="Arial" w:cs="Arial" w:eastAsia="Arial" w:hAnsi="Arial"/>
          <w:sz w:val="18"/>
          <w:szCs w:val="18"/>
          <w:color w:val="auto"/>
        </w:rPr>
        <w:t>Chief Financial Officer and Treasurer</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color w:val="auto"/>
        </w:rPr>
        <w:t>Dated: August 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349250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 w:name="page4"/>
    <w:bookmarkEnd w:id="3"/>
    <w:p>
      <w:pPr>
        <w:spacing w:after="0" w:line="26"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34290"/>
                    </a:xfrm>
                    <a:prstGeom prst="rect">
                      <a:avLst/>
                    </a:prstGeom>
                    <a:noFill/>
                  </pic:spPr>
                </pic:pic>
              </a:graphicData>
            </a:graphic>
          </wp:anchor>
        </w:drawing>
      </w:r>
    </w:p>
    <w:p>
      <w:pPr>
        <w:jc w:val="right"/>
        <w:spacing w:after="0"/>
        <w:rPr>
          <w:sz w:val="20"/>
          <w:szCs w:val="20"/>
          <w:color w:val="auto"/>
        </w:rPr>
      </w:pPr>
      <w:r>
        <w:rPr>
          <w:rFonts w:ascii="Arial" w:cs="Arial" w:eastAsia="Arial" w:hAnsi="Arial"/>
          <w:sz w:val="18"/>
          <w:szCs w:val="18"/>
          <w:b w:val="1"/>
          <w:bCs w:val="1"/>
          <w:color w:val="auto"/>
        </w:rPr>
        <w:t>Exhibit 99.01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891540</wp:posOffset>
            </wp:positionV>
            <wp:extent cx="7132320" cy="4474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4474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Reports Second Quarter 2020 Results</w:t>
      </w:r>
    </w:p>
    <w:p>
      <w:pPr>
        <w:spacing w:after="0" w:line="256"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FREMONT, California, August 5, 2020 (Globe Newswire) – ACM Research, Inc. (“ACM” or the “Company”) (NASDAQ:ACMR), a leading supplier of wafer cleaning technologies for advanced semiconductor devices, today reported financial results for its second fiscal quarter ended June 30, 2020.</w:t>
      </w:r>
    </w:p>
    <w:p>
      <w:pPr>
        <w:spacing w:after="0" w:line="151" w:lineRule="exact"/>
        <w:rPr>
          <w:sz w:val="20"/>
          <w:szCs w:val="20"/>
          <w:color w:val="auto"/>
        </w:rPr>
      </w:pPr>
    </w:p>
    <w:p>
      <w:pPr>
        <w:jc w:val="both"/>
        <w:ind w:right="160"/>
        <w:spacing w:after="0" w:line="263" w:lineRule="auto"/>
        <w:rPr>
          <w:sz w:val="20"/>
          <w:szCs w:val="20"/>
          <w:color w:val="auto"/>
        </w:rPr>
      </w:pPr>
      <w:r>
        <w:rPr>
          <w:rFonts w:ascii="Arial" w:cs="Arial" w:eastAsia="Arial" w:hAnsi="Arial"/>
          <w:sz w:val="18"/>
          <w:szCs w:val="18"/>
          <w:color w:val="auto"/>
        </w:rPr>
        <w:t>ACM’s President and Chief Executive Officer Dr. David Wang commented, “We are pleased with our second quarter results. Our revenue and shipments rebounded significantly following the COVID-19 related pause in the first quarter. We have strong visibility for remainder of 2020, with solid demand for current and new products, and we have raised our outlook accordingly.”</w:t>
      </w:r>
    </w:p>
    <w:p>
      <w:pPr>
        <w:spacing w:after="0" w:line="211" w:lineRule="exact"/>
        <w:rPr>
          <w:sz w:val="20"/>
          <w:szCs w:val="20"/>
          <w:color w:val="auto"/>
        </w:rPr>
      </w:pPr>
    </w:p>
    <w:p>
      <w:pPr>
        <w:ind w:right="120"/>
        <w:spacing w:after="0" w:line="279" w:lineRule="auto"/>
        <w:rPr>
          <w:sz w:val="20"/>
          <w:szCs w:val="20"/>
          <w:color w:val="auto"/>
        </w:rPr>
      </w:pPr>
      <w:r>
        <w:rPr>
          <w:rFonts w:ascii="Arial" w:cs="Arial" w:eastAsia="Arial" w:hAnsi="Arial"/>
          <w:sz w:val="17"/>
          <w:szCs w:val="17"/>
          <w:color w:val="auto"/>
        </w:rPr>
        <w:t>Dr. Wang continued, “Our Tahoe momentum continued, with a repeat shipment to our lead customer in the second quarter, and additional Tahoe deliveries to this customer and other customers planned for the second half of the year. We are also building progress with our ECP map front-end tool, with acceptance from our first customer in the second quarter, and an order from another foundry customer that was delivered in July. Also in July, we began construction of our new Lingang facility, which will add a total space of one million square feet for R&amp;D and manufacturing.”</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8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60" w:type="dxa"/>
            <w:vAlign w:val="bottom"/>
            <w:tcBorders>
              <w:bottom w:val="single" w:sz="8" w:color="auto"/>
            </w:tcBorders>
            <w:gridSpan w:val="6"/>
          </w:tcPr>
          <w:p>
            <w:pPr>
              <w:jc w:val="right"/>
              <w:ind w:right="270"/>
              <w:spacing w:after="0"/>
              <w:rPr>
                <w:sz w:val="20"/>
                <w:szCs w:val="20"/>
                <w:color w:val="auto"/>
              </w:rPr>
            </w:pPr>
            <w:r>
              <w:rPr>
                <w:rFonts w:ascii="Arial" w:cs="Arial" w:eastAsia="Arial" w:hAnsi="Arial"/>
                <w:sz w:val="18"/>
                <w:szCs w:val="18"/>
                <w:b w:val="1"/>
                <w:bCs w:val="1"/>
                <w:color w:val="auto"/>
                <w:w w:val="93"/>
              </w:rPr>
              <w:t>Three Months Ended June 30,</w:t>
            </w:r>
          </w:p>
        </w:tc>
        <w:tc>
          <w:tcPr>
            <w:tcW w:w="220" w:type="dxa"/>
            <w:vAlign w:val="bottom"/>
            <w:tcBorders>
              <w:bottom w:val="single" w:sz="8" w:color="auto"/>
            </w:tcBorders>
          </w:tcPr>
          <w:p>
            <w:pPr>
              <w:spacing w:after="0"/>
              <w:rPr>
                <w:sz w:val="20"/>
                <w:szCs w:val="20"/>
                <w:color w:val="auto"/>
              </w:rPr>
            </w:pPr>
          </w:p>
        </w:tc>
        <w:tc>
          <w:tcPr>
            <w:tcW w:w="880" w:type="dxa"/>
            <w:vAlign w:val="bottom"/>
            <w:tcBorders>
              <w:bottom w:val="single" w:sz="8" w:color="auto"/>
            </w:tcBorders>
          </w:tcPr>
          <w:p>
            <w:pPr>
              <w:spacing w:after="0"/>
              <w:rPr>
                <w:sz w:val="20"/>
                <w:szCs w:val="20"/>
                <w:color w:val="auto"/>
              </w:rPr>
            </w:pPr>
          </w:p>
        </w:tc>
        <w:tc>
          <w:tcPr>
            <w:tcW w:w="160" w:type="dxa"/>
            <w:vAlign w:val="bottom"/>
          </w:tcPr>
          <w:p>
            <w:pPr>
              <w:spacing w:after="0"/>
              <w:rPr>
                <w:sz w:val="20"/>
                <w:szCs w:val="20"/>
                <w:color w:val="auto"/>
              </w:rPr>
            </w:pPr>
          </w:p>
        </w:tc>
      </w:tr>
      <w:tr>
        <w:trPr>
          <w:trHeight w:val="223"/>
        </w:trPr>
        <w:tc>
          <w:tcPr>
            <w:tcW w:w="58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GAAP</w:t>
            </w:r>
          </w:p>
        </w:tc>
        <w:tc>
          <w:tcPr>
            <w:tcW w:w="9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b w:val="1"/>
                <w:bCs w:val="1"/>
                <w:color w:val="auto"/>
              </w:rPr>
              <w:t>Non-GAAP(1)</w:t>
            </w:r>
          </w:p>
        </w:tc>
        <w:tc>
          <w:tcPr>
            <w:tcW w:w="160" w:type="dxa"/>
            <w:vAlign w:val="bottom"/>
          </w:tcPr>
          <w:p>
            <w:pPr>
              <w:spacing w:after="0"/>
              <w:rPr>
                <w:sz w:val="19"/>
                <w:szCs w:val="19"/>
                <w:color w:val="auto"/>
              </w:rPr>
            </w:pPr>
          </w:p>
        </w:tc>
      </w:tr>
      <w:tr>
        <w:trPr>
          <w:trHeight w:val="223"/>
        </w:trPr>
        <w:tc>
          <w:tcPr>
            <w:tcW w:w="58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9"/>
                <w:szCs w:val="19"/>
                <w:color w:val="auto"/>
              </w:rPr>
            </w:pPr>
          </w:p>
        </w:tc>
      </w:tr>
      <w:tr>
        <w:trPr>
          <w:trHeight w:val="216"/>
        </w:trPr>
        <w:tc>
          <w:tcPr>
            <w:tcW w:w="58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380" w:type="dxa"/>
            <w:vAlign w:val="bottom"/>
            <w:gridSpan w:val="3"/>
          </w:tcPr>
          <w:p>
            <w:pPr>
              <w:jc w:val="right"/>
              <w:spacing w:after="0"/>
              <w:rPr>
                <w:sz w:val="20"/>
                <w:szCs w:val="20"/>
                <w:color w:val="auto"/>
              </w:rPr>
            </w:pPr>
            <w:r>
              <w:rPr>
                <w:rFonts w:ascii="Arial" w:cs="Arial" w:eastAsia="Arial" w:hAnsi="Arial"/>
                <w:sz w:val="18"/>
                <w:szCs w:val="18"/>
                <w:i w:val="1"/>
                <w:iCs w:val="1"/>
                <w:color w:val="auto"/>
                <w:w w:val="79"/>
              </w:rPr>
              <w:t>(dollars in thousands,</w:t>
            </w:r>
          </w:p>
        </w:tc>
        <w:tc>
          <w:tcPr>
            <w:tcW w:w="1380" w:type="dxa"/>
            <w:vAlign w:val="bottom"/>
            <w:gridSpan w:val="3"/>
          </w:tcPr>
          <w:p>
            <w:pPr>
              <w:jc w:val="right"/>
              <w:spacing w:after="0"/>
              <w:rPr>
                <w:sz w:val="20"/>
                <w:szCs w:val="20"/>
                <w:color w:val="auto"/>
              </w:rPr>
            </w:pPr>
            <w:r>
              <w:rPr>
                <w:rFonts w:ascii="Arial" w:cs="Arial" w:eastAsia="Arial" w:hAnsi="Arial"/>
                <w:sz w:val="18"/>
                <w:szCs w:val="18"/>
                <w:i w:val="1"/>
                <w:iCs w:val="1"/>
                <w:color w:val="auto"/>
                <w:w w:val="96"/>
              </w:rPr>
              <w:t>except per share</w:t>
            </w:r>
          </w:p>
        </w:tc>
        <w:tc>
          <w:tcPr>
            <w:tcW w:w="500" w:type="dxa"/>
            <w:vAlign w:val="bottom"/>
            <w:gridSpan w:val="2"/>
          </w:tcPr>
          <w:p>
            <w:pPr>
              <w:jc w:val="right"/>
              <w:ind w:right="47"/>
              <w:spacing w:after="0"/>
              <w:rPr>
                <w:sz w:val="20"/>
                <w:szCs w:val="20"/>
                <w:color w:val="auto"/>
              </w:rPr>
            </w:pPr>
            <w:r>
              <w:rPr>
                <w:rFonts w:ascii="Arial" w:cs="Arial" w:eastAsia="Arial" w:hAnsi="Arial"/>
                <w:sz w:val="18"/>
                <w:szCs w:val="18"/>
                <w:i w:val="1"/>
                <w:iCs w:val="1"/>
                <w:color w:val="auto"/>
                <w:w w:val="87"/>
              </w:rPr>
              <w:t>data)</w:t>
            </w:r>
          </w:p>
        </w:tc>
        <w:tc>
          <w:tcPr>
            <w:tcW w:w="880" w:type="dxa"/>
            <w:vAlign w:val="bottom"/>
          </w:tcPr>
          <w:p>
            <w:pPr>
              <w:spacing w:after="0"/>
              <w:rPr>
                <w:sz w:val="18"/>
                <w:szCs w:val="18"/>
                <w:color w:val="auto"/>
              </w:rPr>
            </w:pPr>
          </w:p>
        </w:tc>
        <w:tc>
          <w:tcPr>
            <w:tcW w:w="16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39,049</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29,010</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39,049</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29,010</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Gross margin</w:t>
            </w:r>
          </w:p>
        </w:tc>
        <w:tc>
          <w:tcPr>
            <w:tcW w:w="240" w:type="dxa"/>
            <w:vAlign w:val="bottom"/>
          </w:tcPr>
          <w:p>
            <w:pPr>
              <w:spacing w:after="0"/>
              <w:rPr>
                <w:sz w:val="18"/>
                <w:szCs w:val="18"/>
                <w:color w:val="auto"/>
              </w:rPr>
            </w:pPr>
          </w:p>
        </w:tc>
        <w:tc>
          <w:tcPr>
            <w:tcW w:w="1140" w:type="dxa"/>
            <w:vAlign w:val="bottom"/>
            <w:gridSpan w:val="2"/>
          </w:tcPr>
          <w:p>
            <w:pPr>
              <w:jc w:val="right"/>
              <w:ind w:right="30"/>
              <w:spacing w:after="0"/>
              <w:rPr>
                <w:sz w:val="20"/>
                <w:szCs w:val="20"/>
                <w:color w:val="auto"/>
              </w:rPr>
            </w:pPr>
            <w:r>
              <w:rPr>
                <w:rFonts w:ascii="Arial" w:cs="Arial" w:eastAsia="Arial" w:hAnsi="Arial"/>
                <w:sz w:val="18"/>
                <w:szCs w:val="18"/>
                <w:color w:val="auto"/>
              </w:rPr>
              <w:t>49.6%</w:t>
            </w:r>
          </w:p>
        </w:tc>
        <w:tc>
          <w:tcPr>
            <w:tcW w:w="160" w:type="dxa"/>
            <w:vAlign w:val="bottom"/>
          </w:tcPr>
          <w:p>
            <w:pPr>
              <w:spacing w:after="0"/>
              <w:rPr>
                <w:sz w:val="18"/>
                <w:szCs w:val="18"/>
                <w:color w:val="auto"/>
              </w:rPr>
            </w:pPr>
          </w:p>
        </w:tc>
        <w:tc>
          <w:tcPr>
            <w:tcW w:w="1220" w:type="dxa"/>
            <w:vAlign w:val="bottom"/>
            <w:gridSpan w:val="2"/>
          </w:tcPr>
          <w:p>
            <w:pPr>
              <w:jc w:val="right"/>
              <w:ind w:right="30"/>
              <w:spacing w:after="0"/>
              <w:rPr>
                <w:sz w:val="20"/>
                <w:szCs w:val="20"/>
                <w:color w:val="auto"/>
              </w:rPr>
            </w:pPr>
            <w:r>
              <w:rPr>
                <w:rFonts w:ascii="Arial" w:cs="Arial" w:eastAsia="Arial" w:hAnsi="Arial"/>
                <w:sz w:val="18"/>
                <w:szCs w:val="18"/>
                <w:color w:val="auto"/>
              </w:rPr>
              <w:t>45.3%</w:t>
            </w:r>
          </w:p>
        </w:tc>
        <w:tc>
          <w:tcPr>
            <w:tcW w:w="220" w:type="dxa"/>
            <w:vAlign w:val="bottom"/>
          </w:tcPr>
          <w:p>
            <w:pPr>
              <w:spacing w:after="0"/>
              <w:rPr>
                <w:sz w:val="18"/>
                <w:szCs w:val="18"/>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49.7%</w:t>
            </w:r>
          </w:p>
        </w:tc>
        <w:tc>
          <w:tcPr>
            <w:tcW w:w="220" w:type="dxa"/>
            <w:vAlign w:val="bottom"/>
          </w:tcPr>
          <w:p>
            <w:pPr>
              <w:spacing w:after="0"/>
              <w:rPr>
                <w:sz w:val="18"/>
                <w:szCs w:val="18"/>
                <w:color w:val="auto"/>
              </w:rPr>
            </w:pPr>
          </w:p>
        </w:tc>
        <w:tc>
          <w:tcPr>
            <w:tcW w:w="1040" w:type="dxa"/>
            <w:vAlign w:val="bottom"/>
            <w:gridSpan w:val="2"/>
          </w:tcPr>
          <w:p>
            <w:pPr>
              <w:jc w:val="right"/>
              <w:ind w:right="20"/>
              <w:spacing w:after="0"/>
              <w:rPr>
                <w:sz w:val="20"/>
                <w:szCs w:val="20"/>
                <w:color w:val="auto"/>
              </w:rPr>
            </w:pPr>
            <w:r>
              <w:rPr>
                <w:rFonts w:ascii="Arial" w:cs="Arial" w:eastAsia="Arial" w:hAnsi="Arial"/>
                <w:sz w:val="18"/>
                <w:szCs w:val="18"/>
                <w:color w:val="auto"/>
              </w:rPr>
              <w:t>45.4%</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7,336</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4,661</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8,191</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5,279</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Net income (loss) attributable to ACM Research, Inc.</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(81)</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90"/>
              <w:spacing w:after="0"/>
              <w:rPr>
                <w:sz w:val="20"/>
                <w:szCs w:val="20"/>
                <w:color w:val="auto"/>
              </w:rPr>
            </w:pPr>
            <w:r>
              <w:rPr>
                <w:rFonts w:ascii="Arial" w:cs="Arial" w:eastAsia="Arial" w:hAnsi="Arial"/>
                <w:sz w:val="18"/>
                <w:szCs w:val="18"/>
                <w:color w:val="auto"/>
              </w:rPr>
              <w:t>4,311</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90"/>
              <w:spacing w:after="0"/>
              <w:rPr>
                <w:sz w:val="20"/>
                <w:szCs w:val="20"/>
                <w:color w:val="auto"/>
              </w:rPr>
            </w:pPr>
            <w:r>
              <w:rPr>
                <w:rFonts w:ascii="Arial" w:cs="Arial" w:eastAsia="Arial" w:hAnsi="Arial"/>
                <w:sz w:val="18"/>
                <w:szCs w:val="18"/>
                <w:color w:val="auto"/>
              </w:rPr>
              <w:t>6,205</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4,929</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Basic EPS</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CEEFF"/>
          </w:tcPr>
          <w:p>
            <w:pPr>
              <w:jc w:val="right"/>
              <w:ind w:right="130"/>
              <w:spacing w:after="0"/>
              <w:rPr>
                <w:sz w:val="20"/>
                <w:szCs w:val="20"/>
                <w:color w:val="auto"/>
              </w:rPr>
            </w:pPr>
            <w:r>
              <w:rPr>
                <w:rFonts w:ascii="Arial" w:cs="Arial" w:eastAsia="Arial" w:hAnsi="Arial"/>
                <w:sz w:val="18"/>
                <w:szCs w:val="18"/>
                <w:color w:val="auto"/>
              </w:rPr>
              <w:t>(0.00)</w:t>
            </w:r>
          </w:p>
        </w:tc>
        <w:tc>
          <w:tcPr>
            <w:tcW w:w="160" w:type="dxa"/>
            <w:vAlign w:val="bottom"/>
            <w:shd w:val="clear" w:color="auto" w:fill="CCEEFF"/>
          </w:tcPr>
          <w:p>
            <w:pPr>
              <w:jc w:val="right"/>
              <w:ind w:right="4"/>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0.27</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90"/>
              <w:spacing w:after="0"/>
              <w:rPr>
                <w:sz w:val="20"/>
                <w:szCs w:val="20"/>
                <w:color w:val="auto"/>
              </w:rPr>
            </w:pPr>
            <w:r>
              <w:rPr>
                <w:rFonts w:ascii="Arial" w:cs="Arial" w:eastAsia="Arial" w:hAnsi="Arial"/>
                <w:sz w:val="18"/>
                <w:szCs w:val="18"/>
                <w:color w:val="auto"/>
              </w:rPr>
              <w:t>0.34</w:t>
            </w:r>
          </w:p>
        </w:tc>
        <w:tc>
          <w:tcPr>
            <w:tcW w:w="220" w:type="dxa"/>
            <w:vAlign w:val="bottom"/>
            <w:shd w:val="clear" w:color="auto" w:fill="CCEEFF"/>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0.31</w:t>
            </w:r>
          </w:p>
        </w:tc>
      </w:tr>
      <w:tr>
        <w:trPr>
          <w:trHeight w:val="230"/>
        </w:trPr>
        <w:tc>
          <w:tcPr>
            <w:tcW w:w="5840" w:type="dxa"/>
            <w:vAlign w:val="bottom"/>
          </w:tcPr>
          <w:p>
            <w:pPr>
              <w:spacing w:after="0"/>
              <w:rPr>
                <w:sz w:val="20"/>
                <w:szCs w:val="20"/>
                <w:color w:val="auto"/>
              </w:rPr>
            </w:pPr>
            <w:r>
              <w:rPr>
                <w:rFonts w:ascii="Arial" w:cs="Arial" w:eastAsia="Arial" w:hAnsi="Arial"/>
                <w:sz w:val="18"/>
                <w:szCs w:val="18"/>
                <w:color w:val="auto"/>
              </w:rPr>
              <w:t>Diluted EPS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30"/>
              <w:spacing w:after="0"/>
              <w:rPr>
                <w:sz w:val="20"/>
                <w:szCs w:val="20"/>
                <w:color w:val="auto"/>
              </w:rPr>
            </w:pPr>
            <w:r>
              <w:rPr>
                <w:rFonts w:ascii="Arial" w:cs="Arial" w:eastAsia="Arial" w:hAnsi="Arial"/>
                <w:sz w:val="18"/>
                <w:szCs w:val="18"/>
                <w:color w:val="auto"/>
              </w:rPr>
              <w:t>(0.00)</w:t>
            </w:r>
          </w:p>
        </w:tc>
        <w:tc>
          <w:tcPr>
            <w:tcW w:w="160" w:type="dxa"/>
            <w:vAlign w:val="bottom"/>
          </w:tcPr>
          <w:p>
            <w:pPr>
              <w:jc w:val="right"/>
              <w:ind w:right="4"/>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90"/>
              <w:spacing w:after="0"/>
              <w:rPr>
                <w:sz w:val="20"/>
                <w:szCs w:val="20"/>
                <w:color w:val="auto"/>
              </w:rPr>
            </w:pPr>
            <w:r>
              <w:rPr>
                <w:rFonts w:ascii="Arial" w:cs="Arial" w:eastAsia="Arial" w:hAnsi="Arial"/>
                <w:sz w:val="18"/>
                <w:szCs w:val="18"/>
                <w:color w:val="auto"/>
              </w:rPr>
              <w:t>0.23</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90"/>
              <w:spacing w:after="0"/>
              <w:rPr>
                <w:sz w:val="20"/>
                <w:szCs w:val="20"/>
                <w:color w:val="auto"/>
              </w:rPr>
            </w:pPr>
            <w:r>
              <w:rPr>
                <w:rFonts w:ascii="Arial" w:cs="Arial" w:eastAsia="Arial" w:hAnsi="Arial"/>
                <w:sz w:val="18"/>
                <w:szCs w:val="18"/>
                <w:color w:val="auto"/>
              </w:rPr>
              <w:t>0.29</w:t>
            </w:r>
          </w:p>
        </w:tc>
        <w:tc>
          <w:tcPr>
            <w:tcW w:w="220" w:type="dxa"/>
            <w:vAlign w:val="bottom"/>
          </w:tcPr>
          <w:p>
            <w:pPr>
              <w:jc w:val="right"/>
              <w:ind w:right="67"/>
              <w:spacing w:after="0"/>
              <w:rPr>
                <w:sz w:val="20"/>
                <w:szCs w:val="20"/>
                <w:color w:val="auto"/>
              </w:rPr>
            </w:pPr>
            <w:r>
              <w:rPr>
                <w:rFonts w:ascii="Arial" w:cs="Arial" w:eastAsia="Arial" w:hAnsi="Arial"/>
                <w:sz w:val="15"/>
                <w:szCs w:val="15"/>
                <w:color w:val="auto"/>
                <w:w w:val="71"/>
              </w:rPr>
              <w:t>$</w:t>
            </w: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0.26</w:t>
            </w:r>
          </w:p>
        </w:tc>
      </w:tr>
      <w:tr>
        <w:trPr>
          <w:trHeight w:val="452"/>
        </w:trPr>
        <w:tc>
          <w:tcPr>
            <w:tcW w:w="584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5"/>
          </w:tcPr>
          <w:p>
            <w:pPr>
              <w:jc w:val="right"/>
              <w:ind w:right="370"/>
              <w:spacing w:after="0"/>
              <w:rPr>
                <w:sz w:val="20"/>
                <w:szCs w:val="20"/>
                <w:color w:val="auto"/>
              </w:rPr>
            </w:pPr>
            <w:r>
              <w:rPr>
                <w:rFonts w:ascii="Arial" w:cs="Arial" w:eastAsia="Arial" w:hAnsi="Arial"/>
                <w:sz w:val="18"/>
                <w:szCs w:val="18"/>
                <w:b w:val="1"/>
                <w:bCs w:val="1"/>
                <w:color w:val="auto"/>
                <w:w w:val="90"/>
              </w:rPr>
              <w:t>Six Months Ended June 30,</w:t>
            </w:r>
          </w:p>
        </w:tc>
        <w:tc>
          <w:tcPr>
            <w:tcW w:w="2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160" w:type="dxa"/>
            <w:vAlign w:val="bottom"/>
          </w:tcPr>
          <w:p>
            <w:pPr>
              <w:spacing w:after="0"/>
              <w:rPr>
                <w:sz w:val="24"/>
                <w:szCs w:val="24"/>
                <w:color w:val="auto"/>
              </w:rPr>
            </w:pPr>
          </w:p>
        </w:tc>
      </w:tr>
      <w:tr>
        <w:trPr>
          <w:trHeight w:val="223"/>
        </w:trPr>
        <w:tc>
          <w:tcPr>
            <w:tcW w:w="58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GAAP</w:t>
            </w:r>
          </w:p>
        </w:tc>
        <w:tc>
          <w:tcPr>
            <w:tcW w:w="94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260" w:type="dxa"/>
            <w:vAlign w:val="bottom"/>
            <w:tcBorders>
              <w:bottom w:val="single" w:sz="8" w:color="auto"/>
            </w:tcBorders>
            <w:gridSpan w:val="4"/>
          </w:tcPr>
          <w:p>
            <w:pPr>
              <w:jc w:val="right"/>
              <w:ind w:right="610"/>
              <w:spacing w:after="0"/>
              <w:rPr>
                <w:sz w:val="20"/>
                <w:szCs w:val="20"/>
                <w:color w:val="auto"/>
              </w:rPr>
            </w:pPr>
            <w:r>
              <w:rPr>
                <w:rFonts w:ascii="Arial" w:cs="Arial" w:eastAsia="Arial" w:hAnsi="Arial"/>
                <w:sz w:val="18"/>
                <w:szCs w:val="18"/>
                <w:b w:val="1"/>
                <w:bCs w:val="1"/>
                <w:color w:val="auto"/>
              </w:rPr>
              <w:t>Non-GAAP(1)</w:t>
            </w:r>
          </w:p>
        </w:tc>
        <w:tc>
          <w:tcPr>
            <w:tcW w:w="160" w:type="dxa"/>
            <w:vAlign w:val="bottom"/>
          </w:tcPr>
          <w:p>
            <w:pPr>
              <w:spacing w:after="0"/>
              <w:rPr>
                <w:sz w:val="19"/>
                <w:szCs w:val="19"/>
                <w:color w:val="auto"/>
              </w:rPr>
            </w:pPr>
          </w:p>
        </w:tc>
      </w:tr>
      <w:tr>
        <w:trPr>
          <w:trHeight w:val="223"/>
        </w:trPr>
        <w:tc>
          <w:tcPr>
            <w:tcW w:w="58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2019</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28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60" w:type="dxa"/>
            <w:vAlign w:val="bottom"/>
          </w:tcPr>
          <w:p>
            <w:pPr>
              <w:spacing w:after="0"/>
              <w:rPr>
                <w:sz w:val="19"/>
                <w:szCs w:val="19"/>
                <w:color w:val="auto"/>
              </w:rPr>
            </w:pPr>
          </w:p>
        </w:tc>
      </w:tr>
    </w:tbl>
    <w:p>
      <w:pPr>
        <w:sectPr>
          <w:pgSz w:w="11900" w:h="16864" w:orient="portrait"/>
          <w:cols w:equalWidth="0" w:num="1">
            <w:col w:w="11240"/>
          </w:cols>
          <w:pgMar w:left="320" w:top="283" w:right="339" w:bottom="0" w:gutter="0" w:footer="0" w:header="0"/>
        </w:sectPr>
      </w:pPr>
    </w:p>
    <w:bookmarkStart w:id="4" w:name="page5"/>
    <w:bookmarkEnd w:id="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462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4120" w:type="dxa"/>
            <w:vAlign w:val="bottom"/>
            <w:gridSpan w:val="6"/>
          </w:tcPr>
          <w:p>
            <w:pPr>
              <w:jc w:val="right"/>
              <w:ind w:right="150"/>
              <w:spacing w:after="0"/>
              <w:rPr>
                <w:sz w:val="20"/>
                <w:szCs w:val="20"/>
                <w:color w:val="auto"/>
              </w:rPr>
            </w:pPr>
            <w:r>
              <w:rPr>
                <w:rFonts w:ascii="Arial" w:cs="Arial" w:eastAsia="Arial" w:hAnsi="Arial"/>
                <w:sz w:val="18"/>
                <w:szCs w:val="18"/>
                <w:i w:val="1"/>
                <w:iCs w:val="1"/>
                <w:color w:val="auto"/>
              </w:rPr>
              <w:t>(dollars in thousands, except per share data)</w:t>
            </w:r>
          </w:p>
        </w:tc>
        <w:tc>
          <w:tcPr>
            <w:tcW w:w="920" w:type="dxa"/>
            <w:vAlign w:val="bottom"/>
          </w:tcPr>
          <w:p>
            <w:pPr>
              <w:spacing w:after="0"/>
              <w:rPr>
                <w:sz w:val="20"/>
                <w:szCs w:val="20"/>
                <w:color w:val="auto"/>
              </w:rPr>
            </w:pP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5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63,397</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49,489</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63,397</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49,489</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Gross margin</w:t>
            </w:r>
          </w:p>
        </w:tc>
        <w:tc>
          <w:tcPr>
            <w:tcW w:w="158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46.7%</w:t>
            </w: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44.4%</w:t>
            </w:r>
          </w:p>
        </w:tc>
        <w:tc>
          <w:tcPr>
            <w:tcW w:w="4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46.8%</w:t>
            </w:r>
          </w:p>
        </w:tc>
        <w:tc>
          <w:tcPr>
            <w:tcW w:w="400" w:type="dxa"/>
            <w:vAlign w:val="bottom"/>
          </w:tcPr>
          <w:p>
            <w:pPr>
              <w:spacing w:after="0"/>
              <w:rPr>
                <w:sz w:val="18"/>
                <w:szCs w:val="18"/>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44.5%</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Income from operations</w:t>
            </w:r>
          </w:p>
        </w:tc>
        <w:tc>
          <w:tcPr>
            <w:tcW w:w="15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8,554</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6,912</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10,098</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8,274</w:t>
            </w:r>
          </w:p>
        </w:tc>
      </w:tr>
      <w:tr>
        <w:trPr>
          <w:trHeight w:val="216"/>
        </w:trPr>
        <w:tc>
          <w:tcPr>
            <w:tcW w:w="4620" w:type="dxa"/>
            <w:vAlign w:val="bottom"/>
          </w:tcPr>
          <w:p>
            <w:pPr>
              <w:spacing w:after="0"/>
              <w:rPr>
                <w:sz w:val="20"/>
                <w:szCs w:val="20"/>
                <w:color w:val="auto"/>
              </w:rPr>
            </w:pPr>
            <w:r>
              <w:rPr>
                <w:rFonts w:ascii="Arial" w:cs="Arial" w:eastAsia="Arial" w:hAnsi="Arial"/>
                <w:sz w:val="18"/>
                <w:szCs w:val="18"/>
                <w:color w:val="auto"/>
              </w:rPr>
              <w:t>Net income attributable to ACM Research, Inc.</w:t>
            </w:r>
          </w:p>
        </w:tc>
        <w:tc>
          <w:tcPr>
            <w:tcW w:w="15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1,624</w:t>
            </w: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6,168</w:t>
            </w: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8,599</w:t>
            </w: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7,530</w:t>
            </w:r>
          </w:p>
        </w:tc>
      </w:tr>
      <w:tr>
        <w:trPr>
          <w:trHeight w:val="216"/>
        </w:trPr>
        <w:tc>
          <w:tcPr>
            <w:tcW w:w="4620" w:type="dxa"/>
            <w:vAlign w:val="bottom"/>
            <w:shd w:val="clear" w:color="auto" w:fill="CCEEFF"/>
          </w:tcPr>
          <w:p>
            <w:pPr>
              <w:spacing w:after="0"/>
              <w:rPr>
                <w:sz w:val="20"/>
                <w:szCs w:val="20"/>
                <w:color w:val="auto"/>
              </w:rPr>
            </w:pPr>
            <w:r>
              <w:rPr>
                <w:rFonts w:ascii="Arial" w:cs="Arial" w:eastAsia="Arial" w:hAnsi="Arial"/>
                <w:sz w:val="18"/>
                <w:szCs w:val="18"/>
                <w:color w:val="auto"/>
              </w:rPr>
              <w:t>Basic EPS</w:t>
            </w:r>
          </w:p>
        </w:tc>
        <w:tc>
          <w:tcPr>
            <w:tcW w:w="158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0.09</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0.38</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0.48</w:t>
            </w:r>
          </w:p>
        </w:tc>
        <w:tc>
          <w:tcPr>
            <w:tcW w:w="40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0.47</w:t>
            </w:r>
          </w:p>
        </w:tc>
      </w:tr>
      <w:tr>
        <w:trPr>
          <w:trHeight w:val="230"/>
        </w:trPr>
        <w:tc>
          <w:tcPr>
            <w:tcW w:w="4620" w:type="dxa"/>
            <w:vAlign w:val="bottom"/>
          </w:tcPr>
          <w:p>
            <w:pPr>
              <w:spacing w:after="0"/>
              <w:rPr>
                <w:sz w:val="20"/>
                <w:szCs w:val="20"/>
                <w:color w:val="auto"/>
              </w:rPr>
            </w:pPr>
            <w:r>
              <w:rPr>
                <w:rFonts w:ascii="Arial" w:cs="Arial" w:eastAsia="Arial" w:hAnsi="Arial"/>
                <w:sz w:val="18"/>
                <w:szCs w:val="18"/>
                <w:color w:val="auto"/>
              </w:rPr>
              <w:t>Diluted EPS</w:t>
            </w:r>
          </w:p>
        </w:tc>
        <w:tc>
          <w:tcPr>
            <w:tcW w:w="158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0.08</w:t>
            </w: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0.33</w:t>
            </w: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80" w:type="dxa"/>
            <w:vAlign w:val="bottom"/>
          </w:tcPr>
          <w:p>
            <w:pPr>
              <w:jc w:val="right"/>
              <w:ind w:right="130"/>
              <w:spacing w:after="0"/>
              <w:rPr>
                <w:sz w:val="20"/>
                <w:szCs w:val="20"/>
                <w:color w:val="auto"/>
              </w:rPr>
            </w:pPr>
            <w:r>
              <w:rPr>
                <w:rFonts w:ascii="Arial" w:cs="Arial" w:eastAsia="Arial" w:hAnsi="Arial"/>
                <w:sz w:val="18"/>
                <w:szCs w:val="18"/>
                <w:color w:val="auto"/>
              </w:rPr>
              <w:t>0.41</w:t>
            </w:r>
          </w:p>
        </w:tc>
        <w:tc>
          <w:tcPr>
            <w:tcW w:w="400" w:type="dxa"/>
            <w:vAlign w:val="bottom"/>
          </w:tcPr>
          <w:p>
            <w:pPr>
              <w:jc w:val="right"/>
              <w:ind w:right="17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0.41</w:t>
            </w:r>
          </w:p>
        </w:tc>
      </w:tr>
    </w:tbl>
    <w:p>
      <w:pPr>
        <w:spacing w:after="0" w:line="214" w:lineRule="exact"/>
        <w:rPr>
          <w:sz w:val="20"/>
          <w:szCs w:val="20"/>
          <w:color w:val="auto"/>
        </w:rPr>
      </w:pPr>
    </w:p>
    <w:p>
      <w:pPr>
        <w:ind w:left="340" w:right="200" w:hanging="332"/>
        <w:spacing w:after="0" w:line="259" w:lineRule="auto"/>
        <w:tabs>
          <w:tab w:leader="none" w:pos="340" w:val="left"/>
        </w:tabs>
        <w:numPr>
          <w:ilvl w:val="0"/>
          <w:numId w:val="2"/>
        </w:numPr>
        <w:rPr>
          <w:rFonts w:ascii="Arial" w:cs="Arial" w:eastAsia="Arial" w:hAnsi="Arial"/>
          <w:sz w:val="18"/>
          <w:szCs w:val="18"/>
          <w:color w:val="auto"/>
        </w:rPr>
      </w:pPr>
      <w:r>
        <w:rPr>
          <w:rFonts w:ascii="Arial" w:cs="Arial" w:eastAsia="Arial" w:hAnsi="Arial"/>
          <w:sz w:val="18"/>
          <w:szCs w:val="18"/>
          <w:color w:val="auto"/>
        </w:rPr>
        <w:t>Reconciliations to U.S. generally accepted accounting principles (“GAAP”) financial measures from non-GAAP financial measures are presented below under “Reconciliation of GAAP to Non-GAAP Financial Measures.” Non-GAAP financial measures exclude stock-based compensation, with respect to net income (loss) attributable to ACM Research, Inc. and basic and diluted EPS, also exclude non-cash changes in fair value of financial assets and liabilities.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Outlook</w:t>
      </w:r>
    </w:p>
    <w:p>
      <w:pPr>
        <w:spacing w:after="0" w:line="256" w:lineRule="exact"/>
        <w:rPr>
          <w:sz w:val="20"/>
          <w:szCs w:val="20"/>
          <w:color w:val="auto"/>
        </w:rPr>
      </w:pPr>
    </w:p>
    <w:p>
      <w:pPr>
        <w:ind w:right="240"/>
        <w:spacing w:after="0" w:line="263" w:lineRule="auto"/>
        <w:rPr>
          <w:sz w:val="20"/>
          <w:szCs w:val="20"/>
          <w:color w:val="auto"/>
        </w:rPr>
      </w:pPr>
      <w:r>
        <w:rPr>
          <w:rFonts w:ascii="Arial" w:cs="Arial" w:eastAsia="Arial" w:hAnsi="Arial"/>
          <w:sz w:val="18"/>
          <w:szCs w:val="18"/>
          <w:color w:val="auto"/>
        </w:rPr>
        <w:t>For fiscal year 2020, the Company now expects revenue to be in the range of $140 million to $155 million, up from the previous guidance range of $130 million to $150 million. This view assumes, among other factors, the COVID-19 situation continues to improve in China and stabilizes in the coming months on a global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u w:val="single" w:color="auto"/>
          <w:color w:val="auto"/>
        </w:rPr>
        <w:t>Q2 Operating Highlights and Recent Announcements</w:t>
      </w:r>
    </w:p>
    <w:p>
      <w:pPr>
        <w:spacing w:after="0" w:line="252" w:lineRule="exact"/>
        <w:rPr>
          <w:sz w:val="20"/>
          <w:szCs w:val="20"/>
          <w:color w:val="auto"/>
        </w:rPr>
      </w:pPr>
    </w:p>
    <w:p>
      <w:pPr>
        <w:ind w:left="340" w:right="220" w:hanging="332"/>
        <w:spacing w:after="0" w:line="266"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Shipments. </w:t>
      </w:r>
      <w:r>
        <w:rPr>
          <w:rFonts w:ascii="Arial" w:cs="Arial" w:eastAsia="Arial" w:hAnsi="Arial"/>
          <w:sz w:val="18"/>
          <w:szCs w:val="18"/>
          <w:color w:val="auto"/>
        </w:rPr>
        <w:t>Total shipments in the second quarter of 2020 were $45 million, versus $33 million in the second quarter of 2019 and $12 million in the</w:t>
      </w:r>
      <w:r>
        <w:rPr>
          <w:rFonts w:ascii="Arial" w:cs="Arial" w:eastAsia="Arial" w:hAnsi="Arial"/>
          <w:sz w:val="18"/>
          <w:szCs w:val="18"/>
          <w:b w:val="1"/>
          <w:bCs w:val="1"/>
          <w:color w:val="auto"/>
        </w:rPr>
        <w:t xml:space="preserve"> </w:t>
      </w:r>
      <w:r>
        <w:rPr>
          <w:rFonts w:ascii="Arial" w:cs="Arial" w:eastAsia="Arial" w:hAnsi="Arial"/>
          <w:sz w:val="18"/>
          <w:szCs w:val="18"/>
          <w:color w:val="auto"/>
        </w:rPr>
        <w:t>first quarter of 2020. Total shipments included deliveries for revenue in the quarter, and deliveries of systems awaiting customer acceptance for potential revenue in future quarters.</w:t>
      </w:r>
    </w:p>
    <w:p>
      <w:pPr>
        <w:spacing w:after="0" w:line="202" w:lineRule="exact"/>
        <w:rPr>
          <w:rFonts w:ascii="Arial" w:cs="Arial" w:eastAsia="Arial" w:hAnsi="Arial"/>
          <w:sz w:val="18"/>
          <w:szCs w:val="18"/>
          <w:color w:val="auto"/>
        </w:rPr>
      </w:pPr>
    </w:p>
    <w:p>
      <w:pPr>
        <w:ind w:left="340" w:right="100" w:hanging="332"/>
        <w:spacing w:after="0" w:line="314"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Ultra C VI Cleaning Tool Introduced</w:t>
      </w:r>
      <w:r>
        <w:rPr>
          <w:rFonts w:ascii="Arial" w:cs="Arial" w:eastAsia="Arial" w:hAnsi="Arial"/>
          <w:sz w:val="16"/>
          <w:szCs w:val="16"/>
          <w:color w:val="auto"/>
        </w:rPr>
        <w:t>. On June 26, 2020, ACM introduced its Ultra C VI single wafer tool, the newest addition to its line of Ultra C</w:t>
      </w:r>
      <w:r>
        <w:rPr>
          <w:rFonts w:ascii="Arial" w:cs="Arial" w:eastAsia="Arial" w:hAnsi="Arial"/>
          <w:sz w:val="16"/>
          <w:szCs w:val="16"/>
          <w:b w:val="1"/>
          <w:bCs w:val="1"/>
          <w:color w:val="auto"/>
        </w:rPr>
        <w:t xml:space="preserve"> </w:t>
      </w:r>
      <w:r>
        <w:rPr>
          <w:rFonts w:ascii="Arial" w:cs="Arial" w:eastAsia="Arial" w:hAnsi="Arial"/>
          <w:sz w:val="16"/>
          <w:szCs w:val="16"/>
          <w:color w:val="auto"/>
        </w:rPr>
        <w:t>cleaning systems. Building on ACM’s proven multi-chamber technology, the new tool features 18 chambers, representing a 50-percent expansion on the 12 chambers included in the Ultra C V system, with only a slightly larger footprint to allow for integration into existing production lines.</w:t>
      </w:r>
    </w:p>
    <w:p>
      <w:pPr>
        <w:spacing w:after="0" w:line="168" w:lineRule="exact"/>
        <w:rPr>
          <w:rFonts w:ascii="Arial" w:cs="Arial" w:eastAsia="Arial" w:hAnsi="Arial"/>
          <w:sz w:val="16"/>
          <w:szCs w:val="16"/>
          <w:color w:val="auto"/>
        </w:rPr>
      </w:pPr>
    </w:p>
    <w:p>
      <w:pPr>
        <w:ind w:left="340" w:right="20" w:hanging="332"/>
        <w:spacing w:after="0" w:line="282"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Two new China-Based Customers. </w:t>
      </w:r>
      <w:r>
        <w:rPr>
          <w:rFonts w:ascii="Arial" w:cs="Arial" w:eastAsia="Arial" w:hAnsi="Arial"/>
          <w:sz w:val="18"/>
          <w:szCs w:val="18"/>
          <w:color w:val="auto"/>
        </w:rPr>
        <w:t>On August 5, 2020, ACM announced receipt of purchase orders and participation in final-stage bidding for a total</w:t>
      </w:r>
      <w:r>
        <w:rPr>
          <w:rFonts w:ascii="Arial" w:cs="Arial" w:eastAsia="Arial" w:hAnsi="Arial"/>
          <w:sz w:val="18"/>
          <w:szCs w:val="18"/>
          <w:b w:val="1"/>
          <w:bCs w:val="1"/>
          <w:color w:val="auto"/>
        </w:rPr>
        <w:t xml:space="preserve"> </w:t>
      </w:r>
      <w:r>
        <w:rPr>
          <w:rFonts w:ascii="Arial" w:cs="Arial" w:eastAsia="Arial" w:hAnsi="Arial"/>
          <w:sz w:val="18"/>
          <w:szCs w:val="18"/>
          <w:color w:val="auto"/>
        </w:rPr>
        <w:t>of $36 million from two new China-based customers that manufacture analog and power IC devices.</w:t>
      </w:r>
    </w:p>
    <w:p>
      <w:pPr>
        <w:spacing w:after="0" w:line="188"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 xml:space="preserve">SAPS II Development Tool Delivered to Global OEM. </w:t>
      </w:r>
      <w:r>
        <w:rPr>
          <w:rFonts w:ascii="Arial" w:cs="Arial" w:eastAsia="Arial" w:hAnsi="Arial"/>
          <w:sz w:val="16"/>
          <w:szCs w:val="16"/>
          <w:color w:val="auto"/>
        </w:rPr>
        <w:t>On August 5, 2020, ACM also announced that it had recently delivered its Ultra C SAPS II</w:t>
      </w:r>
    </w:p>
    <w:p>
      <w:pPr>
        <w:spacing w:after="0" w:line="50" w:lineRule="exact"/>
        <w:rPr>
          <w:rFonts w:ascii="Arial" w:cs="Arial" w:eastAsia="Arial" w:hAnsi="Arial"/>
          <w:sz w:val="16"/>
          <w:szCs w:val="16"/>
          <w:color w:val="auto"/>
        </w:rPr>
      </w:pPr>
    </w:p>
    <w:p>
      <w:pPr>
        <w:ind w:left="340" w:right="160"/>
        <w:spacing w:after="0" w:line="260" w:lineRule="auto"/>
        <w:rPr>
          <w:rFonts w:ascii="Arial" w:cs="Arial" w:eastAsia="Arial" w:hAnsi="Arial"/>
          <w:sz w:val="16"/>
          <w:szCs w:val="16"/>
          <w:color w:val="auto"/>
        </w:rPr>
      </w:pPr>
      <w:r>
        <w:rPr>
          <w:rFonts w:ascii="Arial" w:cs="Arial" w:eastAsia="Arial" w:hAnsi="Arial"/>
          <w:sz w:val="18"/>
          <w:szCs w:val="18"/>
          <w:color w:val="auto"/>
        </w:rPr>
        <w:t>2-chamber development tool to the U.S. demo lab of a leading global supplier of semiconductor processing equipment for wafer manufacturing. This marked ACM's first delivery and installation of Smart Megasonix technology in the United States.</w:t>
      </w:r>
    </w:p>
    <w:p>
      <w:pPr>
        <w:spacing w:after="0" w:line="208" w:lineRule="exact"/>
        <w:rPr>
          <w:rFonts w:ascii="Arial" w:cs="Arial" w:eastAsia="Arial" w:hAnsi="Arial"/>
          <w:sz w:val="16"/>
          <w:szCs w:val="16"/>
          <w:color w:val="auto"/>
        </w:rPr>
      </w:pPr>
    </w:p>
    <w:p>
      <w:pPr>
        <w:ind w:left="340" w:right="80" w:hanging="332"/>
        <w:spacing w:after="0" w:line="347" w:lineRule="auto"/>
        <w:tabs>
          <w:tab w:leader="none" w:pos="340" w:val="left"/>
        </w:tabs>
        <w:numPr>
          <w:ilvl w:val="0"/>
          <w:numId w:val="3"/>
        </w:numPr>
        <w:rPr>
          <w:rFonts w:ascii="Arial" w:cs="Arial" w:eastAsia="Arial" w:hAnsi="Arial"/>
          <w:sz w:val="16"/>
          <w:szCs w:val="16"/>
          <w:color w:val="auto"/>
        </w:rPr>
      </w:pPr>
      <w:r>
        <w:rPr>
          <w:rFonts w:ascii="Arial" w:cs="Arial" w:eastAsia="Arial" w:hAnsi="Arial"/>
          <w:sz w:val="16"/>
          <w:szCs w:val="16"/>
          <w:b w:val="1"/>
          <w:bCs w:val="1"/>
          <w:color w:val="auto"/>
        </w:rPr>
        <w:t>ACM Shanghai Pre-IPO activities</w:t>
      </w:r>
      <w:r>
        <w:rPr>
          <w:rFonts w:ascii="Arial" w:cs="Arial" w:eastAsia="Arial" w:hAnsi="Arial"/>
          <w:sz w:val="16"/>
          <w:szCs w:val="16"/>
          <w:color w:val="auto"/>
        </w:rPr>
        <w:t>. In May 2020, ACM Shanghai submitted its application for an initial public offering of its shares on the Shanghai</w:t>
      </w:r>
      <w:r>
        <w:rPr>
          <w:rFonts w:ascii="Arial" w:cs="Arial" w:eastAsia="Arial" w:hAnsi="Arial"/>
          <w:sz w:val="16"/>
          <w:szCs w:val="16"/>
          <w:b w:val="1"/>
          <w:bCs w:val="1"/>
          <w:color w:val="auto"/>
        </w:rPr>
        <w:t xml:space="preserve"> </w:t>
      </w:r>
      <w:r>
        <w:rPr>
          <w:rFonts w:ascii="Arial" w:cs="Arial" w:eastAsia="Arial" w:hAnsi="Arial"/>
          <w:sz w:val="16"/>
          <w:szCs w:val="16"/>
          <w:color w:val="auto"/>
        </w:rPr>
        <w:t>Stock Exchange’s STAR Market. The Company’s plan remains on track to price the transaction by year-end, pending timely approvals.</w:t>
      </w:r>
    </w:p>
    <w:p>
      <w:pPr>
        <w:spacing w:after="0" w:line="142" w:lineRule="exact"/>
        <w:rPr>
          <w:rFonts w:ascii="Arial" w:cs="Arial" w:eastAsia="Arial" w:hAnsi="Arial"/>
          <w:sz w:val="16"/>
          <w:szCs w:val="16"/>
          <w:color w:val="auto"/>
        </w:rPr>
      </w:pPr>
    </w:p>
    <w:p>
      <w:pPr>
        <w:ind w:left="340" w:right="40" w:hanging="332"/>
        <w:spacing w:after="0" w:line="261" w:lineRule="auto"/>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Update on R&amp;D and Production Center in Shanghai’s Lingang Region</w:t>
      </w:r>
      <w:r>
        <w:rPr>
          <w:rFonts w:ascii="Arial" w:cs="Arial" w:eastAsia="Arial" w:hAnsi="Arial"/>
          <w:sz w:val="18"/>
          <w:szCs w:val="18"/>
          <w:color w:val="auto"/>
        </w:rPr>
        <w:t>. ACM Shanghai held a groundbreaking ceremony on July 7, 2020 to mark</w:t>
      </w:r>
      <w:r>
        <w:rPr>
          <w:rFonts w:ascii="Arial" w:cs="Arial" w:eastAsia="Arial" w:hAnsi="Arial"/>
          <w:sz w:val="18"/>
          <w:szCs w:val="18"/>
          <w:b w:val="1"/>
          <w:bCs w:val="1"/>
          <w:color w:val="auto"/>
        </w:rPr>
        <w:t xml:space="preserve"> </w:t>
      </w:r>
      <w:r>
        <w:rPr>
          <w:rFonts w:ascii="Arial" w:cs="Arial" w:eastAsia="Arial" w:hAnsi="Arial"/>
          <w:sz w:val="18"/>
          <w:szCs w:val="18"/>
          <w:color w:val="auto"/>
        </w:rPr>
        <w:t>the commencement of construction of its new one million square foot R&amp;D and production facility. The facility site is located in the Lingang region of Shanghai, which is approximately 30 miles from ACM Shanghai’s headquarters in Zhangjiang. The Company expects initial production activities to commence in late 2022.</w:t>
      </w:r>
    </w:p>
    <w:p>
      <w:pPr>
        <w:spacing w:after="0" w:line="206" w:lineRule="exact"/>
        <w:rPr>
          <w:rFonts w:ascii="Arial" w:cs="Arial" w:eastAsia="Arial" w:hAnsi="Arial"/>
          <w:sz w:val="18"/>
          <w:szCs w:val="18"/>
          <w:color w:val="auto"/>
        </w:rPr>
      </w:pPr>
    </w:p>
    <w:p>
      <w:pPr>
        <w:ind w:left="340" w:right="140" w:hanging="332"/>
        <w:spacing w:after="0" w:line="277" w:lineRule="auto"/>
        <w:tabs>
          <w:tab w:leader="none" w:pos="340" w:val="left"/>
        </w:tabs>
        <w:numPr>
          <w:ilvl w:val="0"/>
          <w:numId w:val="3"/>
        </w:numPr>
        <w:rPr>
          <w:rFonts w:ascii="Arial" w:cs="Arial" w:eastAsia="Arial" w:hAnsi="Arial"/>
          <w:sz w:val="17"/>
          <w:szCs w:val="17"/>
          <w:color w:val="auto"/>
        </w:rPr>
      </w:pPr>
      <w:r>
        <w:rPr>
          <w:rFonts w:ascii="Arial" w:cs="Arial" w:eastAsia="Arial" w:hAnsi="Arial"/>
          <w:sz w:val="17"/>
          <w:szCs w:val="17"/>
          <w:b w:val="1"/>
          <w:bCs w:val="1"/>
          <w:color w:val="auto"/>
        </w:rPr>
        <w:t xml:space="preserve">Investment in SMIC’s STAR Market Listing. </w:t>
      </w:r>
      <w:r>
        <w:rPr>
          <w:rFonts w:ascii="Arial" w:cs="Arial" w:eastAsia="Arial" w:hAnsi="Arial"/>
          <w:sz w:val="17"/>
          <w:szCs w:val="17"/>
          <w:color w:val="auto"/>
        </w:rPr>
        <w:t>In May 2020 ACM Shanghai became a limited partner of Qingdao Fortune-Tech Xinxing Capital</w:t>
      </w:r>
      <w:r>
        <w:rPr>
          <w:rFonts w:ascii="Arial" w:cs="Arial" w:eastAsia="Arial" w:hAnsi="Arial"/>
          <w:sz w:val="17"/>
          <w:szCs w:val="17"/>
          <w:b w:val="1"/>
          <w:bCs w:val="1"/>
          <w:color w:val="auto"/>
        </w:rPr>
        <w:t xml:space="preserve"> </w:t>
      </w:r>
      <w:r>
        <w:rPr>
          <w:rFonts w:ascii="Arial" w:cs="Arial" w:eastAsia="Arial" w:hAnsi="Arial"/>
          <w:sz w:val="17"/>
          <w:szCs w:val="17"/>
          <w:color w:val="auto"/>
        </w:rPr>
        <w:t>Partnership (L.P.), a partnership formed to establish a special fund to purchase, in a strategic placement, shares of Semiconductor Manufacturing International Corp. (“SMIC”) to be listed on the Shanghai Stock Exchange’s STAR Market. The partnership contributed a total of RMB 2.224 billion ($315 million), at the offer price of RMB 27.46, of which ACM contributed RMB 100 million ($14.2 million). SMIC is the largest China-based semiconductor foundry, and its shares began trading on the STAR Market on July 16, 2020.</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Financial Summary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Unless otherwise noted, the following figures refer to the second quarter of 2020 and comparisons are with the second quarter of 2019.</w:t>
      </w:r>
    </w:p>
    <w:p>
      <w:pPr>
        <w:spacing w:after="0" w:line="248" w:lineRule="exact"/>
        <w:rPr>
          <w:sz w:val="20"/>
          <w:szCs w:val="20"/>
          <w:color w:val="auto"/>
        </w:rPr>
      </w:pPr>
    </w:p>
    <w:p>
      <w:pPr>
        <w:ind w:left="340" w:hanging="332"/>
        <w:spacing w:after="0" w:line="282" w:lineRule="auto"/>
        <w:tabs>
          <w:tab w:leader="none" w:pos="340" w:val="left"/>
        </w:tabs>
        <w:numPr>
          <w:ilvl w:val="0"/>
          <w:numId w:val="4"/>
        </w:numPr>
        <w:rPr>
          <w:rFonts w:ascii="Arial" w:cs="Arial" w:eastAsia="Arial" w:hAnsi="Arial"/>
          <w:sz w:val="18"/>
          <w:szCs w:val="18"/>
          <w:color w:val="auto"/>
        </w:rPr>
      </w:pPr>
      <w:r>
        <w:rPr>
          <w:rFonts w:ascii="Arial" w:cs="Arial" w:eastAsia="Arial" w:hAnsi="Arial"/>
          <w:sz w:val="18"/>
          <w:szCs w:val="18"/>
          <w:b w:val="1"/>
          <w:bCs w:val="1"/>
          <w:color w:val="auto"/>
        </w:rPr>
        <w:t xml:space="preserve">Revenue </w:t>
      </w:r>
      <w:r>
        <w:rPr>
          <w:rFonts w:ascii="Arial" w:cs="Arial" w:eastAsia="Arial" w:hAnsi="Arial"/>
          <w:sz w:val="18"/>
          <w:szCs w:val="18"/>
          <w:color w:val="auto"/>
        </w:rPr>
        <w:t>was $39.0 million, up 34.6%, reflecting an increase in revenue from single wafer wet cleaning and other front-end processing equipment, and</w:t>
      </w:r>
      <w:r>
        <w:rPr>
          <w:rFonts w:ascii="Arial" w:cs="Arial" w:eastAsia="Arial" w:hAnsi="Arial"/>
          <w:sz w:val="18"/>
          <w:szCs w:val="18"/>
          <w:b w:val="1"/>
          <w:bCs w:val="1"/>
          <w:color w:val="auto"/>
        </w:rPr>
        <w:t xml:space="preserve"> </w:t>
      </w:r>
      <w:r>
        <w:rPr>
          <w:rFonts w:ascii="Arial" w:cs="Arial" w:eastAsia="Arial" w:hAnsi="Arial"/>
          <w:sz w:val="18"/>
          <w:szCs w:val="18"/>
          <w:color w:val="auto"/>
        </w:rPr>
        <w:t>an increase in revenue from back-end wafer assembly and packaging equipment.</w:t>
      </w:r>
    </w:p>
    <w:p>
      <w:pPr>
        <w:spacing w:after="0" w:line="188" w:lineRule="exact"/>
        <w:rPr>
          <w:rFonts w:ascii="Arial" w:cs="Arial" w:eastAsia="Arial" w:hAnsi="Arial"/>
          <w:sz w:val="18"/>
          <w:szCs w:val="18"/>
          <w:color w:val="auto"/>
        </w:rPr>
      </w:pPr>
    </w:p>
    <w:p>
      <w:pPr>
        <w:ind w:left="340" w:hanging="332"/>
        <w:spacing w:after="0" w:line="347" w:lineRule="auto"/>
        <w:tabs>
          <w:tab w:leader="none" w:pos="340" w:val="left"/>
        </w:tabs>
        <w:numPr>
          <w:ilvl w:val="0"/>
          <w:numId w:val="4"/>
        </w:numPr>
        <w:rPr>
          <w:rFonts w:ascii="Arial" w:cs="Arial" w:eastAsia="Arial" w:hAnsi="Arial"/>
          <w:sz w:val="16"/>
          <w:szCs w:val="16"/>
          <w:color w:val="auto"/>
        </w:rPr>
      </w:pPr>
      <w:r>
        <w:rPr>
          <w:rFonts w:ascii="Arial" w:cs="Arial" w:eastAsia="Arial" w:hAnsi="Arial"/>
          <w:sz w:val="16"/>
          <w:szCs w:val="16"/>
          <w:b w:val="1"/>
          <w:bCs w:val="1"/>
          <w:color w:val="auto"/>
        </w:rPr>
        <w:t xml:space="preserve">Gross margin </w:t>
      </w:r>
      <w:r>
        <w:rPr>
          <w:rFonts w:ascii="Arial" w:cs="Arial" w:eastAsia="Arial" w:hAnsi="Arial"/>
          <w:sz w:val="16"/>
          <w:szCs w:val="16"/>
          <w:color w:val="auto"/>
        </w:rPr>
        <w:t>was 49.6%, up from 45.3%. Gross margin was above the high-end of the range of 40.0% to 45.0% set forth in the Company’s long-term</w:t>
      </w:r>
      <w:r>
        <w:rPr>
          <w:rFonts w:ascii="Arial" w:cs="Arial" w:eastAsia="Arial" w:hAnsi="Arial"/>
          <w:sz w:val="16"/>
          <w:szCs w:val="16"/>
          <w:b w:val="1"/>
          <w:bCs w:val="1"/>
          <w:color w:val="auto"/>
        </w:rPr>
        <w:t xml:space="preserve"> </w:t>
      </w:r>
      <w:r>
        <w:rPr>
          <w:rFonts w:ascii="Arial" w:cs="Arial" w:eastAsia="Arial" w:hAnsi="Arial"/>
          <w:sz w:val="16"/>
          <w:szCs w:val="16"/>
          <w:color w:val="auto"/>
        </w:rPr>
        <w:t>business model. The Company expects gross margin to vary from period to period due to a variety of factors, such as sales volume and product mix.</w:t>
      </w:r>
    </w:p>
    <w:p>
      <w:pPr>
        <w:spacing w:after="0" w:line="277" w:lineRule="exact"/>
        <w:rPr>
          <w:rFonts w:ascii="Arial" w:cs="Arial" w:eastAsia="Arial" w:hAnsi="Arial"/>
          <w:sz w:val="16"/>
          <w:szCs w:val="16"/>
          <w:color w:val="auto"/>
        </w:rPr>
      </w:pPr>
    </w:p>
    <w:p>
      <w:pPr>
        <w:ind w:left="5580" w:hanging="76"/>
        <w:spacing w:after="0"/>
        <w:tabs>
          <w:tab w:leader="none" w:pos="5580" w:val="left"/>
        </w:tabs>
        <w:numPr>
          <w:ilvl w:val="1"/>
          <w:numId w:val="4"/>
        </w:numPr>
        <w:rPr>
          <w:rFonts w:ascii="Arial" w:cs="Arial" w:eastAsia="Arial" w:hAnsi="Arial"/>
          <w:sz w:val="14"/>
          <w:szCs w:val="14"/>
          <w:color w:val="auto"/>
        </w:rPr>
      </w:pPr>
      <w:r>
        <w:rPr>
          <w:rFonts w:ascii="Arial" w:cs="Arial" w:eastAsia="Arial" w:hAnsi="Arial"/>
          <w:sz w:val="14"/>
          <w:szCs w:val="14"/>
          <w:color w:val="auto"/>
        </w:rPr>
        <w:t>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6" w:name="page7"/>
    <w:bookmarkEnd w:id="6"/>
    <w:p>
      <w:pPr>
        <w:jc w:val="both"/>
        <w:ind w:left="340" w:right="180" w:hanging="332"/>
        <w:spacing w:after="0" w:line="266"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Operating expenses </w:t>
      </w:r>
      <w:r>
        <w:rPr>
          <w:rFonts w:ascii="Arial" w:cs="Arial" w:eastAsia="Arial" w:hAnsi="Arial"/>
          <w:sz w:val="18"/>
          <w:szCs w:val="18"/>
          <w:color w:val="auto"/>
        </w:rPr>
        <w:t>were $12.0 million, an increase of 42%. Non-GAAP operating expenses, which exclude stock-based compensation, were $11.2</w:t>
      </w:r>
      <w:r>
        <w:rPr>
          <w:rFonts w:ascii="Arial" w:cs="Arial" w:eastAsia="Arial" w:hAnsi="Arial"/>
          <w:sz w:val="18"/>
          <w:szCs w:val="18"/>
          <w:b w:val="1"/>
          <w:bCs w:val="1"/>
          <w:color w:val="auto"/>
        </w:rPr>
        <w:t xml:space="preserve"> </w:t>
      </w:r>
      <w:r>
        <w:rPr>
          <w:rFonts w:ascii="Arial" w:cs="Arial" w:eastAsia="Arial" w:hAnsi="Arial"/>
          <w:sz w:val="18"/>
          <w:szCs w:val="18"/>
          <w:color w:val="auto"/>
        </w:rPr>
        <w:t>million, up 42%. Non-GAAP operating expenses as a percent of revenue increased to 29%, from 27%. Higher R&amp;D spending on new products, and sales-related activities, contributed to the increase from the prior-year period.</w:t>
      </w:r>
    </w:p>
    <w:p>
      <w:pPr>
        <w:spacing w:after="0" w:line="202" w:lineRule="exact"/>
        <w:rPr>
          <w:rFonts w:ascii="Arial" w:cs="Arial" w:eastAsia="Arial" w:hAnsi="Arial"/>
          <w:sz w:val="18"/>
          <w:szCs w:val="18"/>
          <w:color w:val="auto"/>
        </w:rPr>
      </w:pPr>
    </w:p>
    <w:p>
      <w:pPr>
        <w:ind w:left="340" w:hanging="332"/>
        <w:spacing w:after="0" w:line="282"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Operating income </w:t>
      </w:r>
      <w:r>
        <w:rPr>
          <w:rFonts w:ascii="Arial" w:cs="Arial" w:eastAsia="Arial" w:hAnsi="Arial"/>
          <w:sz w:val="18"/>
          <w:szCs w:val="18"/>
          <w:color w:val="auto"/>
        </w:rPr>
        <w:t>of $7.3 million increased 57%. Non-GAAP operating income was $8.2 million, up 55%. Non-GAAP operating income as a percent</w:t>
      </w:r>
      <w:r>
        <w:rPr>
          <w:rFonts w:ascii="Arial" w:cs="Arial" w:eastAsia="Arial" w:hAnsi="Arial"/>
          <w:sz w:val="18"/>
          <w:szCs w:val="18"/>
          <w:b w:val="1"/>
          <w:bCs w:val="1"/>
          <w:color w:val="auto"/>
        </w:rPr>
        <w:t xml:space="preserve"> </w:t>
      </w:r>
      <w:r>
        <w:rPr>
          <w:rFonts w:ascii="Arial" w:cs="Arial" w:eastAsia="Arial" w:hAnsi="Arial"/>
          <w:sz w:val="18"/>
          <w:szCs w:val="18"/>
          <w:color w:val="auto"/>
        </w:rPr>
        <w:t>of revenue increased to 21.0%, from 18.2%.</w:t>
      </w:r>
    </w:p>
    <w:p>
      <w:pPr>
        <w:spacing w:after="0" w:line="188" w:lineRule="exact"/>
        <w:rPr>
          <w:rFonts w:ascii="Arial" w:cs="Arial" w:eastAsia="Arial" w:hAnsi="Arial"/>
          <w:sz w:val="18"/>
          <w:szCs w:val="18"/>
          <w:color w:val="auto"/>
        </w:rPr>
      </w:pPr>
    </w:p>
    <w:p>
      <w:pPr>
        <w:ind w:left="340" w:right="140" w:hanging="332"/>
        <w:spacing w:after="0" w:line="261"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Change in fair value of financial liability </w:t>
      </w:r>
      <w:r>
        <w:rPr>
          <w:rFonts w:ascii="Arial" w:cs="Arial" w:eastAsia="Arial" w:hAnsi="Arial"/>
          <w:sz w:val="18"/>
          <w:szCs w:val="18"/>
          <w:color w:val="auto"/>
        </w:rPr>
        <w:t>was a loss of $5.4 million, compared to $0 in the second quarter of 2019. The non-cash, non-operating</w:t>
      </w:r>
      <w:r>
        <w:rPr>
          <w:rFonts w:ascii="Arial" w:cs="Arial" w:eastAsia="Arial" w:hAnsi="Arial"/>
          <w:sz w:val="18"/>
          <w:szCs w:val="18"/>
          <w:b w:val="1"/>
          <w:bCs w:val="1"/>
          <w:color w:val="auto"/>
        </w:rPr>
        <w:t xml:space="preserve"> </w:t>
      </w:r>
      <w:r>
        <w:rPr>
          <w:rFonts w:ascii="Arial" w:cs="Arial" w:eastAsia="Arial" w:hAnsi="Arial"/>
          <w:sz w:val="18"/>
          <w:szCs w:val="18"/>
          <w:color w:val="auto"/>
        </w:rPr>
        <w:t>expense reflects a change in book value of a liability indexed to the market price of ACM’s Class A common stock, and is excluded from non-GAAP results. The obligation, which resulted from agreements required for ACM Shanghai’s STAR Market IPO preparation, was terminated in July upon ACM’s issuance of a Class A common stock warrant.</w:t>
      </w:r>
    </w:p>
    <w:p>
      <w:pPr>
        <w:spacing w:after="0" w:line="206" w:lineRule="exact"/>
        <w:rPr>
          <w:rFonts w:ascii="Arial" w:cs="Arial" w:eastAsia="Arial" w:hAnsi="Arial"/>
          <w:sz w:val="18"/>
          <w:szCs w:val="18"/>
          <w:color w:val="auto"/>
        </w:rPr>
      </w:pPr>
    </w:p>
    <w:p>
      <w:pPr>
        <w:ind w:left="340" w:right="60" w:hanging="332"/>
        <w:spacing w:after="0" w:line="261"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Net income (loss) attributable to ACM Research, Inc. </w:t>
      </w:r>
      <w:r>
        <w:rPr>
          <w:rFonts w:ascii="Arial" w:cs="Arial" w:eastAsia="Arial" w:hAnsi="Arial"/>
          <w:sz w:val="18"/>
          <w:szCs w:val="18"/>
          <w:color w:val="auto"/>
        </w:rPr>
        <w:t>was a net loss of $0.1 million, compared to net income of $4.3 million in the second quarter</w:t>
      </w:r>
      <w:r>
        <w:rPr>
          <w:rFonts w:ascii="Arial" w:cs="Arial" w:eastAsia="Arial" w:hAnsi="Arial"/>
          <w:sz w:val="18"/>
          <w:szCs w:val="18"/>
          <w:b w:val="1"/>
          <w:bCs w:val="1"/>
          <w:color w:val="auto"/>
        </w:rPr>
        <w:t xml:space="preserve"> </w:t>
      </w:r>
      <w:r>
        <w:rPr>
          <w:rFonts w:ascii="Arial" w:cs="Arial" w:eastAsia="Arial" w:hAnsi="Arial"/>
          <w:sz w:val="18"/>
          <w:szCs w:val="18"/>
          <w:color w:val="auto"/>
        </w:rPr>
        <w:t>of 2019. Non-GAAP net income attributable to ACM Research, Inc. was $6.2 million, increased from $4.9 million. Tax expense (compared to a normalized 12% tax rate), and the effects of foreign-exchange fluctuations on operating results, resulted in a headwind of $0.9 million, as compared to a net gain of $0.6 million in the second quarter of 2019.</w:t>
      </w:r>
    </w:p>
    <w:p>
      <w:pPr>
        <w:spacing w:after="0" w:line="206" w:lineRule="exact"/>
        <w:rPr>
          <w:rFonts w:ascii="Arial" w:cs="Arial" w:eastAsia="Arial" w:hAnsi="Arial"/>
          <w:sz w:val="18"/>
          <w:szCs w:val="18"/>
          <w:color w:val="auto"/>
        </w:rPr>
      </w:pPr>
    </w:p>
    <w:p>
      <w:pPr>
        <w:ind w:left="340" w:right="20" w:hanging="332"/>
        <w:spacing w:after="0" w:line="261"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Net income (loss) per diluted share attributable to ACM Research, Inc. </w:t>
      </w:r>
      <w:r>
        <w:rPr>
          <w:rFonts w:ascii="Arial" w:cs="Arial" w:eastAsia="Arial" w:hAnsi="Arial"/>
          <w:sz w:val="18"/>
          <w:szCs w:val="18"/>
          <w:color w:val="auto"/>
        </w:rPr>
        <w:t>was $0.00, compared to net income of $0.23 in the second quarter of 2019.</w:t>
      </w:r>
      <w:r>
        <w:rPr>
          <w:rFonts w:ascii="Arial" w:cs="Arial" w:eastAsia="Arial" w:hAnsi="Arial"/>
          <w:sz w:val="18"/>
          <w:szCs w:val="18"/>
          <w:b w:val="1"/>
          <w:bCs w:val="1"/>
          <w:color w:val="auto"/>
        </w:rPr>
        <w:t xml:space="preserve"> </w:t>
      </w:r>
      <w:r>
        <w:rPr>
          <w:rFonts w:ascii="Arial" w:cs="Arial" w:eastAsia="Arial" w:hAnsi="Arial"/>
          <w:sz w:val="18"/>
          <w:szCs w:val="18"/>
          <w:color w:val="auto"/>
        </w:rPr>
        <w:t>Non-GAAP net income per diluted share attributable to ACM Research, Inc. was $0.29, an increase from $0.26. Tax expense (compared to a normalized 12% tax rate) and the effects of foreign-exchange fluctuations on operating results resulted in a net headwind of $0.04 per share, as compared to a net benefit of $0.03 in the second quarter of 2019.</w:t>
      </w:r>
    </w:p>
    <w:p>
      <w:pPr>
        <w:spacing w:after="0" w:line="206" w:lineRule="exact"/>
        <w:rPr>
          <w:rFonts w:ascii="Arial" w:cs="Arial" w:eastAsia="Arial" w:hAnsi="Arial"/>
          <w:sz w:val="18"/>
          <w:szCs w:val="18"/>
          <w:color w:val="auto"/>
        </w:rPr>
      </w:pPr>
    </w:p>
    <w:p>
      <w:pPr>
        <w:ind w:left="340" w:right="20" w:hanging="332"/>
        <w:spacing w:after="0" w:line="261" w:lineRule="auto"/>
        <w:tabs>
          <w:tab w:leader="none" w:pos="34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Cash and equivalents </w:t>
      </w:r>
      <w:r>
        <w:rPr>
          <w:rFonts w:ascii="Arial" w:cs="Arial" w:eastAsia="Arial" w:hAnsi="Arial"/>
          <w:sz w:val="18"/>
          <w:szCs w:val="18"/>
          <w:color w:val="auto"/>
        </w:rPr>
        <w:t>at quarter-end were $86.4 million, versus $52.3 million at the end of the first quarter of 2020 and $27.6 million at the end of the</w:t>
      </w:r>
      <w:r>
        <w:rPr>
          <w:rFonts w:ascii="Arial" w:cs="Arial" w:eastAsia="Arial" w:hAnsi="Arial"/>
          <w:sz w:val="18"/>
          <w:szCs w:val="18"/>
          <w:b w:val="1"/>
          <w:bCs w:val="1"/>
          <w:color w:val="auto"/>
        </w:rPr>
        <w:t xml:space="preserve"> </w:t>
      </w:r>
      <w:r>
        <w:rPr>
          <w:rFonts w:ascii="Arial" w:cs="Arial" w:eastAsia="Arial" w:hAnsi="Arial"/>
          <w:sz w:val="18"/>
          <w:szCs w:val="18"/>
          <w:color w:val="auto"/>
        </w:rPr>
        <w:t>second quarter of 2019. The increase was due primarily to the release of restricted cash from private equity investments previously held in reserve pending submission of ACM Shanghai’s STAR Market IPO application, partly offset by investments in the Lingang facility, participation in SMIC’s IPO, and net cash used in operating activities.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Conference Call Details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A conference call to discuss results will be held on Thursday, August 6, 2020, at 8:00 a.m. Eastern Time (8:00 p.m. China Time).</w:t>
      </w:r>
    </w:p>
    <w:p>
      <w:pPr>
        <w:spacing w:after="0" w:line="252"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Please register in advance to join the conference call using the link provided below and dial in 10 minutes before the call is scheduled to begin. Conference call access information will be provided upon registration.</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Participant Online Registration</w:t>
      </w:r>
      <w:r>
        <w:rPr>
          <w:rFonts w:ascii="Arial" w:cs="Arial" w:eastAsia="Arial" w:hAnsi="Arial"/>
          <w:sz w:val="18"/>
          <w:szCs w:val="18"/>
          <w:color w:val="auto"/>
        </w:rPr>
        <w:t>:</w:t>
      </w:r>
      <w:r>
        <w:rPr>
          <w:rFonts w:ascii="Arial" w:cs="Arial" w:eastAsia="Arial" w:hAnsi="Arial"/>
          <w:sz w:val="18"/>
          <w:szCs w:val="18"/>
          <w:b w:val="1"/>
          <w:bCs w:val="1"/>
          <w:color w:val="auto"/>
        </w:rPr>
        <w:t xml:space="preserve"> </w:t>
      </w:r>
      <w:r>
        <w:rPr>
          <w:rFonts w:ascii="Arial" w:cs="Arial" w:eastAsia="Arial" w:hAnsi="Arial"/>
          <w:sz w:val="18"/>
          <w:szCs w:val="18"/>
          <w:u w:val="single" w:color="auto"/>
          <w:color w:val="auto"/>
        </w:rPr>
        <w:t>http://apac.directeventreg.com/registration/event/5588686</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 recording of the webcast will be available on the investor page of the ACM website at </w:t>
      </w:r>
      <w:r>
        <w:rPr>
          <w:rFonts w:ascii="Arial" w:cs="Arial" w:eastAsia="Arial" w:hAnsi="Arial"/>
          <w:sz w:val="18"/>
          <w:szCs w:val="18"/>
          <w:u w:val="single" w:color="auto"/>
          <w:color w:val="auto"/>
        </w:rPr>
        <w:t>www.acmrcsh.com</w:t>
      </w:r>
      <w:r>
        <w:rPr>
          <w:rFonts w:ascii="Arial" w:cs="Arial" w:eastAsia="Arial" w:hAnsi="Arial"/>
          <w:sz w:val="18"/>
          <w:szCs w:val="18"/>
          <w:color w:val="auto"/>
        </w:rPr>
        <w:t xml:space="preserve"> for one week following the call.</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Use of Non-GAAP Financial Measures</w:t>
      </w:r>
    </w:p>
    <w:p>
      <w:pPr>
        <w:spacing w:after="0" w:line="256"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ACM presents non-GAAP gross margin, operating expenses, operating income, net income attributable to ACM Research, Inc., and basic and diluted earnings per share as supplemental measures to GAAP financial measures regarding ACM’s operational performance. These supplemental measures exclude the impact of stock-based compensation, which ACM does not believe is indicative of its core operating results. In addition, non-GAAP net income (loss) attributable to ACM Research, Inc. and basic and diluted EPS exclude non-cash changes in fair value of financial assets and liabilities, which ACM also believes is not indicative of its core operating results. A reconciliation of each non-GAAP financial measure to the most directly comparable GAAP financial measure is provided below under “Reconciliation of Non-GAAP to GAAP Financial Measures.”</w:t>
      </w:r>
    </w:p>
    <w:p>
      <w:pPr>
        <w:spacing w:after="0" w:line="336"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- 3 -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364" w:right="359" w:bottom="1440" w:gutter="0" w:footer="0" w:header="0"/>
        </w:sectPr>
      </w:pPr>
    </w:p>
    <w:bookmarkStart w:id="7" w:name="page8"/>
    <w:bookmarkEnd w:id="7"/>
    <w:p>
      <w:pPr>
        <w:ind w:right="200"/>
        <w:spacing w:after="0" w:line="259" w:lineRule="auto"/>
        <w:rPr>
          <w:sz w:val="20"/>
          <w:szCs w:val="20"/>
          <w:color w:val="auto"/>
        </w:rPr>
      </w:pPr>
      <w:r>
        <w:rPr>
          <w:rFonts w:ascii="Arial" w:cs="Arial" w:eastAsia="Arial" w:hAnsi="Arial"/>
          <w:sz w:val="18"/>
          <w:szCs w:val="18"/>
          <w:color w:val="auto"/>
        </w:rPr>
        <w:t>ACM believes these non-GAAP financial measures are useful to investors in assessing its operating performance. ACM uses these financial measures internally to evaluate its operating performance and for planning and forecasting of future periods. Financial analysts may focus on and publish both historical results and future projections based on the non-GAAP financial measures. ACM also believes it is in the best interests of investors for ACM to provide this non-GAAP information.</w:t>
      </w:r>
    </w:p>
    <w:p>
      <w:pPr>
        <w:spacing w:after="0" w:line="214"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While ACM believes these non-GAAP financial measures provide useful supplemental information to investors, there are limitations associated with the use of these non-GAAP financial measures. These non-GAAP financial measures may not be reported by competitors, and they may not be directly comparable to similarly titled measures of other companies due to differences in calculation methodologies. The non-GAAP financial measures are not an alternative to GAAP information and are not meant to be considered in isolation or as a substitute for comparable GAAP financial measures. They should be used only as a supplement to GAAP information and should be considered only in conjunction with ACM’s consolidated financial statements prepared in accordance with GAAP.</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56" w:lineRule="exact"/>
        <w:rPr>
          <w:sz w:val="20"/>
          <w:szCs w:val="20"/>
          <w:color w:val="auto"/>
        </w:rPr>
      </w:pPr>
    </w:p>
    <w:p>
      <w:pPr>
        <w:spacing w:after="0" w:line="285" w:lineRule="auto"/>
        <w:rPr>
          <w:sz w:val="20"/>
          <w:szCs w:val="20"/>
          <w:color w:val="auto"/>
        </w:rPr>
      </w:pPr>
      <w:r>
        <w:rPr>
          <w:rFonts w:ascii="Arial" w:cs="Arial" w:eastAsia="Arial" w:hAnsi="Arial"/>
          <w:sz w:val="16"/>
          <w:szCs w:val="16"/>
          <w:color w:val="auto"/>
        </w:rPr>
        <w:t>Statements contained in the second and third paragraphs of this press release, under the heading “Outlook” above, and in the third through seventh bullets under “Q2 Operating Highlights and Recent Announcements” above are not historical facts and may be forward-looking statements within the meaning of the Private Securities Litigation Reform Act of 1995. Forward-looking statements include statements regarding the intent, belief and current expectations with respect to: the demand for ACM’s tools, including the timing of completion of, and the extent of future need for, ACM Shanghai’s proposed R&amp;D and manufacturing facility in Lingang; ACM’s anticipated tool shipments to customers in accordance with its newly announced purchase arrangements; and ACM’s plans for completion of the STAR Market listing of shares of ACM Shanghai. Such statements, which are expectations only, reflect management's current views, are based on certain assumptions, and involve risks and uncertainties. Actual results, events, or performance may differ materially from the above forward-looking statements due to a number of important factors, and will be dependent upon a variety of factors, including, but not limited to, the following, any of which could be exacerbated even further by the continuing COVID-19 outbreak in China and globally: anticipated customer orders or identified market opportunities may not grow or develop as anticipated; customer orders already received may be postponed or canceled; ACM may be unable to obtain the qualification and acceptance of its delivered tools when anticipated or at all, which would delay or preclude ACM’s recognition of revenue from the sale of those tools; suppliers may not be able to meet ACM’s demands on a timely basis; ACM’s technologies and tools may not gain market acceptance; ACM may be unable to compete effectively by, among other things, enhancing its existing tools; ACM’s has limited experience in selling in North America; volatile global economic, market, industry and other conditions could result in sharply lower demand for products containing semiconductors and for the company's products and in disruption of capital and credit markets; and trade regulations, currency fluctuations, political instability and war may materially adversely affect ACM due to its substantial non-U.S. customer and supplier base and its substantial non-U.S. manufacturing operations. ACM cannot guarantee any future results, levels of activity, performance or achievements. ACM undertakes no obligation to publicly update these forward-looking statements to reflect events or circumstances that occur after the date hereof or to reflect any change in its expectations with regard to these forward-looking statements or the occurrence of unanticipated events.</w:t>
      </w:r>
    </w:p>
    <w:p>
      <w:pPr>
        <w:spacing w:after="0" w:line="32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368" w:right="37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u w:val="single" w:color="auto"/>
          <w:color w:val="auto"/>
        </w:rPr>
        <w:t>About ACM Research, Inc.</w:t>
      </w:r>
    </w:p>
    <w:p>
      <w:pPr>
        <w:spacing w:after="0" w:line="25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ACM develops, manufactures and sells semiconductor process equipment for single-wafer or batch wet cleaning, electroplating, stress-free polishing and thermal processes that are critical to advanced semiconductor device manufacturing, as well as wafer-level packaging. The company is committed to delivering customized, high performance, cost-effective process solutions that semiconductor manufacturers can use in numerous manufacturing steps to improve productivity and product yield.</w:t>
      </w:r>
    </w:p>
    <w:p>
      <w:pPr>
        <w:spacing w:after="0" w:line="214" w:lineRule="exact"/>
        <w:rPr>
          <w:sz w:val="20"/>
          <w:szCs w:val="20"/>
          <w:color w:val="auto"/>
        </w:rPr>
      </w:pPr>
    </w:p>
    <w:p>
      <w:pPr>
        <w:ind w:right="20" w:firstLine="8"/>
        <w:spacing w:after="0" w:line="263" w:lineRule="auto"/>
        <w:tabs>
          <w:tab w:leader="none" w:pos="182" w:val="left"/>
        </w:tabs>
        <w:numPr>
          <w:ilvl w:val="0"/>
          <w:numId w:val="6"/>
        </w:numPr>
        <w:rPr>
          <w:rFonts w:ascii="Arial" w:cs="Arial" w:eastAsia="Arial" w:hAnsi="Arial"/>
          <w:sz w:val="18"/>
          <w:szCs w:val="18"/>
          <w:color w:val="auto"/>
        </w:rPr>
      </w:pPr>
      <w:r>
        <w:rPr>
          <w:rFonts w:ascii="Arial" w:cs="Arial" w:eastAsia="Arial" w:hAnsi="Arial"/>
          <w:sz w:val="18"/>
          <w:szCs w:val="18"/>
          <w:color w:val="auto"/>
        </w:rPr>
        <w:t>ACM Research, Inc. SAPS, SMART MEGASONIX, ULTRA C and the ACM Research logo are trademarks of ACM Research, Inc. For convenience, these trademarks appear in this press release without ™ symbols, but that practice does not mean that ACM will not assert, to the fullest extent under applicable law, its rights to the trademarks.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investor and media inquiries, please contact:</w:t>
      </w:r>
    </w:p>
    <w:p>
      <w:pPr>
        <w:spacing w:after="0" w:line="239" w:lineRule="exact"/>
        <w:rPr>
          <w:sz w:val="20"/>
          <w:szCs w:val="20"/>
          <w:color w:val="auto"/>
        </w:rPr>
      </w:pPr>
    </w:p>
    <w:tbl>
      <w:tblPr>
        <w:tblLayout w:type="fixed"/>
        <w:tblInd w:w="340" w:type="dxa"/>
        <w:tblCellMar>
          <w:top w:w="0" w:type="dxa"/>
          <w:left w:w="0" w:type="dxa"/>
          <w:bottom w:w="0" w:type="dxa"/>
          <w:right w:w="0" w:type="dxa"/>
        </w:tblCellMar>
      </w:tblPr>
      <w:tr>
        <w:trPr>
          <w:trHeight w:val="207"/>
        </w:trPr>
        <w:tc>
          <w:tcPr>
            <w:tcW w:w="2420" w:type="dxa"/>
            <w:vAlign w:val="bottom"/>
            <w:gridSpan w:val="3"/>
          </w:tcPr>
          <w:p>
            <w:pPr>
              <w:spacing w:after="0"/>
              <w:rPr>
                <w:sz w:val="20"/>
                <w:szCs w:val="20"/>
                <w:color w:val="auto"/>
              </w:rPr>
            </w:pPr>
            <w:r>
              <w:rPr>
                <w:rFonts w:ascii="Arial" w:cs="Arial" w:eastAsia="Arial" w:hAnsi="Arial"/>
                <w:sz w:val="18"/>
                <w:szCs w:val="18"/>
                <w:color w:val="auto"/>
              </w:rPr>
              <w:t>In the United States:</w:t>
            </w:r>
          </w:p>
        </w:tc>
        <w:tc>
          <w:tcPr>
            <w:tcW w:w="2020" w:type="dxa"/>
            <w:vAlign w:val="bottom"/>
            <w:gridSpan w:val="2"/>
          </w:tcPr>
          <w:p>
            <w:pPr>
              <w:spacing w:after="0"/>
              <w:rPr>
                <w:sz w:val="20"/>
                <w:szCs w:val="20"/>
                <w:color w:val="auto"/>
              </w:rPr>
            </w:pPr>
            <w:r>
              <w:rPr>
                <w:rFonts w:ascii="Arial" w:cs="Arial" w:eastAsia="Arial" w:hAnsi="Arial"/>
                <w:sz w:val="18"/>
                <w:szCs w:val="18"/>
                <w:color w:val="auto"/>
              </w:rPr>
              <w:t>The Blueshirt Group</w:t>
            </w:r>
          </w:p>
        </w:tc>
      </w:tr>
      <w:tr>
        <w:trPr>
          <w:trHeight w:val="222"/>
        </w:trPr>
        <w:tc>
          <w:tcPr>
            <w:tcW w:w="6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0" w:type="dxa"/>
            <w:vAlign w:val="bottom"/>
          </w:tcPr>
          <w:p>
            <w:pPr>
              <w:spacing w:after="0"/>
              <w:rPr>
                <w:sz w:val="19"/>
                <w:szCs w:val="19"/>
                <w:color w:val="auto"/>
              </w:rPr>
            </w:pPr>
          </w:p>
        </w:tc>
        <w:tc>
          <w:tcPr>
            <w:tcW w:w="2020" w:type="dxa"/>
            <w:vAlign w:val="bottom"/>
            <w:gridSpan w:val="2"/>
          </w:tcPr>
          <w:p>
            <w:pPr>
              <w:ind w:left="40"/>
              <w:spacing w:after="0"/>
              <w:rPr>
                <w:sz w:val="20"/>
                <w:szCs w:val="20"/>
                <w:color w:val="auto"/>
              </w:rPr>
            </w:pPr>
            <w:r>
              <w:rPr>
                <w:rFonts w:ascii="Arial" w:cs="Arial" w:eastAsia="Arial" w:hAnsi="Arial"/>
                <w:sz w:val="18"/>
                <w:szCs w:val="18"/>
                <w:color w:val="auto"/>
              </w:rPr>
              <w:t>Ralph Fong</w:t>
            </w:r>
          </w:p>
        </w:tc>
      </w:tr>
      <w:tr>
        <w:trPr>
          <w:trHeight w:val="216"/>
        </w:trPr>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960" w:type="dxa"/>
            <w:vAlign w:val="bottom"/>
          </w:tcPr>
          <w:p>
            <w:pPr>
              <w:ind w:left="40"/>
              <w:spacing w:after="0"/>
              <w:rPr>
                <w:sz w:val="20"/>
                <w:szCs w:val="20"/>
                <w:color w:val="auto"/>
              </w:rPr>
            </w:pPr>
            <w:r>
              <w:rPr>
                <w:rFonts w:ascii="Arial" w:cs="Arial" w:eastAsia="Arial" w:hAnsi="Arial"/>
                <w:sz w:val="18"/>
                <w:szCs w:val="18"/>
                <w:color w:val="auto"/>
              </w:rPr>
              <w:t>+1 (415) 489-2195</w:t>
            </w:r>
          </w:p>
        </w:tc>
        <w:tc>
          <w:tcPr>
            <w:tcW w:w="60" w:type="dxa"/>
            <w:vAlign w:val="bottom"/>
          </w:tcPr>
          <w:p>
            <w:pPr>
              <w:spacing w:after="0"/>
              <w:rPr>
                <w:sz w:val="18"/>
                <w:szCs w:val="18"/>
                <w:color w:val="auto"/>
              </w:rPr>
            </w:pPr>
          </w:p>
        </w:tc>
      </w:tr>
      <w:tr>
        <w:trPr>
          <w:trHeight w:val="190"/>
        </w:trPr>
        <w:tc>
          <w:tcPr>
            <w:tcW w:w="6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20" w:type="dxa"/>
            <w:vAlign w:val="bottom"/>
            <w:tcBorders>
              <w:bottom w:val="single" w:sz="8" w:color="auto"/>
            </w:tcBorders>
            <w:gridSpan w:val="2"/>
          </w:tcPr>
          <w:p>
            <w:pPr>
              <w:ind w:left="40"/>
              <w:spacing w:after="0" w:line="190" w:lineRule="exact"/>
              <w:rPr>
                <w:sz w:val="20"/>
                <w:szCs w:val="20"/>
                <w:color w:val="auto"/>
              </w:rPr>
            </w:pPr>
            <w:r>
              <w:rPr>
                <w:rFonts w:ascii="Arial" w:cs="Arial" w:eastAsia="Arial" w:hAnsi="Arial"/>
                <w:sz w:val="18"/>
                <w:szCs w:val="18"/>
                <w:i w:val="1"/>
                <w:iCs w:val="1"/>
                <w:color w:val="auto"/>
                <w:w w:val="92"/>
              </w:rPr>
              <w:t>ralph@blueshirtgroup.com</w:t>
            </w:r>
          </w:p>
        </w:tc>
      </w:tr>
      <w:tr>
        <w:trPr>
          <w:trHeight w:val="439"/>
        </w:trPr>
        <w:tc>
          <w:tcPr>
            <w:tcW w:w="2420" w:type="dxa"/>
            <w:vAlign w:val="bottom"/>
            <w:gridSpan w:val="3"/>
          </w:tcPr>
          <w:p>
            <w:pPr>
              <w:spacing w:after="0"/>
              <w:rPr>
                <w:sz w:val="20"/>
                <w:szCs w:val="20"/>
                <w:color w:val="auto"/>
              </w:rPr>
            </w:pPr>
            <w:r>
              <w:rPr>
                <w:rFonts w:ascii="Arial" w:cs="Arial" w:eastAsia="Arial" w:hAnsi="Arial"/>
                <w:sz w:val="18"/>
                <w:szCs w:val="18"/>
                <w:color w:val="auto"/>
              </w:rPr>
              <w:t>In China:</w:t>
            </w:r>
          </w:p>
        </w:tc>
        <w:tc>
          <w:tcPr>
            <w:tcW w:w="2020" w:type="dxa"/>
            <w:vAlign w:val="bottom"/>
            <w:gridSpan w:val="2"/>
          </w:tcPr>
          <w:p>
            <w:pPr>
              <w:spacing w:after="0"/>
              <w:rPr>
                <w:sz w:val="20"/>
                <w:szCs w:val="20"/>
                <w:color w:val="auto"/>
              </w:rPr>
            </w:pPr>
            <w:r>
              <w:rPr>
                <w:rFonts w:ascii="Arial" w:cs="Arial" w:eastAsia="Arial" w:hAnsi="Arial"/>
                <w:sz w:val="18"/>
                <w:szCs w:val="18"/>
                <w:color w:val="auto"/>
                <w:w w:val="99"/>
              </w:rPr>
              <w:t>The Blueshirt Group Asia</w:t>
            </w:r>
          </w:p>
        </w:tc>
      </w:tr>
      <w:tr>
        <w:trPr>
          <w:trHeight w:val="222"/>
        </w:trPr>
        <w:tc>
          <w:tcPr>
            <w:tcW w:w="620" w:type="dxa"/>
            <w:vAlign w:val="bottom"/>
            <w:tcBorders>
              <w:top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2020" w:type="dxa"/>
            <w:vAlign w:val="bottom"/>
            <w:gridSpan w:val="2"/>
          </w:tcPr>
          <w:p>
            <w:pPr>
              <w:ind w:left="40"/>
              <w:spacing w:after="0"/>
              <w:rPr>
                <w:sz w:val="20"/>
                <w:szCs w:val="20"/>
                <w:color w:val="auto"/>
              </w:rPr>
            </w:pPr>
            <w:r>
              <w:rPr>
                <w:rFonts w:ascii="Arial" w:cs="Arial" w:eastAsia="Arial" w:hAnsi="Arial"/>
                <w:sz w:val="18"/>
                <w:szCs w:val="18"/>
                <w:color w:val="auto"/>
              </w:rPr>
              <w:t>Gary Dvorchak, CFA</w:t>
            </w:r>
          </w:p>
        </w:tc>
      </w:tr>
      <w:tr>
        <w:trPr>
          <w:trHeight w:val="216"/>
        </w:trPr>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960" w:type="dxa"/>
            <w:vAlign w:val="bottom"/>
          </w:tcPr>
          <w:p>
            <w:pPr>
              <w:ind w:left="40"/>
              <w:spacing w:after="0"/>
              <w:rPr>
                <w:sz w:val="20"/>
                <w:szCs w:val="20"/>
                <w:color w:val="auto"/>
              </w:rPr>
            </w:pPr>
            <w:r>
              <w:rPr>
                <w:rFonts w:ascii="Arial" w:cs="Arial" w:eastAsia="Arial" w:hAnsi="Arial"/>
                <w:sz w:val="18"/>
                <w:szCs w:val="18"/>
                <w:color w:val="auto"/>
              </w:rPr>
              <w:t>+86 (138) 1079-1480</w:t>
            </w:r>
          </w:p>
        </w:tc>
        <w:tc>
          <w:tcPr>
            <w:tcW w:w="60" w:type="dxa"/>
            <w:vAlign w:val="bottom"/>
          </w:tcPr>
          <w:p>
            <w:pPr>
              <w:spacing w:after="0"/>
              <w:rPr>
                <w:sz w:val="18"/>
                <w:szCs w:val="18"/>
                <w:color w:val="auto"/>
              </w:rPr>
            </w:pPr>
          </w:p>
        </w:tc>
      </w:tr>
      <w:tr>
        <w:trPr>
          <w:trHeight w:val="190"/>
        </w:trPr>
        <w:tc>
          <w:tcPr>
            <w:tcW w:w="6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960" w:type="dxa"/>
            <w:vAlign w:val="bottom"/>
            <w:tcBorders>
              <w:bottom w:val="single" w:sz="8" w:color="auto"/>
            </w:tcBorders>
          </w:tcPr>
          <w:p>
            <w:pPr>
              <w:ind w:left="40"/>
              <w:spacing w:after="0" w:line="190" w:lineRule="exact"/>
              <w:rPr>
                <w:sz w:val="20"/>
                <w:szCs w:val="20"/>
                <w:color w:val="auto"/>
              </w:rPr>
            </w:pPr>
            <w:r>
              <w:rPr>
                <w:rFonts w:ascii="Arial" w:cs="Arial" w:eastAsia="Arial" w:hAnsi="Arial"/>
                <w:sz w:val="18"/>
                <w:szCs w:val="18"/>
                <w:i w:val="1"/>
                <w:iCs w:val="1"/>
                <w:color w:val="auto"/>
                <w:w w:val="92"/>
              </w:rPr>
              <w:t>gary@blueshirtgroup.com</w:t>
            </w:r>
          </w:p>
        </w:tc>
        <w:tc>
          <w:tcPr>
            <w:tcW w:w="60" w:type="dxa"/>
            <w:vAlign w:val="bottom"/>
          </w:tcPr>
          <w:p>
            <w:pPr>
              <w:spacing w:after="0"/>
              <w:rPr>
                <w:sz w:val="16"/>
                <w:szCs w:val="16"/>
                <w:color w:val="auto"/>
              </w:rPr>
            </w:pPr>
          </w:p>
        </w:tc>
      </w:tr>
    </w:tbl>
    <w:p>
      <w:pPr>
        <w:spacing w:after="0" w:line="386" w:lineRule="exact"/>
        <w:rPr>
          <w:sz w:val="20"/>
          <w:szCs w:val="20"/>
          <w:color w:val="auto"/>
        </w:rPr>
      </w:pPr>
    </w:p>
    <w:p>
      <w:pPr>
        <w:jc w:val="center"/>
        <w:ind w:right="-199"/>
        <w:spacing w:after="0"/>
        <w:rPr>
          <w:sz w:val="20"/>
          <w:szCs w:val="20"/>
          <w:color w:val="auto"/>
        </w:rPr>
      </w:pPr>
      <w:r>
        <w:rPr>
          <w:rFonts w:ascii="Arial" w:cs="Arial" w:eastAsia="Arial" w:hAnsi="Arial"/>
          <w:sz w:val="14"/>
          <w:szCs w:val="14"/>
          <w:color w:val="auto"/>
        </w:rPr>
        <w:t>- 5 -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40"/>
          </w:cols>
          <w:pgMar w:left="320" w:top="364" w:right="539" w:bottom="1440" w:gutter="0" w:footer="0" w:header="0"/>
        </w:sectPr>
      </w:pPr>
    </w:p>
    <w:bookmarkStart w:id="9" w:name="page10"/>
    <w:bookmarkEnd w:id="9"/>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77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6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w w:val="93"/>
              </w:rPr>
              <w:t>June 30, 2020</w:t>
            </w:r>
          </w:p>
        </w:tc>
        <w:tc>
          <w:tcPr>
            <w:tcW w:w="120" w:type="dxa"/>
            <w:vAlign w:val="bottom"/>
          </w:tcPr>
          <w:p>
            <w:pPr>
              <w:spacing w:after="0"/>
              <w:rPr>
                <w:sz w:val="20"/>
                <w:szCs w:val="20"/>
                <w:color w:val="auto"/>
              </w:rPr>
            </w:pPr>
          </w:p>
        </w:tc>
        <w:tc>
          <w:tcPr>
            <w:tcW w:w="166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w w:val="91"/>
              </w:rPr>
              <w:t>December 31, 2019</w:t>
            </w:r>
          </w:p>
        </w:tc>
        <w:tc>
          <w:tcPr>
            <w:tcW w:w="0" w:type="dxa"/>
            <w:vAlign w:val="bottom"/>
          </w:tcPr>
          <w:p>
            <w:pPr>
              <w:spacing w:after="0"/>
              <w:rPr>
                <w:sz w:val="1"/>
                <w:szCs w:val="1"/>
                <w:color w:val="auto"/>
              </w:rPr>
            </w:pPr>
          </w:p>
        </w:tc>
      </w:tr>
      <w:tr>
        <w:trPr>
          <w:trHeight w:val="202"/>
        </w:trPr>
        <w:tc>
          <w:tcPr>
            <w:tcW w:w="772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2300" w:type="dxa"/>
            <w:vAlign w:val="bottom"/>
            <w:tcBorders>
              <w:top w:val="single" w:sz="8" w:color="auto"/>
            </w:tcBorders>
            <w:gridSpan w:val="4"/>
          </w:tcPr>
          <w:p>
            <w:pPr>
              <w:jc w:val="right"/>
              <w:ind w:right="230"/>
              <w:spacing w:after="0" w:line="201" w:lineRule="exact"/>
              <w:rPr>
                <w:sz w:val="20"/>
                <w:szCs w:val="20"/>
                <w:color w:val="auto"/>
              </w:rPr>
            </w:pPr>
            <w:r>
              <w:rPr>
                <w:rFonts w:ascii="Arial" w:cs="Arial" w:eastAsia="Arial" w:hAnsi="Arial"/>
                <w:sz w:val="18"/>
                <w:szCs w:val="18"/>
                <w:i w:val="1"/>
                <w:iCs w:val="1"/>
                <w:color w:val="auto"/>
              </w:rPr>
              <w:t>(Unaudited)</w:t>
            </w:r>
          </w:p>
        </w:tc>
        <w:tc>
          <w:tcPr>
            <w:tcW w:w="9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20" w:type="dxa"/>
            <w:vAlign w:val="bottom"/>
            <w:vMerge w:val="restart"/>
          </w:tcPr>
          <w:p>
            <w:pPr>
              <w:ind w:left="3580"/>
              <w:spacing w:after="0"/>
              <w:rPr>
                <w:sz w:val="20"/>
                <w:szCs w:val="20"/>
                <w:color w:val="auto"/>
              </w:rPr>
            </w:pPr>
            <w:r>
              <w:rPr>
                <w:rFonts w:ascii="Arial" w:cs="Arial" w:eastAsia="Arial" w:hAnsi="Arial"/>
                <w:sz w:val="18"/>
                <w:szCs w:val="18"/>
                <w:b w:val="1"/>
                <w:bCs w:val="1"/>
                <w:color w:val="auto"/>
              </w:rPr>
              <w:t>Assets</w:t>
            </w:r>
          </w:p>
        </w:tc>
        <w:tc>
          <w:tcPr>
            <w:tcW w:w="3520" w:type="dxa"/>
            <w:vAlign w:val="bottom"/>
            <w:gridSpan w:val="7"/>
          </w:tcPr>
          <w:p>
            <w:pPr>
              <w:ind w:left="20"/>
              <w:spacing w:after="0"/>
              <w:rPr>
                <w:sz w:val="20"/>
                <w:szCs w:val="20"/>
                <w:color w:val="auto"/>
              </w:rPr>
            </w:pPr>
            <w:r>
              <w:rPr>
                <w:rFonts w:ascii="Arial" w:cs="Arial" w:eastAsia="Arial" w:hAnsi="Arial"/>
                <w:sz w:val="18"/>
                <w:szCs w:val="18"/>
                <w:i w:val="1"/>
                <w:iCs w:val="1"/>
                <w:color w:val="auto"/>
                <w:w w:val="90"/>
              </w:rPr>
              <w:t>(In thousands, except share and per share data)</w:t>
            </w:r>
          </w:p>
        </w:tc>
        <w:tc>
          <w:tcPr>
            <w:tcW w:w="0" w:type="dxa"/>
            <w:vAlign w:val="bottom"/>
          </w:tcPr>
          <w:p>
            <w:pPr>
              <w:spacing w:after="0"/>
              <w:rPr>
                <w:sz w:val="1"/>
                <w:szCs w:val="1"/>
                <w:color w:val="auto"/>
              </w:rPr>
            </w:pPr>
          </w:p>
        </w:tc>
      </w:tr>
      <w:tr>
        <w:trPr>
          <w:trHeight w:val="202"/>
        </w:trPr>
        <w:tc>
          <w:tcPr>
            <w:tcW w:w="7720" w:type="dxa"/>
            <w:vAlign w:val="bottom"/>
            <w:vMerge w:val="continue"/>
          </w:tcPr>
          <w:p>
            <w:pPr>
              <w:spacing w:after="0"/>
              <w:rPr>
                <w:sz w:val="17"/>
                <w:szCs w:val="17"/>
                <w:color w:val="auto"/>
              </w:rPr>
            </w:pP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20" w:type="dxa"/>
            <w:vAlign w:val="bottom"/>
          </w:tcPr>
          <w:p>
            <w:pPr>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86,397</w:t>
            </w:r>
          </w:p>
        </w:tc>
        <w:tc>
          <w:tcPr>
            <w:tcW w:w="1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450"/>
              <w:spacing w:after="0"/>
              <w:rPr>
                <w:sz w:val="20"/>
                <w:szCs w:val="20"/>
                <w:color w:val="auto"/>
              </w:rPr>
            </w:pPr>
            <w:r>
              <w:rPr>
                <w:rFonts w:ascii="Arial" w:cs="Arial" w:eastAsia="Arial" w:hAnsi="Arial"/>
                <w:sz w:val="18"/>
                <w:szCs w:val="18"/>
                <w:color w:val="auto"/>
              </w:rPr>
              <w:t>$</w:t>
            </w: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58,261</w:t>
            </w: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Restricted cash</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59,598</w:t>
            </w:r>
          </w:p>
        </w:tc>
        <w:tc>
          <w:tcPr>
            <w:tcW w:w="0" w:type="dxa"/>
            <w:vAlign w:val="bottom"/>
          </w:tcPr>
          <w:p>
            <w:pPr>
              <w:spacing w:after="0"/>
              <w:rPr>
                <w:sz w:val="1"/>
                <w:szCs w:val="1"/>
                <w:color w:val="auto"/>
              </w:rPr>
            </w:pPr>
          </w:p>
        </w:tc>
      </w:tr>
      <w:tr>
        <w:trPr>
          <w:trHeight w:val="202"/>
        </w:trPr>
        <w:tc>
          <w:tcPr>
            <w:tcW w:w="7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9"/>
              </w:rPr>
              <w:t>Accounts receivable, less allowance for doubtful accounts of $0 as of June 30, 2020 and $0 as of</w:t>
            </w: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December 31, 2019</w:t>
            </w:r>
          </w:p>
        </w:tc>
        <w:tc>
          <w:tcPr>
            <w:tcW w:w="18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58,903</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31,091</w:t>
            </w: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Other receivables</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7,651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2,603</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49,772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44,796</w:t>
            </w: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Prepaid expenses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3,157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2,047</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assets</w:t>
            </w:r>
          </w:p>
        </w:tc>
        <w:tc>
          <w:tcPr>
            <w:tcW w:w="1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205,880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198,396</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Property, plant and equipment, net</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3,956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3,619</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Operating lease right-of-use assets, net</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4,648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3,887</w:t>
            </w: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Intangible assets, net</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329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344</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5,763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5,331</w:t>
            </w: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Long-term investments</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20,360</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5,934</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long-term assets</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16,466</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192</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50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257,402</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217,703</w:t>
            </w:r>
          </w:p>
        </w:tc>
        <w:tc>
          <w:tcPr>
            <w:tcW w:w="0" w:type="dxa"/>
            <w:vAlign w:val="bottom"/>
          </w:tcPr>
          <w:p>
            <w:pPr>
              <w:spacing w:after="0"/>
              <w:rPr>
                <w:sz w:val="1"/>
                <w:szCs w:val="1"/>
                <w:color w:val="auto"/>
              </w:rPr>
            </w:pPr>
          </w:p>
        </w:tc>
      </w:tr>
      <w:tr>
        <w:trPr>
          <w:trHeight w:val="20"/>
        </w:trPr>
        <w:tc>
          <w:tcPr>
            <w:tcW w:w="77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720" w:type="dxa"/>
            <w:vAlign w:val="bottom"/>
            <w:shd w:val="clear" w:color="auto" w:fill="CCEEFF"/>
          </w:tcPr>
          <w:p>
            <w:pPr>
              <w:ind w:left="920"/>
              <w:spacing w:after="0"/>
              <w:rPr>
                <w:sz w:val="20"/>
                <w:szCs w:val="20"/>
                <w:color w:val="auto"/>
              </w:rPr>
            </w:pPr>
            <w:r>
              <w:rPr>
                <w:rFonts w:ascii="Arial" w:cs="Arial" w:eastAsia="Arial" w:hAnsi="Arial"/>
                <w:sz w:val="18"/>
                <w:szCs w:val="18"/>
                <w:b w:val="1"/>
                <w:bCs w:val="1"/>
                <w:color w:val="auto"/>
              </w:rPr>
              <w:t>Liabilities, Redeemable Non-controlling Interests and Stockholders’ Equity</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Short-term borrowings</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25,772</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13,753</w:t>
            </w:r>
          </w:p>
        </w:tc>
        <w:tc>
          <w:tcPr>
            <w:tcW w:w="0" w:type="dxa"/>
            <w:vAlign w:val="bottom"/>
          </w:tcPr>
          <w:p>
            <w:pPr>
              <w:spacing w:after="0"/>
              <w:rPr>
                <w:sz w:val="1"/>
                <w:szCs w:val="1"/>
                <w:color w:val="auto"/>
              </w:rPr>
            </w:pPr>
          </w:p>
        </w:tc>
      </w:tr>
      <w:tr>
        <w:trPr>
          <w:trHeight w:val="216"/>
        </w:trPr>
        <w:tc>
          <w:tcPr>
            <w:tcW w:w="7720" w:type="dxa"/>
            <w:vAlign w:val="bottom"/>
          </w:tcPr>
          <w:p>
            <w:pPr>
              <w:ind w:left="180"/>
              <w:spacing w:after="0"/>
              <w:rPr>
                <w:sz w:val="20"/>
                <w:szCs w:val="20"/>
                <w:color w:val="auto"/>
              </w:rPr>
            </w:pPr>
            <w:r>
              <w:rPr>
                <w:rFonts w:ascii="Arial" w:cs="Arial" w:eastAsia="Arial" w:hAnsi="Arial"/>
                <w:sz w:val="18"/>
                <w:szCs w:val="18"/>
                <w:color w:val="auto"/>
              </w:rPr>
              <w:t>Accounts payable</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27,986</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13,262</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Advances from customers</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8,780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9,129</w:t>
            </w:r>
          </w:p>
        </w:tc>
        <w:tc>
          <w:tcPr>
            <w:tcW w:w="0" w:type="dxa"/>
            <w:vAlign w:val="bottom"/>
          </w:tcPr>
          <w:p>
            <w:pPr>
              <w:spacing w:after="0"/>
              <w:rPr>
                <w:sz w:val="1"/>
                <w:szCs w:val="1"/>
                <w:color w:val="auto"/>
              </w:rPr>
            </w:pPr>
          </w:p>
        </w:tc>
      </w:tr>
      <w:tr>
        <w:trPr>
          <w:trHeight w:val="216"/>
        </w:trPr>
        <w:tc>
          <w:tcPr>
            <w:tcW w:w="7720" w:type="dxa"/>
            <w:vAlign w:val="bottom"/>
          </w:tcPr>
          <w:p>
            <w:pPr>
              <w:ind w:left="180"/>
              <w:spacing w:after="0"/>
              <w:rPr>
                <w:sz w:val="20"/>
                <w:szCs w:val="20"/>
                <w:color w:val="auto"/>
              </w:rPr>
            </w:pPr>
            <w:r>
              <w:rPr>
                <w:rFonts w:ascii="Arial" w:cs="Arial" w:eastAsia="Arial" w:hAnsi="Arial"/>
                <w:sz w:val="18"/>
                <w:szCs w:val="18"/>
                <w:color w:val="auto"/>
              </w:rPr>
              <w:t>Income taxes payable</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1,669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3,129</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Other payables and accrued expenses</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12,874</w:t>
            </w:r>
          </w:p>
        </w:tc>
        <w:tc>
          <w:tcPr>
            <w:tcW w:w="0" w:type="dxa"/>
            <w:vAlign w:val="bottom"/>
          </w:tcPr>
          <w:p>
            <w:pPr>
              <w:spacing w:after="0"/>
              <w:rPr>
                <w:sz w:val="1"/>
                <w:szCs w:val="1"/>
                <w:color w:val="auto"/>
              </w:rPr>
            </w:pPr>
          </w:p>
        </w:tc>
      </w:tr>
      <w:tr>
        <w:trPr>
          <w:trHeight w:val="216"/>
        </w:trPr>
        <w:tc>
          <w:tcPr>
            <w:tcW w:w="7720" w:type="dxa"/>
            <w:vAlign w:val="bottom"/>
          </w:tcPr>
          <w:p>
            <w:pPr>
              <w:ind w:left="180"/>
              <w:spacing w:after="0"/>
              <w:rPr>
                <w:sz w:val="20"/>
                <w:szCs w:val="20"/>
                <w:color w:val="auto"/>
              </w:rPr>
            </w:pPr>
            <w:r>
              <w:rPr>
                <w:rFonts w:ascii="Arial" w:cs="Arial" w:eastAsia="Arial" w:hAnsi="Arial"/>
                <w:sz w:val="18"/>
                <w:szCs w:val="18"/>
                <w:color w:val="auto"/>
              </w:rPr>
              <w:t>Current portion of operating lease liability</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1,331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1,355</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Deferred revenue</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tcPr>
          <w:p>
            <w:pPr>
              <w:ind w:left="180"/>
              <w:spacing w:after="0"/>
              <w:rPr>
                <w:sz w:val="20"/>
                <w:szCs w:val="20"/>
                <w:color w:val="auto"/>
              </w:rPr>
            </w:pPr>
            <w:r>
              <w:rPr>
                <w:rFonts w:ascii="Arial" w:cs="Arial" w:eastAsia="Arial" w:hAnsi="Arial"/>
                <w:sz w:val="18"/>
                <w:szCs w:val="18"/>
                <w:color w:val="auto"/>
              </w:rPr>
              <w:t>Financial liability carried at fair value</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15,147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96,516</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53,502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80"/>
              <w:spacing w:after="0"/>
              <w:rPr>
                <w:sz w:val="20"/>
                <w:szCs w:val="20"/>
                <w:color w:val="auto"/>
              </w:rPr>
            </w:pPr>
            <w:r>
              <w:rPr>
                <w:rFonts w:ascii="Arial" w:cs="Arial" w:eastAsia="Arial" w:hAnsi="Arial"/>
                <w:sz w:val="18"/>
                <w:szCs w:val="18"/>
                <w:color w:val="auto"/>
              </w:rPr>
              <w:t>Long-term operating lease liability</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3,317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2,532</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6,584</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4,186</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7720" w:type="dxa"/>
            <w:vAlign w:val="bottom"/>
          </w:tcPr>
          <w:p>
            <w:pPr>
              <w:ind w:left="50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106,417</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60,220</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Commitments and contingencies</w:t>
            </w:r>
          </w:p>
        </w:tc>
        <w:tc>
          <w:tcPr>
            <w:tcW w:w="1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Redeemable non-controlling interests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60,162</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Stockholders’ equity:</w:t>
            </w:r>
          </w:p>
        </w:tc>
        <w:tc>
          <w:tcPr>
            <w:tcW w:w="1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7720" w:type="dxa"/>
            <w:vAlign w:val="bottom"/>
          </w:tcPr>
          <w:p>
            <w:pPr>
              <w:spacing w:after="0" w:line="201" w:lineRule="exact"/>
              <w:rPr>
                <w:sz w:val="20"/>
                <w:szCs w:val="20"/>
                <w:color w:val="auto"/>
              </w:rPr>
            </w:pPr>
            <w:r>
              <w:rPr>
                <w:rFonts w:ascii="Arial" w:cs="Arial" w:eastAsia="Arial" w:hAnsi="Arial"/>
                <w:sz w:val="18"/>
                <w:szCs w:val="18"/>
                <w:color w:val="auto"/>
                <w:w w:val="95"/>
              </w:rPr>
              <w:t>Common stock – Class A, par value $0.0001: 50,000,000 shares authorized as of June 30, 2020 and</w:t>
            </w:r>
          </w:p>
        </w:tc>
        <w:tc>
          <w:tcPr>
            <w:tcW w:w="18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tcPr>
          <w:p>
            <w:pPr>
              <w:ind w:left="140"/>
              <w:spacing w:after="0"/>
              <w:rPr>
                <w:sz w:val="20"/>
                <w:szCs w:val="20"/>
                <w:color w:val="auto"/>
              </w:rPr>
            </w:pPr>
            <w:r>
              <w:rPr>
                <w:rFonts w:ascii="Arial" w:cs="Arial" w:eastAsia="Arial" w:hAnsi="Arial"/>
                <w:sz w:val="18"/>
                <w:szCs w:val="18"/>
                <w:color w:val="auto"/>
                <w:w w:val="94"/>
              </w:rPr>
              <w:t>December 31, 2019; 16,250,092 shares issued and outstanding as of June 30, 2020 and 16,182,151</w:t>
            </w:r>
          </w:p>
        </w:tc>
        <w:tc>
          <w:tcPr>
            <w:tcW w:w="18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tcPr>
          <w:p>
            <w:pPr>
              <w:ind w:left="140"/>
              <w:spacing w:after="0"/>
              <w:rPr>
                <w:sz w:val="20"/>
                <w:szCs w:val="20"/>
                <w:color w:val="auto"/>
              </w:rPr>
            </w:pPr>
            <w:r>
              <w:rPr>
                <w:rFonts w:ascii="Arial" w:cs="Arial" w:eastAsia="Arial" w:hAnsi="Arial"/>
                <w:sz w:val="18"/>
                <w:szCs w:val="18"/>
                <w:color w:val="auto"/>
              </w:rPr>
              <w:t>shares issued and outstanding as of December 31, 2019</w:t>
            </w:r>
          </w:p>
        </w:tc>
        <w:tc>
          <w:tcPr>
            <w:tcW w:w="180" w:type="dxa"/>
            <w:vAlign w:val="bottom"/>
          </w:tcPr>
          <w:p>
            <w:pPr>
              <w:spacing w:after="0"/>
              <w:rPr>
                <w:sz w:val="20"/>
                <w:szCs w:val="20"/>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02"/>
        </w:trPr>
        <w:tc>
          <w:tcPr>
            <w:tcW w:w="77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8"/>
              </w:rPr>
              <w:t>Common stock–Class B, par value $0.0001: 2,409,738 shares authorized as of June 30, 2020 and</w:t>
            </w:r>
          </w:p>
        </w:tc>
        <w:tc>
          <w:tcPr>
            <w:tcW w:w="18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ind w:left="140"/>
              <w:spacing w:after="0"/>
              <w:rPr>
                <w:sz w:val="20"/>
                <w:szCs w:val="20"/>
                <w:color w:val="auto"/>
              </w:rPr>
            </w:pPr>
            <w:r>
              <w:rPr>
                <w:rFonts w:ascii="Arial" w:cs="Arial" w:eastAsia="Arial" w:hAnsi="Arial"/>
                <w:sz w:val="18"/>
                <w:szCs w:val="18"/>
                <w:color w:val="auto"/>
                <w:w w:val="90"/>
              </w:rPr>
              <w:t>December 31, 2019; 1,802,606 shares issued and outstanding as of June 30, 2020 and 1,862,608 shares</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720" w:type="dxa"/>
            <w:vAlign w:val="bottom"/>
            <w:shd w:val="clear" w:color="auto" w:fill="CCEEFF"/>
          </w:tcPr>
          <w:p>
            <w:pPr>
              <w:ind w:left="140"/>
              <w:spacing w:after="0"/>
              <w:rPr>
                <w:sz w:val="20"/>
                <w:szCs w:val="20"/>
                <w:color w:val="auto"/>
              </w:rPr>
            </w:pPr>
            <w:r>
              <w:rPr>
                <w:rFonts w:ascii="Arial" w:cs="Arial" w:eastAsia="Arial" w:hAnsi="Arial"/>
                <w:sz w:val="18"/>
                <w:szCs w:val="18"/>
                <w:color w:val="auto"/>
              </w:rPr>
              <w:t>issued and outstanding as of December 31, 2019</w:t>
            </w:r>
          </w:p>
        </w:tc>
        <w:tc>
          <w:tcPr>
            <w:tcW w:w="180" w:type="dxa"/>
            <w:vAlign w:val="bottom"/>
            <w:shd w:val="clear" w:color="auto" w:fill="CCEEFF"/>
          </w:tcPr>
          <w:p>
            <w:pPr>
              <w:spacing w:after="0"/>
              <w:rPr>
                <w:sz w:val="20"/>
                <w:szCs w:val="20"/>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color w:val="auto"/>
              </w:rPr>
              <w:t>Additional paid in capital</w:t>
            </w:r>
          </w:p>
        </w:tc>
        <w:tc>
          <w:tcPr>
            <w:tcW w:w="18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76,189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83,487</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color w:val="auto"/>
              </w:rPr>
              <w:t>Accumulated surplus</w:t>
            </w:r>
          </w:p>
        </w:tc>
        <w:tc>
          <w:tcPr>
            <w:tcW w:w="18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17,131</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15,507</w:t>
            </w: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Accumulated other comprehensive loss</w:t>
            </w:r>
          </w:p>
        </w:tc>
        <w:tc>
          <w:tcPr>
            <w:tcW w:w="180" w:type="dxa"/>
            <w:vAlign w:val="bottom"/>
          </w:tcPr>
          <w:p>
            <w:pPr>
              <w:spacing w:after="0"/>
              <w:rPr>
                <w:sz w:val="19"/>
                <w:szCs w:val="19"/>
                <w:color w:val="auto"/>
              </w:rPr>
            </w:pPr>
          </w:p>
        </w:tc>
        <w:tc>
          <w:tcPr>
            <w:tcW w:w="1560" w:type="dxa"/>
            <w:vAlign w:val="bottom"/>
            <w:gridSpan w:val="2"/>
          </w:tcPr>
          <w:p>
            <w:pPr>
              <w:jc w:val="right"/>
              <w:ind w:right="120"/>
              <w:spacing w:after="0"/>
              <w:rPr>
                <w:sz w:val="20"/>
                <w:szCs w:val="20"/>
                <w:color w:val="auto"/>
              </w:rPr>
            </w:pPr>
            <w:r>
              <w:rPr>
                <w:rFonts w:ascii="Arial" w:cs="Arial" w:eastAsia="Arial" w:hAnsi="Arial"/>
                <w:sz w:val="18"/>
                <w:szCs w:val="18"/>
                <w:color w:val="auto"/>
              </w:rPr>
              <w:t>(3,415)</w:t>
            </w: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(1,675)</w:t>
            </w:r>
          </w:p>
        </w:tc>
        <w:tc>
          <w:tcPr>
            <w:tcW w:w="0" w:type="dxa"/>
            <w:vAlign w:val="bottom"/>
          </w:tcPr>
          <w:p>
            <w:pPr>
              <w:spacing w:after="0"/>
              <w:rPr>
                <w:sz w:val="1"/>
                <w:szCs w:val="1"/>
                <w:color w:val="auto"/>
              </w:rPr>
            </w:pPr>
          </w:p>
        </w:tc>
      </w:tr>
      <w:tr>
        <w:trPr>
          <w:trHeight w:val="216"/>
        </w:trPr>
        <w:tc>
          <w:tcPr>
            <w:tcW w:w="77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ACM Research, Inc. stockholders’ equity</w:t>
            </w:r>
          </w:p>
        </w:tc>
        <w:tc>
          <w:tcPr>
            <w:tcW w:w="18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89,907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97,321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720" w:type="dxa"/>
            <w:vAlign w:val="bottom"/>
          </w:tcPr>
          <w:p>
            <w:pPr>
              <w:spacing w:after="0"/>
              <w:rPr>
                <w:sz w:val="20"/>
                <w:szCs w:val="20"/>
                <w:color w:val="auto"/>
              </w:rPr>
            </w:pPr>
            <w:r>
              <w:rPr>
                <w:rFonts w:ascii="Arial" w:cs="Arial" w:eastAsia="Arial" w:hAnsi="Arial"/>
                <w:sz w:val="18"/>
                <w:szCs w:val="18"/>
                <w:color w:val="auto"/>
              </w:rPr>
              <w:t>Non-controlling interests</w:t>
            </w:r>
          </w:p>
        </w:tc>
        <w:tc>
          <w:tcPr>
            <w:tcW w:w="180" w:type="dxa"/>
            <w:vAlign w:val="bottom"/>
          </w:tcPr>
          <w:p>
            <w:pPr>
              <w:spacing w:after="0"/>
              <w:rPr>
                <w:sz w:val="19"/>
                <w:szCs w:val="19"/>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61,078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77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b w:val="1"/>
                <w:bCs w:val="1"/>
                <w:color w:val="auto"/>
              </w:rPr>
              <w:t>Total stockholders’ equity</w:t>
            </w:r>
          </w:p>
        </w:tc>
        <w:tc>
          <w:tcPr>
            <w:tcW w:w="180" w:type="dxa"/>
            <w:vAlign w:val="bottom"/>
            <w:tcBorders>
              <w:top w:val="single" w:sz="8" w:color="auto"/>
              <w:bottom w:val="single" w:sz="8" w:color="auto"/>
            </w:tcBorders>
            <w:shd w:val="clear" w:color="auto" w:fill="CCEEFF"/>
          </w:tcPr>
          <w:p>
            <w:pPr>
              <w:spacing w:after="0"/>
              <w:rPr>
                <w:sz w:val="19"/>
                <w:szCs w:val="19"/>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150,985</w:t>
            </w:r>
          </w:p>
        </w:tc>
        <w:tc>
          <w:tcPr>
            <w:tcW w:w="18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620" w:type="dxa"/>
            <w:vAlign w:val="bottom"/>
            <w:tcBorders>
              <w:top w:val="single" w:sz="8" w:color="auto"/>
              <w:bottom w:val="single" w:sz="8" w:color="auto"/>
            </w:tcBorders>
            <w:shd w:val="clear" w:color="auto" w:fill="CCEEFF"/>
          </w:tcPr>
          <w:p>
            <w:pPr>
              <w:spacing w:after="0"/>
              <w:rPr>
                <w:sz w:val="19"/>
                <w:szCs w:val="19"/>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97,321</w:t>
            </w:r>
          </w:p>
        </w:tc>
        <w:tc>
          <w:tcPr>
            <w:tcW w:w="10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7720" w:type="dxa"/>
            <w:vAlign w:val="bottom"/>
          </w:tcPr>
          <w:p>
            <w:pPr>
              <w:spacing w:after="0"/>
              <w:rPr>
                <w:sz w:val="20"/>
                <w:szCs w:val="20"/>
                <w:color w:val="auto"/>
              </w:rPr>
            </w:pPr>
            <w:r>
              <w:rPr>
                <w:rFonts w:ascii="Arial" w:cs="Arial" w:eastAsia="Arial" w:hAnsi="Arial"/>
                <w:sz w:val="18"/>
                <w:szCs w:val="18"/>
                <w:b w:val="1"/>
                <w:bCs w:val="1"/>
                <w:color w:val="auto"/>
              </w:rPr>
              <w:t>Total liabilities, redeemable non-controlling interests, and stockholders’ equity</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257,402</w:t>
            </w:r>
          </w:p>
        </w:tc>
        <w:tc>
          <w:tcPr>
            <w:tcW w:w="180" w:type="dxa"/>
            <w:vAlign w:val="bottom"/>
          </w:tcPr>
          <w:p>
            <w:pPr>
              <w:spacing w:after="0"/>
              <w:rPr>
                <w:sz w:val="18"/>
                <w:szCs w:val="18"/>
                <w:color w:val="auto"/>
              </w:rPr>
            </w:pPr>
          </w:p>
        </w:tc>
        <w:tc>
          <w:tcPr>
            <w:tcW w:w="740" w:type="dxa"/>
            <w:vAlign w:val="bottom"/>
            <w:gridSpan w:val="2"/>
          </w:tcPr>
          <w:p>
            <w:pPr>
              <w:jc w:val="right"/>
              <w:ind w:right="45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217,703</w:t>
            </w:r>
          </w:p>
        </w:tc>
        <w:tc>
          <w:tcPr>
            <w:tcW w:w="0" w:type="dxa"/>
            <w:vAlign w:val="bottom"/>
          </w:tcPr>
          <w:p>
            <w:pPr>
              <w:spacing w:after="0"/>
              <w:rPr>
                <w:sz w:val="1"/>
                <w:szCs w:val="1"/>
                <w:color w:val="auto"/>
              </w:rPr>
            </w:pPr>
          </w:p>
        </w:tc>
      </w:tr>
      <w:tr>
        <w:trPr>
          <w:trHeight w:val="20"/>
        </w:trPr>
        <w:tc>
          <w:tcPr>
            <w:tcW w:w="7720" w:type="dxa"/>
            <w:vAlign w:val="bottom"/>
            <w:vMerge w:val="restart"/>
          </w:tcPr>
          <w:p>
            <w:pPr>
              <w:ind w:left="5500"/>
              <w:spacing w:after="0"/>
              <w:rPr>
                <w:sz w:val="20"/>
                <w:szCs w:val="20"/>
                <w:color w:val="auto"/>
              </w:rPr>
            </w:pPr>
            <w:r>
              <w:rPr>
                <w:rFonts w:ascii="Arial" w:cs="Arial" w:eastAsia="Arial" w:hAnsi="Arial"/>
                <w:sz w:val="14"/>
                <w:szCs w:val="14"/>
                <w:color w:val="auto"/>
              </w:rPr>
              <w:t>- 6 -</w:t>
            </w: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62"/>
        </w:trPr>
        <w:tc>
          <w:tcPr>
            <w:tcW w:w="7720" w:type="dxa"/>
            <w:vAlign w:val="bottom"/>
            <w:vMerge w:val="continue"/>
          </w:tcPr>
          <w:p>
            <w:pPr>
              <w:spacing w:after="0"/>
              <w:rPr>
                <w:sz w:val="24"/>
                <w:szCs w:val="24"/>
                <w:color w:val="auto"/>
              </w:rPr>
            </w:pPr>
          </w:p>
        </w:tc>
        <w:tc>
          <w:tcPr>
            <w:tcW w:w="18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6"/>
        </w:trPr>
        <w:tc>
          <w:tcPr>
            <w:tcW w:w="77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38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94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364" w:right="33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5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40" w:type="dxa"/>
            <w:vAlign w:val="bottom"/>
            <w:gridSpan w:val="5"/>
          </w:tcPr>
          <w:p>
            <w:pPr>
              <w:jc w:val="center"/>
              <w:ind w:right="280"/>
              <w:spacing w:after="0"/>
              <w:rPr>
                <w:sz w:val="20"/>
                <w:szCs w:val="20"/>
                <w:color w:val="auto"/>
              </w:rPr>
            </w:pPr>
            <w:r>
              <w:rPr>
                <w:rFonts w:ascii="Arial" w:cs="Arial" w:eastAsia="Arial" w:hAnsi="Arial"/>
                <w:sz w:val="18"/>
                <w:szCs w:val="18"/>
                <w:b w:val="1"/>
                <w:bCs w:val="1"/>
                <w:color w:val="auto"/>
                <w:w w:val="90"/>
              </w:rPr>
              <w:t>Three Months Ended June 30,</w:t>
            </w:r>
          </w:p>
        </w:tc>
        <w:tc>
          <w:tcPr>
            <w:tcW w:w="120" w:type="dxa"/>
            <w:vAlign w:val="bottom"/>
          </w:tcPr>
          <w:p>
            <w:pPr>
              <w:spacing w:after="0"/>
              <w:rPr>
                <w:sz w:val="20"/>
                <w:szCs w:val="20"/>
                <w:color w:val="auto"/>
              </w:rPr>
            </w:pPr>
          </w:p>
        </w:tc>
        <w:tc>
          <w:tcPr>
            <w:tcW w:w="2420" w:type="dxa"/>
            <w:vAlign w:val="bottom"/>
            <w:gridSpan w:val="5"/>
          </w:tcPr>
          <w:p>
            <w:pPr>
              <w:jc w:val="center"/>
              <w:ind w:right="240"/>
              <w:spacing w:after="0"/>
              <w:rPr>
                <w:sz w:val="20"/>
                <w:szCs w:val="20"/>
                <w:color w:val="auto"/>
              </w:rPr>
            </w:pPr>
            <w:r>
              <w:rPr>
                <w:rFonts w:ascii="Arial" w:cs="Arial" w:eastAsia="Arial" w:hAnsi="Arial"/>
                <w:sz w:val="18"/>
                <w:szCs w:val="18"/>
                <w:b w:val="1"/>
                <w:bCs w:val="1"/>
                <w:color w:val="auto"/>
                <w:w w:val="90"/>
              </w:rPr>
              <w:t>Six Months Ended June 30,</w:t>
            </w:r>
          </w:p>
        </w:tc>
      </w:tr>
      <w:tr>
        <w:trPr>
          <w:trHeight w:val="223"/>
        </w:trPr>
        <w:tc>
          <w:tcPr>
            <w:tcW w:w="5980" w:type="dxa"/>
            <w:vAlign w:val="bottom"/>
          </w:tcPr>
          <w:p>
            <w:pPr>
              <w:spacing w:after="0"/>
              <w:rPr>
                <w:sz w:val="19"/>
                <w:szCs w:val="19"/>
                <w:color w:val="auto"/>
              </w:rPr>
            </w:pPr>
          </w:p>
        </w:tc>
        <w:tc>
          <w:tcPr>
            <w:tcW w:w="80" w:type="dxa"/>
            <w:vAlign w:val="bottom"/>
            <w:tcBorders>
              <w:top w:val="single" w:sz="8" w:color="auto"/>
              <w:bottom w:val="single" w:sz="8" w:color="auto"/>
            </w:tcBorders>
          </w:tcPr>
          <w:p>
            <w:pPr>
              <w:spacing w:after="0"/>
              <w:rPr>
                <w:sz w:val="19"/>
                <w:szCs w:val="19"/>
                <w:color w:val="auto"/>
              </w:rPr>
            </w:pPr>
          </w:p>
        </w:tc>
        <w:tc>
          <w:tcPr>
            <w:tcW w:w="108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32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w w:val="99"/>
              </w:rPr>
              <w:t>2019</w:t>
            </w:r>
          </w:p>
        </w:tc>
        <w:tc>
          <w:tcPr>
            <w:tcW w:w="2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9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220" w:type="dxa"/>
            <w:vAlign w:val="bottom"/>
            <w:tcBorders>
              <w:top w:val="single" w:sz="8" w:color="auto"/>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r>
      <w:tr>
        <w:trPr>
          <w:trHeight w:val="202"/>
        </w:trPr>
        <w:tc>
          <w:tcPr>
            <w:tcW w:w="5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20" w:type="dxa"/>
            <w:vAlign w:val="bottom"/>
            <w:gridSpan w:val="3"/>
          </w:tcPr>
          <w:p>
            <w:pPr>
              <w:jc w:val="center"/>
              <w:ind w:left="650"/>
              <w:spacing w:after="0" w:line="201" w:lineRule="exact"/>
              <w:rPr>
                <w:sz w:val="20"/>
                <w:szCs w:val="20"/>
                <w:color w:val="auto"/>
              </w:rPr>
            </w:pPr>
            <w:r>
              <w:rPr>
                <w:rFonts w:ascii="Arial" w:cs="Arial" w:eastAsia="Arial" w:hAnsi="Arial"/>
                <w:sz w:val="18"/>
                <w:szCs w:val="18"/>
                <w:i w:val="1"/>
                <w:iCs w:val="1"/>
                <w:color w:val="auto"/>
                <w:w w:val="93"/>
              </w:rPr>
              <w:t>(Unaudited)</w:t>
            </w:r>
          </w:p>
        </w:tc>
        <w:tc>
          <w:tcPr>
            <w:tcW w:w="8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20" w:type="dxa"/>
            <w:vAlign w:val="bottom"/>
            <w:gridSpan w:val="5"/>
          </w:tcPr>
          <w:p>
            <w:pPr>
              <w:jc w:val="center"/>
              <w:ind w:right="220"/>
              <w:spacing w:after="0" w:line="201" w:lineRule="exact"/>
              <w:rPr>
                <w:sz w:val="20"/>
                <w:szCs w:val="20"/>
                <w:color w:val="auto"/>
              </w:rPr>
            </w:pPr>
            <w:r>
              <w:rPr>
                <w:rFonts w:ascii="Arial" w:cs="Arial" w:eastAsia="Arial" w:hAnsi="Arial"/>
                <w:sz w:val="18"/>
                <w:szCs w:val="18"/>
                <w:i w:val="1"/>
                <w:iCs w:val="1"/>
                <w:color w:val="auto"/>
                <w:w w:val="93"/>
              </w:rPr>
              <w:t>(Unaudited)</w:t>
            </w:r>
          </w:p>
        </w:tc>
      </w:tr>
      <w:tr>
        <w:trPr>
          <w:trHeight w:val="216"/>
        </w:trPr>
        <w:tc>
          <w:tcPr>
            <w:tcW w:w="5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40" w:type="dxa"/>
            <w:vAlign w:val="bottom"/>
            <w:gridSpan w:val="5"/>
          </w:tcPr>
          <w:p>
            <w:pPr>
              <w:jc w:val="center"/>
              <w:ind w:right="300"/>
              <w:spacing w:after="0"/>
              <w:rPr>
                <w:sz w:val="20"/>
                <w:szCs w:val="20"/>
                <w:color w:val="auto"/>
              </w:rPr>
            </w:pPr>
            <w:r>
              <w:rPr>
                <w:rFonts w:ascii="Arial" w:cs="Arial" w:eastAsia="Arial" w:hAnsi="Arial"/>
                <w:sz w:val="18"/>
                <w:szCs w:val="18"/>
                <w:i w:val="1"/>
                <w:iCs w:val="1"/>
                <w:color w:val="auto"/>
                <w:w w:val="89"/>
              </w:rPr>
              <w:t>( In thousands, except share and</w:t>
            </w:r>
          </w:p>
        </w:tc>
        <w:tc>
          <w:tcPr>
            <w:tcW w:w="2540" w:type="dxa"/>
            <w:vAlign w:val="bottom"/>
            <w:gridSpan w:val="6"/>
          </w:tcPr>
          <w:p>
            <w:pPr>
              <w:jc w:val="center"/>
              <w:ind w:right="100"/>
              <w:spacing w:after="0"/>
              <w:rPr>
                <w:sz w:val="20"/>
                <w:szCs w:val="20"/>
                <w:color w:val="auto"/>
              </w:rPr>
            </w:pPr>
            <w:r>
              <w:rPr>
                <w:rFonts w:ascii="Arial" w:cs="Arial" w:eastAsia="Arial" w:hAnsi="Arial"/>
                <w:sz w:val="18"/>
                <w:szCs w:val="18"/>
                <w:i w:val="1"/>
                <w:iCs w:val="1"/>
                <w:color w:val="auto"/>
                <w:w w:val="88"/>
              </w:rPr>
              <w:t>( In thousands, except share and</w:t>
            </w:r>
          </w:p>
        </w:tc>
      </w:tr>
      <w:tr>
        <w:trPr>
          <w:trHeight w:val="230"/>
        </w:trPr>
        <w:tc>
          <w:tcPr>
            <w:tcW w:w="59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640" w:type="dxa"/>
            <w:vAlign w:val="bottom"/>
            <w:gridSpan w:val="5"/>
          </w:tcPr>
          <w:p>
            <w:pPr>
              <w:jc w:val="center"/>
              <w:ind w:right="300"/>
              <w:spacing w:after="0"/>
              <w:rPr>
                <w:sz w:val="20"/>
                <w:szCs w:val="20"/>
                <w:color w:val="auto"/>
              </w:rPr>
            </w:pPr>
            <w:r>
              <w:rPr>
                <w:rFonts w:ascii="Arial" w:cs="Arial" w:eastAsia="Arial" w:hAnsi="Arial"/>
                <w:sz w:val="18"/>
                <w:szCs w:val="18"/>
                <w:i w:val="1"/>
                <w:iCs w:val="1"/>
                <w:color w:val="auto"/>
                <w:w w:val="90"/>
              </w:rPr>
              <w:t>per share data)</w:t>
            </w:r>
          </w:p>
        </w:tc>
        <w:tc>
          <w:tcPr>
            <w:tcW w:w="120" w:type="dxa"/>
            <w:vAlign w:val="bottom"/>
          </w:tcPr>
          <w:p>
            <w:pPr>
              <w:spacing w:after="0"/>
              <w:rPr>
                <w:sz w:val="20"/>
                <w:szCs w:val="20"/>
                <w:color w:val="auto"/>
              </w:rPr>
            </w:pPr>
          </w:p>
        </w:tc>
        <w:tc>
          <w:tcPr>
            <w:tcW w:w="2420" w:type="dxa"/>
            <w:vAlign w:val="bottom"/>
            <w:gridSpan w:val="5"/>
          </w:tcPr>
          <w:p>
            <w:pPr>
              <w:jc w:val="center"/>
              <w:ind w:right="240"/>
              <w:spacing w:after="0"/>
              <w:rPr>
                <w:sz w:val="20"/>
                <w:szCs w:val="20"/>
                <w:color w:val="auto"/>
              </w:rPr>
            </w:pPr>
            <w:r>
              <w:rPr>
                <w:rFonts w:ascii="Arial" w:cs="Arial" w:eastAsia="Arial" w:hAnsi="Arial"/>
                <w:sz w:val="18"/>
                <w:szCs w:val="18"/>
                <w:i w:val="1"/>
                <w:iCs w:val="1"/>
                <w:color w:val="auto"/>
                <w:w w:val="90"/>
              </w:rPr>
              <w:t>per share data)</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39,049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29,010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63,397</w:t>
            </w: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49,489</w:t>
            </w: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Cost of revenue</w:t>
            </w: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19,693</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15,879</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33,813</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27,532</w:t>
            </w:r>
          </w:p>
        </w:tc>
      </w:tr>
      <w:tr>
        <w:trPr>
          <w:trHeight w:val="223"/>
        </w:trPr>
        <w:tc>
          <w:tcPr>
            <w:tcW w:w="598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Gross profit</w:t>
            </w:r>
          </w:p>
        </w:tc>
        <w:tc>
          <w:tcPr>
            <w:tcW w:w="80" w:type="dxa"/>
            <w:vAlign w:val="bottom"/>
            <w:tcBorders>
              <w:top w:val="single" w:sz="8" w:color="auto"/>
            </w:tcBorders>
            <w:shd w:val="clear" w:color="auto" w:fill="CCEEFF"/>
          </w:tcPr>
          <w:p>
            <w:pPr>
              <w:spacing w:after="0"/>
              <w:rPr>
                <w:sz w:val="19"/>
                <w:szCs w:val="19"/>
                <w:color w:val="auto"/>
              </w:rPr>
            </w:pPr>
          </w:p>
        </w:tc>
        <w:tc>
          <w:tcPr>
            <w:tcW w:w="10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19,356</w:t>
            </w:r>
          </w:p>
        </w:tc>
        <w:tc>
          <w:tcPr>
            <w:tcW w:w="220" w:type="dxa"/>
            <w:vAlign w:val="bottom"/>
            <w:shd w:val="clear" w:color="auto" w:fill="CCEEFF"/>
          </w:tcPr>
          <w:p>
            <w:pPr>
              <w:spacing w:after="0"/>
              <w:rPr>
                <w:sz w:val="19"/>
                <w:szCs w:val="19"/>
                <w:color w:val="auto"/>
              </w:rPr>
            </w:pPr>
          </w:p>
        </w:tc>
        <w:tc>
          <w:tcPr>
            <w:tcW w:w="320" w:type="dxa"/>
            <w:vAlign w:val="bottom"/>
            <w:tcBorders>
              <w:top w:val="single" w:sz="8" w:color="auto"/>
            </w:tcBorders>
            <w:shd w:val="clear" w:color="auto" w:fill="CCEEFF"/>
          </w:tcPr>
          <w:p>
            <w:pPr>
              <w:spacing w:after="0"/>
              <w:rPr>
                <w:sz w:val="19"/>
                <w:szCs w:val="19"/>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13,131</w:t>
            </w:r>
          </w:p>
        </w:tc>
        <w:tc>
          <w:tcPr>
            <w:tcW w:w="220" w:type="dxa"/>
            <w:vAlign w:val="bottom"/>
            <w:shd w:val="clear" w:color="auto" w:fill="CCEEFF"/>
          </w:tcPr>
          <w:p>
            <w:pPr>
              <w:spacing w:after="0"/>
              <w:rPr>
                <w:sz w:val="19"/>
                <w:szCs w:val="19"/>
                <w:color w:val="auto"/>
              </w:rPr>
            </w:pPr>
          </w:p>
        </w:tc>
        <w:tc>
          <w:tcPr>
            <w:tcW w:w="120" w:type="dxa"/>
            <w:vAlign w:val="bottom"/>
            <w:tcBorders>
              <w:top w:val="single" w:sz="8" w:color="auto"/>
            </w:tcBorders>
            <w:shd w:val="clear" w:color="auto" w:fill="CCEEFF"/>
          </w:tcPr>
          <w:p>
            <w:pPr>
              <w:spacing w:after="0"/>
              <w:rPr>
                <w:sz w:val="19"/>
                <w:szCs w:val="19"/>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29,584</w:t>
            </w:r>
          </w:p>
        </w:tc>
        <w:tc>
          <w:tcPr>
            <w:tcW w:w="220" w:type="dxa"/>
            <w:vAlign w:val="bottom"/>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21,957</w:t>
            </w:r>
          </w:p>
        </w:tc>
        <w:tc>
          <w:tcPr>
            <w:tcW w:w="100" w:type="dxa"/>
            <w:vAlign w:val="bottom"/>
            <w:shd w:val="clear" w:color="auto" w:fill="CCEEFF"/>
          </w:tcPr>
          <w:p>
            <w:pPr>
              <w:spacing w:after="0"/>
              <w:rPr>
                <w:sz w:val="19"/>
                <w:szCs w:val="19"/>
                <w:color w:val="auto"/>
              </w:rPr>
            </w:pPr>
          </w:p>
        </w:tc>
      </w:tr>
      <w:tr>
        <w:trPr>
          <w:trHeight w:val="216"/>
        </w:trPr>
        <w:tc>
          <w:tcPr>
            <w:tcW w:w="59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Operating expenses:</w:t>
            </w:r>
          </w:p>
        </w:tc>
        <w:tc>
          <w:tcPr>
            <w:tcW w:w="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8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4,595</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2,924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7,600</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4,793</w:t>
            </w: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Research and development</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5,221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3,341</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8,898</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6,106</w:t>
            </w: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General and administrative</w:t>
            </w:r>
          </w:p>
        </w:tc>
        <w:tc>
          <w:tcPr>
            <w:tcW w:w="8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2,204</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2,205</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4,532</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4,146</w:t>
            </w:r>
          </w:p>
        </w:tc>
      </w:tr>
      <w:tr>
        <w:trPr>
          <w:trHeight w:val="27"/>
        </w:trPr>
        <w:tc>
          <w:tcPr>
            <w:tcW w:w="5980" w:type="dxa"/>
            <w:vAlign w:val="bottom"/>
            <w:shd w:val="clear" w:color="auto" w:fill="CCEEFF"/>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080" w:type="dxa"/>
            <w:vAlign w:val="bottom"/>
            <w:tcBorders>
              <w:right w:val="single" w:sz="8" w:color="CCEEFF"/>
            </w:tcBorders>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980" w:type="dxa"/>
            <w:vAlign w:val="bottom"/>
            <w:shd w:val="clear" w:color="auto" w:fill="000000"/>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920" w:type="dxa"/>
            <w:vAlign w:val="bottom"/>
            <w:shd w:val="clear" w:color="auto" w:fill="000000"/>
          </w:tcPr>
          <w:p>
            <w:pPr>
              <w:spacing w:after="0"/>
              <w:rPr>
                <w:sz w:val="2"/>
                <w:szCs w:val="2"/>
                <w:color w:val="auto"/>
              </w:rPr>
            </w:pPr>
          </w:p>
        </w:tc>
        <w:tc>
          <w:tcPr>
            <w:tcW w:w="100" w:type="dxa"/>
            <w:vAlign w:val="bottom"/>
            <w:shd w:val="clear" w:color="auto" w:fill="CCEEFF"/>
          </w:tcPr>
          <w:p>
            <w:pPr>
              <w:spacing w:after="0"/>
              <w:rPr>
                <w:sz w:val="2"/>
                <w:szCs w:val="2"/>
                <w:color w:val="auto"/>
              </w:rPr>
            </w:pPr>
          </w:p>
        </w:tc>
      </w:tr>
      <w:tr>
        <w:trPr>
          <w:trHeight w:val="223"/>
        </w:trPr>
        <w:tc>
          <w:tcPr>
            <w:tcW w:w="5980" w:type="dxa"/>
            <w:vAlign w:val="bottom"/>
          </w:tcPr>
          <w:p>
            <w:pPr>
              <w:ind w:left="500"/>
              <w:spacing w:after="0"/>
              <w:rPr>
                <w:sz w:val="20"/>
                <w:szCs w:val="20"/>
                <w:color w:val="auto"/>
              </w:rPr>
            </w:pPr>
            <w:r>
              <w:rPr>
                <w:rFonts w:ascii="Arial" w:cs="Arial" w:eastAsia="Arial" w:hAnsi="Arial"/>
                <w:sz w:val="18"/>
                <w:szCs w:val="18"/>
                <w:b w:val="1"/>
                <w:bCs w:val="1"/>
                <w:color w:val="auto"/>
              </w:rPr>
              <w:t>Total operating expenses, net</w:t>
            </w: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12,020</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8,470</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21,030</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15,045</w:t>
            </w: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Income from operations</w:t>
            </w:r>
          </w:p>
        </w:tc>
        <w:tc>
          <w:tcPr>
            <w:tcW w:w="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7,336</w:t>
            </w: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4,661</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8,554</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6,912</w:t>
            </w: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Interest income</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320</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655</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33</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8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(228)</w:t>
            </w: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(194)</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(339)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(333)</w:t>
            </w:r>
          </w:p>
        </w:tc>
      </w:tr>
      <w:tr>
        <w:trPr>
          <w:trHeight w:val="216"/>
        </w:trPr>
        <w:tc>
          <w:tcPr>
            <w:tcW w:w="5980" w:type="dxa"/>
            <w:vAlign w:val="bottom"/>
          </w:tcPr>
          <w:p>
            <w:pPr>
              <w:spacing w:after="0"/>
              <w:rPr>
                <w:sz w:val="20"/>
                <w:szCs w:val="20"/>
                <w:color w:val="auto"/>
              </w:rPr>
            </w:pPr>
            <w:r>
              <w:rPr>
                <w:rFonts w:ascii="Arial" w:cs="Arial" w:eastAsia="Arial" w:hAnsi="Arial"/>
                <w:sz w:val="18"/>
                <w:szCs w:val="18"/>
                <w:color w:val="auto"/>
              </w:rPr>
              <w:t>Change in fair value of financial liability</w:t>
            </w:r>
          </w:p>
        </w:tc>
        <w:tc>
          <w:tcPr>
            <w:tcW w:w="80" w:type="dxa"/>
            <w:vAlign w:val="bottom"/>
          </w:tcPr>
          <w:p>
            <w:pPr>
              <w:spacing w:after="0"/>
              <w:rPr>
                <w:sz w:val="18"/>
                <w:szCs w:val="18"/>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(5,431)</w:t>
            </w: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8"/>
                <w:szCs w:val="18"/>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(5,431)</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Other income, net</w:t>
            </w:r>
          </w:p>
        </w:tc>
        <w:tc>
          <w:tcPr>
            <w:tcW w:w="8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149</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543</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826</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282</w:t>
            </w: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Equity income in net income of affiliates</w:t>
            </w: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209</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19"/>
                <w:szCs w:val="19"/>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357</w:t>
            </w:r>
          </w:p>
        </w:tc>
        <w:tc>
          <w:tcPr>
            <w:tcW w:w="200" w:type="dxa"/>
            <w:vAlign w:val="bottom"/>
          </w:tcPr>
          <w:p>
            <w:pPr>
              <w:spacing w:after="0"/>
              <w:rPr>
                <w:sz w:val="19"/>
                <w:szCs w:val="19"/>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269</w:t>
            </w:r>
          </w:p>
        </w:tc>
      </w:tr>
      <w:tr>
        <w:trPr>
          <w:trHeight w:val="21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Income before income taxes</w:t>
            </w:r>
          </w:p>
        </w:tc>
        <w:tc>
          <w:tcPr>
            <w:tcW w:w="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2,355</w:t>
            </w:r>
          </w:p>
        </w:tc>
        <w:tc>
          <w:tcPr>
            <w:tcW w:w="220" w:type="dxa"/>
            <w:vAlign w:val="bottom"/>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5,187</w:t>
            </w:r>
          </w:p>
        </w:tc>
        <w:tc>
          <w:tcPr>
            <w:tcW w:w="22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4,622</w:t>
            </w:r>
          </w:p>
        </w:tc>
        <w:tc>
          <w:tcPr>
            <w:tcW w:w="22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7,163</w:t>
            </w:r>
          </w:p>
        </w:tc>
        <w:tc>
          <w:tcPr>
            <w:tcW w:w="100" w:type="dxa"/>
            <w:vAlign w:val="bottom"/>
            <w:shd w:val="clear" w:color="auto" w:fill="CCEEFF"/>
          </w:tcPr>
          <w:p>
            <w:pPr>
              <w:spacing w:after="0"/>
              <w:rPr>
                <w:sz w:val="18"/>
                <w:szCs w:val="18"/>
                <w:color w:val="auto"/>
              </w:rPr>
            </w:pPr>
          </w:p>
        </w:tc>
      </w:tr>
      <w:tr>
        <w:trPr>
          <w:trHeight w:val="223"/>
        </w:trPr>
        <w:tc>
          <w:tcPr>
            <w:tcW w:w="5980" w:type="dxa"/>
            <w:vAlign w:val="bottom"/>
          </w:tcPr>
          <w:p>
            <w:pPr>
              <w:spacing w:after="0"/>
              <w:rPr>
                <w:sz w:val="20"/>
                <w:szCs w:val="20"/>
                <w:color w:val="auto"/>
              </w:rPr>
            </w:pPr>
            <w:r>
              <w:rPr>
                <w:rFonts w:ascii="Arial" w:cs="Arial" w:eastAsia="Arial" w:hAnsi="Arial"/>
                <w:sz w:val="18"/>
                <w:szCs w:val="18"/>
                <w:color w:val="auto"/>
              </w:rPr>
              <w:t>Income tax expense</w:t>
            </w:r>
          </w:p>
        </w:tc>
        <w:tc>
          <w:tcPr>
            <w:tcW w:w="80" w:type="dxa"/>
            <w:vAlign w:val="bottom"/>
          </w:tcPr>
          <w:p>
            <w:pPr>
              <w:spacing w:after="0"/>
              <w:rPr>
                <w:sz w:val="19"/>
                <w:szCs w:val="19"/>
                <w:color w:val="auto"/>
              </w:rPr>
            </w:pP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(1,859)</w:t>
            </w:r>
          </w:p>
        </w:tc>
        <w:tc>
          <w:tcPr>
            <w:tcW w:w="3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(876)</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(2,163)</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(995)</w:t>
            </w:r>
          </w:p>
        </w:tc>
      </w:tr>
      <w:tr>
        <w:trPr>
          <w:trHeight w:val="257"/>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Net income</w:t>
            </w:r>
          </w:p>
        </w:tc>
        <w:tc>
          <w:tcPr>
            <w:tcW w:w="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220" w:type="dxa"/>
            <w:vAlign w:val="bottom"/>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4,311</w:t>
            </w:r>
          </w:p>
        </w:tc>
        <w:tc>
          <w:tcPr>
            <w:tcW w:w="220" w:type="dxa"/>
            <w:vAlign w:val="bottom"/>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2,459</w:t>
            </w:r>
          </w:p>
        </w:tc>
        <w:tc>
          <w:tcPr>
            <w:tcW w:w="220" w:type="dxa"/>
            <w:vAlign w:val="bottom"/>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6,168</w:t>
            </w:r>
          </w:p>
        </w:tc>
        <w:tc>
          <w:tcPr>
            <w:tcW w:w="100" w:type="dxa"/>
            <w:vAlign w:val="bottom"/>
            <w:shd w:val="clear" w:color="auto" w:fill="CCEEFF"/>
          </w:tcPr>
          <w:p>
            <w:pPr>
              <w:spacing w:after="0"/>
              <w:rPr>
                <w:sz w:val="22"/>
                <w:szCs w:val="22"/>
                <w:color w:val="auto"/>
              </w:rPr>
            </w:pPr>
          </w:p>
        </w:tc>
      </w:tr>
      <w:tr>
        <w:trPr>
          <w:trHeight w:val="195"/>
        </w:trPr>
        <w:tc>
          <w:tcPr>
            <w:tcW w:w="5980" w:type="dxa"/>
            <w:vAlign w:val="bottom"/>
            <w:tcBorders>
              <w:top w:val="single" w:sz="8" w:color="CCEEFF"/>
            </w:tcBorders>
          </w:tcPr>
          <w:p>
            <w:pPr>
              <w:spacing w:after="0" w:line="195" w:lineRule="exact"/>
              <w:rPr>
                <w:sz w:val="20"/>
                <w:szCs w:val="20"/>
                <w:color w:val="auto"/>
              </w:rPr>
            </w:pPr>
            <w:r>
              <w:rPr>
                <w:rFonts w:ascii="Arial" w:cs="Arial" w:eastAsia="Arial" w:hAnsi="Arial"/>
                <w:sz w:val="18"/>
                <w:szCs w:val="18"/>
                <w:color w:val="auto"/>
                <w:w w:val="95"/>
              </w:rPr>
              <w:t>Less: Net income attributable to non-controlling interests and redeemable non-</w:t>
            </w:r>
          </w:p>
        </w:tc>
        <w:tc>
          <w:tcPr>
            <w:tcW w:w="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37"/>
        </w:trPr>
        <w:tc>
          <w:tcPr>
            <w:tcW w:w="5980" w:type="dxa"/>
            <w:vAlign w:val="bottom"/>
          </w:tcPr>
          <w:p>
            <w:pPr>
              <w:ind w:left="140"/>
              <w:spacing w:after="0"/>
              <w:rPr>
                <w:sz w:val="20"/>
                <w:szCs w:val="20"/>
                <w:color w:val="auto"/>
              </w:rPr>
            </w:pPr>
            <w:r>
              <w:rPr>
                <w:rFonts w:ascii="Arial" w:cs="Arial" w:eastAsia="Arial" w:hAnsi="Arial"/>
                <w:sz w:val="18"/>
                <w:szCs w:val="18"/>
                <w:color w:val="auto"/>
              </w:rPr>
              <w:t>controlling interests</w:t>
            </w:r>
          </w:p>
        </w:tc>
        <w:tc>
          <w:tcPr>
            <w:tcW w:w="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577</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835</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6"/>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Net income (loss) attributable to ACM Research, Inc.</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220" w:type="dxa"/>
            <w:vAlign w:val="bottom"/>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4,311</w:t>
            </w:r>
          </w:p>
        </w:tc>
        <w:tc>
          <w:tcPr>
            <w:tcW w:w="220" w:type="dxa"/>
            <w:vAlign w:val="bottom"/>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1,624</w:t>
            </w:r>
          </w:p>
        </w:tc>
        <w:tc>
          <w:tcPr>
            <w:tcW w:w="220" w:type="dxa"/>
            <w:vAlign w:val="bottom"/>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6,168</w:t>
            </w:r>
          </w:p>
        </w:tc>
        <w:tc>
          <w:tcPr>
            <w:tcW w:w="100" w:type="dxa"/>
            <w:vAlign w:val="bottom"/>
            <w:shd w:val="clear" w:color="auto" w:fill="CCEEFF"/>
          </w:tcPr>
          <w:p>
            <w:pPr>
              <w:spacing w:after="0"/>
              <w:rPr>
                <w:sz w:val="22"/>
                <w:szCs w:val="22"/>
                <w:color w:val="auto"/>
              </w:rPr>
            </w:pPr>
          </w:p>
        </w:tc>
      </w:tr>
      <w:tr>
        <w:trPr>
          <w:trHeight w:val="209"/>
        </w:trPr>
        <w:tc>
          <w:tcPr>
            <w:tcW w:w="598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Comprehensive income:</w:t>
            </w:r>
          </w:p>
        </w:tc>
        <w:tc>
          <w:tcPr>
            <w:tcW w:w="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980" w:type="dxa"/>
            <w:vAlign w:val="bottom"/>
            <w:tcBorders>
              <w:top w:val="single" w:sz="8" w:color="auto"/>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200" w:type="dxa"/>
            <w:vAlign w:val="bottom"/>
            <w:tcBorders>
              <w:top w:val="single" w:sz="8" w:color="auto"/>
            </w:tcBorders>
          </w:tcPr>
          <w:p>
            <w:pPr>
              <w:spacing w:after="0"/>
              <w:rPr>
                <w:sz w:val="18"/>
                <w:szCs w:val="18"/>
                <w:color w:val="auto"/>
              </w:rPr>
            </w:pPr>
          </w:p>
        </w:tc>
        <w:tc>
          <w:tcPr>
            <w:tcW w:w="920" w:type="dxa"/>
            <w:vAlign w:val="bottom"/>
            <w:tcBorders>
              <w:top w:val="single" w:sz="8" w:color="auto"/>
            </w:tcBorders>
          </w:tcPr>
          <w:p>
            <w:pPr>
              <w:spacing w:after="0"/>
              <w:rPr>
                <w:sz w:val="18"/>
                <w:szCs w:val="18"/>
                <w:color w:val="auto"/>
              </w:rPr>
            </w:pPr>
          </w:p>
        </w:tc>
        <w:tc>
          <w:tcPr>
            <w:tcW w:w="100" w:type="dxa"/>
            <w:vAlign w:val="bottom"/>
            <w:tcBorders>
              <w:top w:val="single" w:sz="8" w:color="CCEEFF"/>
            </w:tcBorders>
          </w:tcPr>
          <w:p>
            <w:pPr>
              <w:spacing w:after="0"/>
              <w:rPr>
                <w:sz w:val="18"/>
                <w:szCs w:val="18"/>
                <w:color w:val="auto"/>
              </w:rPr>
            </w:pPr>
          </w:p>
        </w:tc>
      </w:tr>
      <w:tr>
        <w:trPr>
          <w:trHeight w:val="216"/>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Net income</w:t>
            </w:r>
          </w:p>
        </w:tc>
        <w:tc>
          <w:tcPr>
            <w:tcW w:w="8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4,311</w:t>
            </w:r>
          </w:p>
        </w:tc>
        <w:tc>
          <w:tcPr>
            <w:tcW w:w="12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2,459</w:t>
            </w:r>
          </w:p>
        </w:tc>
        <w:tc>
          <w:tcPr>
            <w:tcW w:w="20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6,168</w:t>
            </w:r>
          </w:p>
        </w:tc>
      </w:tr>
      <w:tr>
        <w:trPr>
          <w:trHeight w:val="223"/>
        </w:trPr>
        <w:tc>
          <w:tcPr>
            <w:tcW w:w="5980" w:type="dxa"/>
            <w:vAlign w:val="bottom"/>
          </w:tcPr>
          <w:p>
            <w:pPr>
              <w:ind w:left="180"/>
              <w:spacing w:after="0"/>
              <w:rPr>
                <w:sz w:val="20"/>
                <w:szCs w:val="20"/>
                <w:color w:val="auto"/>
              </w:rPr>
            </w:pPr>
            <w:r>
              <w:rPr>
                <w:rFonts w:ascii="Arial" w:cs="Arial" w:eastAsia="Arial" w:hAnsi="Arial"/>
                <w:sz w:val="18"/>
                <w:szCs w:val="18"/>
                <w:color w:val="auto"/>
              </w:rPr>
              <w:t>Foreign currency translation adjustment</w:t>
            </w:r>
          </w:p>
        </w:tc>
        <w:tc>
          <w:tcPr>
            <w:tcW w:w="80" w:type="dxa"/>
            <w:vAlign w:val="bottom"/>
          </w:tcPr>
          <w:p>
            <w:pPr>
              <w:spacing w:after="0"/>
              <w:rPr>
                <w:sz w:val="19"/>
                <w:szCs w:val="19"/>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242</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(968)</w:t>
            </w:r>
          </w:p>
        </w:tc>
        <w:tc>
          <w:tcPr>
            <w:tcW w:w="120" w:type="dxa"/>
            <w:vAlign w:val="bottom"/>
          </w:tcPr>
          <w:p>
            <w:pPr>
              <w:spacing w:after="0"/>
              <w:rPr>
                <w:sz w:val="19"/>
                <w:szCs w:val="19"/>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8"/>
                <w:szCs w:val="18"/>
                <w:color w:val="auto"/>
              </w:rPr>
              <w:t>(1,658)</w:t>
            </w:r>
          </w:p>
        </w:tc>
        <w:tc>
          <w:tcPr>
            <w:tcW w:w="200" w:type="dxa"/>
            <w:vAlign w:val="bottom"/>
          </w:tcPr>
          <w:p>
            <w:pPr>
              <w:spacing w:after="0"/>
              <w:rPr>
                <w:sz w:val="19"/>
                <w:szCs w:val="19"/>
                <w:color w:val="auto"/>
              </w:rPr>
            </w:pPr>
          </w:p>
        </w:tc>
        <w:tc>
          <w:tcPr>
            <w:tcW w:w="1020" w:type="dxa"/>
            <w:vAlign w:val="bottom"/>
            <w:gridSpan w:val="2"/>
          </w:tcPr>
          <w:p>
            <w:pPr>
              <w:jc w:val="right"/>
              <w:ind w:right="40"/>
              <w:spacing w:after="0"/>
              <w:rPr>
                <w:sz w:val="20"/>
                <w:szCs w:val="20"/>
                <w:color w:val="auto"/>
              </w:rPr>
            </w:pPr>
            <w:r>
              <w:rPr>
                <w:rFonts w:ascii="Arial" w:cs="Arial" w:eastAsia="Arial" w:hAnsi="Arial"/>
                <w:sz w:val="18"/>
                <w:szCs w:val="18"/>
                <w:color w:val="auto"/>
              </w:rPr>
              <w:t>(311)</w:t>
            </w:r>
          </w:p>
        </w:tc>
      </w:tr>
      <w:tr>
        <w:trPr>
          <w:trHeight w:val="257"/>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rPr>
              <w:t>Total comprehensive income</w:t>
            </w:r>
          </w:p>
        </w:tc>
        <w:tc>
          <w:tcPr>
            <w:tcW w:w="80" w:type="dxa"/>
            <w:vAlign w:val="bottom"/>
            <w:tcBorders>
              <w:top w:val="single" w:sz="8" w:color="auto"/>
            </w:tcBorders>
            <w:shd w:val="clear" w:color="auto" w:fill="CCEEFF"/>
          </w:tcPr>
          <w:p>
            <w:pPr>
              <w:spacing w:after="0"/>
              <w:rPr>
                <w:sz w:val="22"/>
                <w:szCs w:val="22"/>
                <w:color w:val="auto"/>
              </w:rPr>
            </w:pPr>
          </w:p>
        </w:tc>
        <w:tc>
          <w:tcPr>
            <w:tcW w:w="10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738</w:t>
            </w:r>
          </w:p>
        </w:tc>
        <w:tc>
          <w:tcPr>
            <w:tcW w:w="220" w:type="dxa"/>
            <w:vAlign w:val="bottom"/>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3,343</w:t>
            </w:r>
          </w:p>
        </w:tc>
        <w:tc>
          <w:tcPr>
            <w:tcW w:w="220" w:type="dxa"/>
            <w:vAlign w:val="bottom"/>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801</w:t>
            </w:r>
          </w:p>
        </w:tc>
        <w:tc>
          <w:tcPr>
            <w:tcW w:w="220" w:type="dxa"/>
            <w:vAlign w:val="bottom"/>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spacing w:after="0"/>
              <w:rPr>
                <w:sz w:val="22"/>
                <w:szCs w:val="22"/>
                <w:color w:val="auto"/>
              </w:rPr>
            </w:pP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5,857</w:t>
            </w:r>
          </w:p>
        </w:tc>
        <w:tc>
          <w:tcPr>
            <w:tcW w:w="100" w:type="dxa"/>
            <w:vAlign w:val="bottom"/>
            <w:shd w:val="clear" w:color="auto" w:fill="CCEEFF"/>
          </w:tcPr>
          <w:p>
            <w:pPr>
              <w:spacing w:after="0"/>
              <w:rPr>
                <w:sz w:val="22"/>
                <w:szCs w:val="22"/>
                <w:color w:val="auto"/>
              </w:rPr>
            </w:pPr>
          </w:p>
        </w:tc>
      </w:tr>
      <w:tr>
        <w:trPr>
          <w:trHeight w:val="195"/>
        </w:trPr>
        <w:tc>
          <w:tcPr>
            <w:tcW w:w="5980" w:type="dxa"/>
            <w:vAlign w:val="bottom"/>
            <w:tcBorders>
              <w:top w:val="single" w:sz="8" w:color="CCEEFF"/>
            </w:tcBorders>
          </w:tcPr>
          <w:p>
            <w:pPr>
              <w:spacing w:after="0" w:line="195" w:lineRule="exact"/>
              <w:rPr>
                <w:sz w:val="20"/>
                <w:szCs w:val="20"/>
                <w:color w:val="auto"/>
              </w:rPr>
            </w:pPr>
            <w:r>
              <w:rPr>
                <w:rFonts w:ascii="Arial" w:cs="Arial" w:eastAsia="Arial" w:hAnsi="Arial"/>
                <w:sz w:val="18"/>
                <w:szCs w:val="18"/>
                <w:color w:val="auto"/>
              </w:rPr>
              <w:t>Less: Comprehensive income attributable to non-controlling interests and</w:t>
            </w:r>
          </w:p>
        </w:tc>
        <w:tc>
          <w:tcPr>
            <w:tcW w:w="80" w:type="dxa"/>
            <w:vAlign w:val="bottom"/>
            <w:tcBorders>
              <w:top w:val="single" w:sz="8" w:color="auto"/>
            </w:tcBorders>
          </w:tcPr>
          <w:p>
            <w:pPr>
              <w:spacing w:after="0"/>
              <w:rPr>
                <w:sz w:val="16"/>
                <w:szCs w:val="16"/>
                <w:color w:val="auto"/>
              </w:rPr>
            </w:pPr>
          </w:p>
        </w:tc>
        <w:tc>
          <w:tcPr>
            <w:tcW w:w="10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320" w:type="dxa"/>
            <w:vAlign w:val="bottom"/>
            <w:tcBorders>
              <w:top w:val="single" w:sz="8" w:color="auto"/>
            </w:tcBorders>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980" w:type="dxa"/>
            <w:vAlign w:val="bottom"/>
            <w:tcBorders>
              <w:top w:val="single" w:sz="8" w:color="auto"/>
            </w:tcBorders>
          </w:tcPr>
          <w:p>
            <w:pPr>
              <w:spacing w:after="0"/>
              <w:rPr>
                <w:sz w:val="16"/>
                <w:szCs w:val="16"/>
                <w:color w:val="auto"/>
              </w:rPr>
            </w:pPr>
          </w:p>
        </w:tc>
        <w:tc>
          <w:tcPr>
            <w:tcW w:w="220" w:type="dxa"/>
            <w:vAlign w:val="bottom"/>
            <w:tcBorders>
              <w:top w:val="single" w:sz="8" w:color="CCEEFF"/>
            </w:tcBorders>
          </w:tcPr>
          <w:p>
            <w:pPr>
              <w:spacing w:after="0"/>
              <w:rPr>
                <w:sz w:val="16"/>
                <w:szCs w:val="16"/>
                <w:color w:val="auto"/>
              </w:rPr>
            </w:pPr>
          </w:p>
        </w:tc>
        <w:tc>
          <w:tcPr>
            <w:tcW w:w="200" w:type="dxa"/>
            <w:vAlign w:val="bottom"/>
            <w:tcBorders>
              <w:top w:val="single" w:sz="8" w:color="auto"/>
            </w:tcBorders>
          </w:tcPr>
          <w:p>
            <w:pPr>
              <w:spacing w:after="0"/>
              <w:rPr>
                <w:sz w:val="16"/>
                <w:szCs w:val="16"/>
                <w:color w:val="auto"/>
              </w:rPr>
            </w:pPr>
          </w:p>
        </w:tc>
        <w:tc>
          <w:tcPr>
            <w:tcW w:w="920" w:type="dxa"/>
            <w:vAlign w:val="bottom"/>
            <w:tcBorders>
              <w:top w:val="single" w:sz="8" w:color="auto"/>
            </w:tcBorders>
          </w:tcPr>
          <w:p>
            <w:pPr>
              <w:spacing w:after="0"/>
              <w:rPr>
                <w:sz w:val="16"/>
                <w:szCs w:val="16"/>
                <w:color w:val="auto"/>
              </w:rPr>
            </w:pPr>
          </w:p>
        </w:tc>
        <w:tc>
          <w:tcPr>
            <w:tcW w:w="100" w:type="dxa"/>
            <w:vAlign w:val="bottom"/>
            <w:tcBorders>
              <w:top w:val="single" w:sz="8" w:color="CCEEFF"/>
            </w:tcBorders>
          </w:tcPr>
          <w:p>
            <w:pPr>
              <w:spacing w:after="0"/>
              <w:rPr>
                <w:sz w:val="16"/>
                <w:szCs w:val="16"/>
                <w:color w:val="auto"/>
              </w:rPr>
            </w:pPr>
          </w:p>
        </w:tc>
      </w:tr>
      <w:tr>
        <w:trPr>
          <w:trHeight w:val="237"/>
        </w:trPr>
        <w:tc>
          <w:tcPr>
            <w:tcW w:w="5980" w:type="dxa"/>
            <w:vAlign w:val="bottom"/>
          </w:tcPr>
          <w:p>
            <w:pPr>
              <w:ind w:left="140"/>
              <w:spacing w:after="0"/>
              <w:rPr>
                <w:sz w:val="20"/>
                <w:szCs w:val="20"/>
                <w:color w:val="auto"/>
              </w:rPr>
            </w:pPr>
            <w:r>
              <w:rPr>
                <w:rFonts w:ascii="Arial" w:cs="Arial" w:eastAsia="Arial" w:hAnsi="Arial"/>
                <w:sz w:val="18"/>
                <w:szCs w:val="18"/>
                <w:color w:val="auto"/>
              </w:rPr>
              <w:t>redeemable non-controlling interests</w:t>
            </w:r>
          </w:p>
        </w:tc>
        <w:tc>
          <w:tcPr>
            <w:tcW w:w="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1,610</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916</w:t>
            </w:r>
          </w:p>
        </w:tc>
        <w:tc>
          <w:tcPr>
            <w:tcW w:w="200" w:type="dxa"/>
            <w:vAlign w:val="bottom"/>
          </w:tcPr>
          <w:p>
            <w:pPr>
              <w:spacing w:after="0"/>
              <w:rPr>
                <w:sz w:val="20"/>
                <w:szCs w:val="20"/>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r>
      <w:tr>
        <w:trPr>
          <w:trHeight w:val="257"/>
        </w:trPr>
        <w:tc>
          <w:tcPr>
            <w:tcW w:w="5980" w:type="dxa"/>
            <w:vAlign w:val="bottom"/>
            <w:shd w:val="clear" w:color="auto" w:fill="CCEEFF"/>
          </w:tcPr>
          <w:p>
            <w:pPr>
              <w:ind w:left="340"/>
              <w:spacing w:after="0"/>
              <w:rPr>
                <w:sz w:val="20"/>
                <w:szCs w:val="20"/>
                <w:color w:val="auto"/>
              </w:rPr>
            </w:pPr>
            <w:r>
              <w:rPr>
                <w:rFonts w:ascii="Arial" w:cs="Arial" w:eastAsia="Arial" w:hAnsi="Arial"/>
                <w:sz w:val="18"/>
                <w:szCs w:val="18"/>
                <w:b w:val="1"/>
                <w:bCs w:val="1"/>
                <w:color w:val="auto"/>
                <w:w w:val="93"/>
              </w:rPr>
              <w:t>Total comprehensive income (loss) attributable to ACM Research, Inc.</w:t>
            </w:r>
          </w:p>
        </w:tc>
        <w:tc>
          <w:tcPr>
            <w:tcW w:w="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(872)</w:t>
            </w:r>
          </w:p>
        </w:tc>
        <w:tc>
          <w:tcPr>
            <w:tcW w:w="220" w:type="dxa"/>
            <w:vAlign w:val="bottom"/>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3,343</w:t>
            </w:r>
          </w:p>
        </w:tc>
        <w:tc>
          <w:tcPr>
            <w:tcW w:w="220" w:type="dxa"/>
            <w:vAlign w:val="bottom"/>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220" w:type="dxa"/>
            <w:vAlign w:val="bottom"/>
            <w:shd w:val="clear" w:color="auto" w:fill="CCEEFF"/>
          </w:tcPr>
          <w:p>
            <w:pPr>
              <w:spacing w:after="0"/>
              <w:rPr>
                <w:sz w:val="22"/>
                <w:szCs w:val="22"/>
                <w:color w:val="auto"/>
              </w:rPr>
            </w:pPr>
          </w:p>
        </w:tc>
        <w:tc>
          <w:tcPr>
            <w:tcW w:w="20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5,857</w:t>
            </w:r>
          </w:p>
        </w:tc>
        <w:tc>
          <w:tcPr>
            <w:tcW w:w="100" w:type="dxa"/>
            <w:vAlign w:val="bottom"/>
            <w:shd w:val="clear" w:color="auto" w:fill="CCEEFF"/>
          </w:tcPr>
          <w:p>
            <w:pPr>
              <w:spacing w:after="0"/>
              <w:rPr>
                <w:sz w:val="22"/>
                <w:szCs w:val="22"/>
                <w:color w:val="auto"/>
              </w:rPr>
            </w:pPr>
          </w:p>
        </w:tc>
      </w:tr>
      <w:tr>
        <w:trPr>
          <w:trHeight w:val="183"/>
        </w:trPr>
        <w:tc>
          <w:tcPr>
            <w:tcW w:w="598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16"/>
        </w:trPr>
        <w:tc>
          <w:tcPr>
            <w:tcW w:w="5980" w:type="dxa"/>
            <w:vAlign w:val="bottom"/>
            <w:shd w:val="clear" w:color="auto" w:fill="CCEEFF"/>
          </w:tcPr>
          <w:p>
            <w:pPr>
              <w:spacing w:after="0"/>
              <w:rPr>
                <w:sz w:val="20"/>
                <w:szCs w:val="20"/>
                <w:color w:val="auto"/>
              </w:rPr>
            </w:pPr>
            <w:r>
              <w:rPr>
                <w:rFonts w:ascii="Arial" w:cs="Arial" w:eastAsia="Arial" w:hAnsi="Arial"/>
                <w:sz w:val="18"/>
                <w:szCs w:val="18"/>
                <w:color w:val="auto"/>
              </w:rPr>
              <w:t>Net income (loss) attributable to ACM Research, Inc. per common share :</w:t>
            </w:r>
          </w:p>
        </w:tc>
        <w:tc>
          <w:tcPr>
            <w:tcW w:w="80" w:type="dxa"/>
            <w:vAlign w:val="bottom"/>
            <w:shd w:val="clear" w:color="auto" w:fill="CCEEFF"/>
          </w:tcPr>
          <w:p>
            <w:pPr>
              <w:spacing w:after="0"/>
              <w:rPr>
                <w:sz w:val="18"/>
                <w:szCs w:val="18"/>
                <w:color w:val="auto"/>
              </w:rPr>
            </w:pPr>
          </w:p>
        </w:tc>
        <w:tc>
          <w:tcPr>
            <w:tcW w:w="1080" w:type="dxa"/>
            <w:vAlign w:val="bottom"/>
            <w:tcBorders>
              <w:right w:val="single" w:sz="8" w:color="CCEEFF"/>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Basic</w:t>
            </w:r>
          </w:p>
        </w:tc>
        <w:tc>
          <w:tcPr>
            <w:tcW w:w="8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00"/>
              <w:spacing w:after="0"/>
              <w:rPr>
                <w:sz w:val="20"/>
                <w:szCs w:val="20"/>
                <w:color w:val="auto"/>
              </w:rPr>
            </w:pPr>
            <w:r>
              <w:rPr>
                <w:rFonts w:ascii="Arial" w:cs="Arial" w:eastAsia="Arial" w:hAnsi="Arial"/>
                <w:sz w:val="18"/>
                <w:szCs w:val="18"/>
                <w:color w:val="auto"/>
              </w:rPr>
              <w:t>(0.00)</w:t>
            </w:r>
          </w:p>
        </w:tc>
        <w:tc>
          <w:tcPr>
            <w:tcW w:w="320" w:type="dxa"/>
            <w:vAlign w:val="bottom"/>
          </w:tcPr>
          <w:p>
            <w:pPr>
              <w:jc w:val="right"/>
              <w:ind w:right="167"/>
              <w:spacing w:after="0"/>
              <w:rPr>
                <w:sz w:val="20"/>
                <w:szCs w:val="20"/>
                <w:color w:val="auto"/>
              </w:rPr>
            </w:pPr>
            <w:r>
              <w:rPr>
                <w:rFonts w:ascii="Arial" w:cs="Arial" w:eastAsia="Arial" w:hAnsi="Arial"/>
                <w:sz w:val="15"/>
                <w:szCs w:val="15"/>
                <w:color w:val="auto"/>
                <w:w w:val="71"/>
              </w:rPr>
              <w:t>$</w:t>
            </w: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rPr>
              <w:t>0.27</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0.09</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rPr>
              <w:t>0.38</w:t>
            </w:r>
          </w:p>
        </w:tc>
      </w:tr>
      <w:tr>
        <w:trPr>
          <w:trHeight w:val="20"/>
        </w:trPr>
        <w:tc>
          <w:tcPr>
            <w:tcW w:w="5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9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(0.00)</w:t>
            </w:r>
          </w:p>
        </w:tc>
        <w:tc>
          <w:tcPr>
            <w:tcW w:w="320" w:type="dxa"/>
            <w:vAlign w:val="bottom"/>
            <w:shd w:val="clear" w:color="auto" w:fill="CCEEFF"/>
          </w:tcPr>
          <w:p>
            <w:pPr>
              <w:jc w:val="right"/>
              <w:ind w:right="167"/>
              <w:spacing w:after="0"/>
              <w:rPr>
                <w:sz w:val="20"/>
                <w:szCs w:val="20"/>
                <w:color w:val="auto"/>
              </w:rPr>
            </w:pPr>
            <w:r>
              <w:rPr>
                <w:rFonts w:ascii="Arial" w:cs="Arial" w:eastAsia="Arial" w:hAnsi="Arial"/>
                <w:sz w:val="15"/>
                <w:szCs w:val="15"/>
                <w:color w:val="auto"/>
                <w:w w:val="71"/>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0.23</w:t>
            </w:r>
          </w:p>
        </w:tc>
        <w:tc>
          <w:tcPr>
            <w:tcW w:w="220" w:type="dxa"/>
            <w:vAlign w:val="bottom"/>
            <w:shd w:val="clear" w:color="auto" w:fill="CCEEFF"/>
          </w:tcPr>
          <w:p>
            <w:pPr>
              <w:spacing w:after="0"/>
              <w:rPr>
                <w:sz w:val="21"/>
                <w:szCs w:val="21"/>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0.08</w:t>
            </w:r>
          </w:p>
        </w:tc>
        <w:tc>
          <w:tcPr>
            <w:tcW w:w="220" w:type="dxa"/>
            <w:vAlign w:val="bottom"/>
            <w:shd w:val="clear" w:color="auto" w:fill="CCEEFF"/>
          </w:tcPr>
          <w:p>
            <w:pPr>
              <w:spacing w:after="0"/>
              <w:rPr>
                <w:sz w:val="21"/>
                <w:szCs w:val="21"/>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0.33</w:t>
            </w:r>
          </w:p>
        </w:tc>
        <w:tc>
          <w:tcPr>
            <w:tcW w:w="100" w:type="dxa"/>
            <w:vAlign w:val="bottom"/>
            <w:shd w:val="clear" w:color="auto" w:fill="CCEEFF"/>
          </w:tcPr>
          <w:p>
            <w:pPr>
              <w:spacing w:after="0"/>
              <w:rPr>
                <w:sz w:val="21"/>
                <w:szCs w:val="21"/>
                <w:color w:val="auto"/>
              </w:rPr>
            </w:pPr>
          </w:p>
        </w:tc>
      </w:tr>
      <w:tr>
        <w:trPr>
          <w:trHeight w:val="183"/>
        </w:trPr>
        <w:tc>
          <w:tcPr>
            <w:tcW w:w="5980" w:type="dxa"/>
            <w:vAlign w:val="bottom"/>
            <w:tcBorders>
              <w:top w:val="single" w:sz="8" w:color="CCEEFF"/>
            </w:tcBorders>
          </w:tcPr>
          <w:p>
            <w:pPr>
              <w:spacing w:after="0"/>
              <w:rPr>
                <w:sz w:val="15"/>
                <w:szCs w:val="15"/>
                <w:color w:val="auto"/>
              </w:rPr>
            </w:pPr>
          </w:p>
        </w:tc>
        <w:tc>
          <w:tcPr>
            <w:tcW w:w="8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320" w:type="dxa"/>
            <w:vAlign w:val="bottom"/>
            <w:tcBorders>
              <w:top w:val="single" w:sz="8" w:color="auto"/>
            </w:tcBorders>
          </w:tcPr>
          <w:p>
            <w:pPr>
              <w:spacing w:after="0"/>
              <w:rPr>
                <w:sz w:val="15"/>
                <w:szCs w:val="15"/>
                <w:color w:val="auto"/>
              </w:rPr>
            </w:pPr>
          </w:p>
        </w:tc>
        <w:tc>
          <w:tcPr>
            <w:tcW w:w="80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22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00" w:type="dxa"/>
            <w:vAlign w:val="bottom"/>
            <w:tcBorders>
              <w:top w:val="single" w:sz="8" w:color="CCEEFF"/>
            </w:tcBorders>
          </w:tcPr>
          <w:p>
            <w:pPr>
              <w:spacing w:after="0"/>
              <w:rPr>
                <w:sz w:val="15"/>
                <w:szCs w:val="15"/>
                <w:color w:val="auto"/>
              </w:rPr>
            </w:pPr>
          </w:p>
        </w:tc>
      </w:tr>
      <w:tr>
        <w:trPr>
          <w:trHeight w:val="202"/>
        </w:trPr>
        <w:tc>
          <w:tcPr>
            <w:tcW w:w="598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7"/>
              </w:rPr>
              <w:t>Weighted average common shares outstanding used in computing per share</w:t>
            </w:r>
          </w:p>
        </w:tc>
        <w:tc>
          <w:tcPr>
            <w:tcW w:w="80" w:type="dxa"/>
            <w:vAlign w:val="bottom"/>
            <w:shd w:val="clear" w:color="auto" w:fill="CCEEFF"/>
          </w:tcPr>
          <w:p>
            <w:pPr>
              <w:spacing w:after="0"/>
              <w:rPr>
                <w:sz w:val="17"/>
                <w:szCs w:val="17"/>
                <w:color w:val="auto"/>
              </w:rPr>
            </w:pPr>
          </w:p>
        </w:tc>
        <w:tc>
          <w:tcPr>
            <w:tcW w:w="1080" w:type="dxa"/>
            <w:vAlign w:val="bottom"/>
            <w:tcBorders>
              <w:right w:val="single" w:sz="8" w:color="CCEEFF"/>
            </w:tcBorders>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9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9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5980" w:type="dxa"/>
            <w:vAlign w:val="bottom"/>
            <w:shd w:val="clear" w:color="auto" w:fill="CCEEFF"/>
          </w:tcPr>
          <w:p>
            <w:pPr>
              <w:ind w:left="140"/>
              <w:spacing w:after="0"/>
              <w:rPr>
                <w:sz w:val="20"/>
                <w:szCs w:val="20"/>
                <w:color w:val="auto"/>
              </w:rPr>
            </w:pPr>
            <w:r>
              <w:rPr>
                <w:rFonts w:ascii="Arial" w:cs="Arial" w:eastAsia="Arial" w:hAnsi="Arial"/>
                <w:sz w:val="18"/>
                <w:szCs w:val="18"/>
                <w:color w:val="auto"/>
              </w:rPr>
              <w:t>amounts:</w:t>
            </w:r>
          </w:p>
        </w:tc>
        <w:tc>
          <w:tcPr>
            <w:tcW w:w="80" w:type="dxa"/>
            <w:vAlign w:val="bottom"/>
            <w:shd w:val="clear" w:color="auto" w:fill="CCEEFF"/>
          </w:tcPr>
          <w:p>
            <w:pPr>
              <w:spacing w:after="0"/>
              <w:rPr>
                <w:sz w:val="20"/>
                <w:szCs w:val="20"/>
                <w:color w:val="auto"/>
              </w:rPr>
            </w:pPr>
          </w:p>
        </w:tc>
        <w:tc>
          <w:tcPr>
            <w:tcW w:w="1080" w:type="dxa"/>
            <w:vAlign w:val="bottom"/>
            <w:tcBorders>
              <w:right w:val="single" w:sz="8" w:color="CCEEFF"/>
            </w:tcBorders>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9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r>
      <w:tr>
        <w:trPr>
          <w:trHeight w:val="216"/>
        </w:trPr>
        <w:tc>
          <w:tcPr>
            <w:tcW w:w="5980" w:type="dxa"/>
            <w:vAlign w:val="bottom"/>
          </w:tcPr>
          <w:p>
            <w:pPr>
              <w:ind w:left="180"/>
              <w:spacing w:after="0"/>
              <w:rPr>
                <w:sz w:val="20"/>
                <w:szCs w:val="20"/>
                <w:color w:val="auto"/>
              </w:rPr>
            </w:pPr>
            <w:r>
              <w:rPr>
                <w:rFonts w:ascii="Arial" w:cs="Arial" w:eastAsia="Arial" w:hAnsi="Arial"/>
                <w:sz w:val="18"/>
                <w:szCs w:val="18"/>
                <w:color w:val="auto"/>
              </w:rPr>
              <w:t>Basic</w:t>
            </w:r>
          </w:p>
        </w:tc>
        <w:tc>
          <w:tcPr>
            <w:tcW w:w="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18,050,841</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20" w:type="dxa"/>
            <w:vAlign w:val="bottom"/>
            <w:gridSpan w:val="2"/>
          </w:tcPr>
          <w:p>
            <w:pPr>
              <w:jc w:val="right"/>
              <w:ind w:right="220"/>
              <w:spacing w:after="0"/>
              <w:rPr>
                <w:sz w:val="20"/>
                <w:szCs w:val="20"/>
                <w:color w:val="auto"/>
              </w:rPr>
            </w:pPr>
            <w:r>
              <w:rPr>
                <w:rFonts w:ascii="Arial" w:cs="Arial" w:eastAsia="Arial" w:hAnsi="Arial"/>
                <w:sz w:val="18"/>
                <w:szCs w:val="18"/>
                <w:color w:val="auto"/>
                <w:w w:val="86"/>
              </w:rPr>
              <w:t>16,090,937</w:t>
            </w:r>
          </w:p>
        </w:tc>
        <w:tc>
          <w:tcPr>
            <w:tcW w:w="120" w:type="dxa"/>
            <w:vAlign w:val="bottom"/>
          </w:tcPr>
          <w:p>
            <w:pPr>
              <w:spacing w:after="0"/>
              <w:rPr>
                <w:sz w:val="18"/>
                <w:szCs w:val="18"/>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18,085,602</w:t>
            </w:r>
          </w:p>
        </w:tc>
        <w:tc>
          <w:tcPr>
            <w:tcW w:w="200" w:type="dxa"/>
            <w:vAlign w:val="bottom"/>
          </w:tcPr>
          <w:p>
            <w:pPr>
              <w:spacing w:after="0"/>
              <w:rPr>
                <w:sz w:val="18"/>
                <w:szCs w:val="18"/>
                <w:color w:val="auto"/>
              </w:rPr>
            </w:pPr>
          </w:p>
        </w:tc>
        <w:tc>
          <w:tcPr>
            <w:tcW w:w="10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16,067,924</w:t>
            </w:r>
          </w:p>
        </w:tc>
      </w:tr>
      <w:tr>
        <w:trPr>
          <w:trHeight w:val="20"/>
        </w:trPr>
        <w:tc>
          <w:tcPr>
            <w:tcW w:w="59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598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Diluted</w:t>
            </w:r>
          </w:p>
        </w:tc>
        <w:tc>
          <w:tcPr>
            <w:tcW w:w="80" w:type="dxa"/>
            <w:vAlign w:val="bottom"/>
            <w:tcBorders>
              <w:bottom w:val="single" w:sz="8" w:color="auto"/>
            </w:tcBorders>
            <w:shd w:val="clear" w:color="auto" w:fill="CCEEFF"/>
          </w:tcPr>
          <w:p>
            <w:pPr>
              <w:spacing w:after="0"/>
              <w:rPr>
                <w:sz w:val="21"/>
                <w:szCs w:val="21"/>
                <w:color w:val="auto"/>
              </w:rPr>
            </w:pPr>
          </w:p>
        </w:tc>
        <w:tc>
          <w:tcPr>
            <w:tcW w:w="1080" w:type="dxa"/>
            <w:vAlign w:val="bottom"/>
            <w:tcBorders>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21,516,175</w:t>
            </w:r>
          </w:p>
        </w:tc>
        <w:tc>
          <w:tcPr>
            <w:tcW w:w="2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6"/>
              </w:rPr>
              <w:t>18,604,347</w:t>
            </w:r>
          </w:p>
        </w:tc>
        <w:tc>
          <w:tcPr>
            <w:tcW w:w="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21,197,203</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spacing w:after="0"/>
              <w:rPr>
                <w:sz w:val="21"/>
                <w:szCs w:val="21"/>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18,455,534</w:t>
            </w:r>
          </w:p>
        </w:tc>
        <w:tc>
          <w:tcPr>
            <w:tcW w:w="100" w:type="dxa"/>
            <w:vAlign w:val="bottom"/>
            <w:tcBorders>
              <w:bottom w:val="single" w:sz="8" w:color="CCEEFF"/>
            </w:tcBorders>
            <w:shd w:val="clear" w:color="auto" w:fill="CCEEFF"/>
          </w:tcPr>
          <w:p>
            <w:pPr>
              <w:spacing w:after="0"/>
              <w:rPr>
                <w:sz w:val="21"/>
                <w:szCs w:val="21"/>
                <w:color w:val="auto"/>
              </w:rPr>
            </w:pPr>
          </w:p>
        </w:tc>
      </w:tr>
      <w:tr>
        <w:trPr>
          <w:trHeight w:val="535"/>
        </w:trPr>
        <w:tc>
          <w:tcPr>
            <w:tcW w:w="5980" w:type="dxa"/>
            <w:vAlign w:val="bottom"/>
          </w:tcPr>
          <w:p>
            <w:pPr>
              <w:ind w:left="5500"/>
              <w:spacing w:after="0"/>
              <w:rPr>
                <w:sz w:val="20"/>
                <w:szCs w:val="20"/>
                <w:color w:val="auto"/>
              </w:rPr>
            </w:pPr>
            <w:r>
              <w:rPr>
                <w:rFonts w:ascii="Arial" w:cs="Arial" w:eastAsia="Arial" w:hAnsi="Arial"/>
                <w:sz w:val="14"/>
                <w:szCs w:val="14"/>
                <w:color w:val="auto"/>
              </w:rPr>
              <w:t>- 7 -</w:t>
            </w:r>
          </w:p>
        </w:tc>
        <w:tc>
          <w:tcPr>
            <w:tcW w:w="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6"/>
        </w:trPr>
        <w:tc>
          <w:tcPr>
            <w:tcW w:w="598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80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98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92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r>
    </w:tbl>
    <w:p>
      <w:pPr>
        <w:sectPr>
          <w:pgSz w:w="11900" w:h="16838" w:orient="portrait"/>
          <w:cols w:equalWidth="0" w:num="1">
            <w:col w:w="11240"/>
          </w:cols>
          <w:pgMar w:left="320" w:top="364" w:right="339" w:bottom="1440" w:gutter="0" w:footer="0" w:header="0"/>
        </w:sectPr>
      </w:pPr>
    </w:p>
    <w:bookmarkStart w:id="11" w:name="page12"/>
    <w:bookmarkEnd w:id="11"/>
    <w:p>
      <w:pPr>
        <w:jc w:val="center"/>
        <w:spacing w:after="0"/>
        <w:rPr>
          <w:sz w:val="20"/>
          <w:szCs w:val="20"/>
          <w:color w:val="auto"/>
        </w:rPr>
      </w:pPr>
      <w:r>
        <w:rPr>
          <w:rFonts w:ascii="Arial" w:cs="Arial" w:eastAsia="Arial" w:hAnsi="Arial"/>
          <w:sz w:val="18"/>
          <w:szCs w:val="18"/>
          <w:b w:val="1"/>
          <w:bCs w:val="1"/>
          <w:color w:val="auto"/>
        </w:rPr>
        <w:t>ACM RESEARCH,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Reconciliation of GAAP to Non-GAAP Financial Measures</w:t>
      </w:r>
    </w:p>
    <w:p>
      <w:pPr>
        <w:spacing w:after="0" w:line="238"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As described under “Use of Non-GAAP Financial Measures” above, ACM presents non-GAAP gross margin, operating expenses, operating income and net income attributable to ACM Research, Inc. as supplemental measures to GAAP financial measures, each of which excludes stock-based compensation (“SBC”) from the equivalent GAAP financial line items. The following table reconciles gross margin, operating expenses, operating income and net income attributable to ACM Research, Inc. to the related non-GAAP financial measures: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19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3760" w:type="dxa"/>
            <w:vAlign w:val="bottom"/>
            <w:tcBorders>
              <w:bottom w:val="single" w:sz="8" w:color="auto"/>
            </w:tcBorders>
            <w:gridSpan w:val="5"/>
          </w:tcPr>
          <w:p>
            <w:pPr>
              <w:jc w:val="center"/>
              <w:ind w:right="310"/>
              <w:spacing w:after="0"/>
              <w:rPr>
                <w:sz w:val="20"/>
                <w:szCs w:val="20"/>
                <w:color w:val="auto"/>
              </w:rPr>
            </w:pPr>
            <w:r>
              <w:rPr>
                <w:rFonts w:ascii="Arial" w:cs="Arial" w:eastAsia="Arial" w:hAnsi="Arial"/>
                <w:sz w:val="18"/>
                <w:szCs w:val="18"/>
                <w:b w:val="1"/>
                <w:bCs w:val="1"/>
                <w:color w:val="auto"/>
                <w:w w:val="90"/>
              </w:rPr>
              <w:t>Three Months Ended June 30,</w:t>
            </w:r>
          </w:p>
        </w:tc>
        <w:tc>
          <w:tcPr>
            <w:tcW w:w="32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23"/>
        </w:trPr>
        <w:tc>
          <w:tcPr>
            <w:tcW w:w="19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10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1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gridSpan w:val="2"/>
          </w:tcPr>
          <w:p>
            <w:pPr>
              <w:ind w:left="100"/>
              <w:spacing w:after="0" w:line="198" w:lineRule="exact"/>
              <w:rPr>
                <w:sz w:val="20"/>
                <w:szCs w:val="20"/>
                <w:color w:val="auto"/>
              </w:rPr>
            </w:pPr>
            <w:r>
              <w:rPr>
                <w:rFonts w:ascii="Arial" w:cs="Arial" w:eastAsia="Arial" w:hAnsi="Arial"/>
                <w:sz w:val="18"/>
                <w:szCs w:val="18"/>
                <w:b w:val="1"/>
                <w:bCs w:val="1"/>
                <w:color w:val="auto"/>
              </w:rPr>
              <w:t>Change in fair</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b w:val="1"/>
                <w:bCs w:val="1"/>
                <w:color w:val="auto"/>
                <w:w w:val="88"/>
              </w:rPr>
              <w:t>value of</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210"/>
              <w:spacing w:after="0"/>
              <w:rPr>
                <w:sz w:val="20"/>
                <w:szCs w:val="20"/>
                <w:color w:val="auto"/>
              </w:rPr>
            </w:pPr>
            <w:r>
              <w:rPr>
                <w:rFonts w:ascii="Arial" w:cs="Arial" w:eastAsia="Arial" w:hAnsi="Arial"/>
                <w:sz w:val="18"/>
                <w:szCs w:val="18"/>
                <w:b w:val="1"/>
                <w:bCs w:val="1"/>
                <w:color w:val="auto"/>
                <w:w w:val="90"/>
              </w:rPr>
              <w:t>Actual</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b w:val="1"/>
                <w:bCs w:val="1"/>
                <w:color w:val="auto"/>
                <w:w w:val="93"/>
              </w:rPr>
              <w:t>financial</w:t>
            </w:r>
          </w:p>
        </w:tc>
        <w:tc>
          <w:tcPr>
            <w:tcW w:w="260" w:type="dxa"/>
            <w:vAlign w:val="bottom"/>
          </w:tcPr>
          <w:p>
            <w:pPr>
              <w:spacing w:after="0"/>
              <w:rPr>
                <w:sz w:val="18"/>
                <w:szCs w:val="18"/>
                <w:color w:val="auto"/>
              </w:rPr>
            </w:pPr>
          </w:p>
        </w:tc>
        <w:tc>
          <w:tcPr>
            <w:tcW w:w="1100" w:type="dxa"/>
            <w:vAlign w:val="bottom"/>
          </w:tcPr>
          <w:p>
            <w:pPr>
              <w:jc w:val="center"/>
              <w:ind w:right="190"/>
              <w:spacing w:after="0"/>
              <w:rPr>
                <w:sz w:val="20"/>
                <w:szCs w:val="20"/>
                <w:color w:val="auto"/>
              </w:rPr>
            </w:pPr>
            <w:r>
              <w:rPr>
                <w:rFonts w:ascii="Arial" w:cs="Arial" w:eastAsia="Arial" w:hAnsi="Arial"/>
                <w:sz w:val="18"/>
                <w:szCs w:val="18"/>
                <w:b w:val="1"/>
                <w:bCs w:val="1"/>
                <w:color w:val="auto"/>
                <w:w w:val="90"/>
              </w:rPr>
              <w:t>Adjusted</w:t>
            </w:r>
          </w:p>
        </w:tc>
        <w:tc>
          <w:tcPr>
            <w:tcW w:w="300" w:type="dxa"/>
            <w:vAlign w:val="bottom"/>
          </w:tcPr>
          <w:p>
            <w:pPr>
              <w:spacing w:after="0"/>
              <w:rPr>
                <w:sz w:val="18"/>
                <w:szCs w:val="18"/>
                <w:color w:val="auto"/>
              </w:rPr>
            </w:pPr>
          </w:p>
        </w:tc>
        <w:tc>
          <w:tcPr>
            <w:tcW w:w="1020" w:type="dxa"/>
            <w:vAlign w:val="bottom"/>
          </w:tcPr>
          <w:p>
            <w:pPr>
              <w:jc w:val="center"/>
              <w:ind w:right="270"/>
              <w:spacing w:after="0"/>
              <w:rPr>
                <w:sz w:val="20"/>
                <w:szCs w:val="20"/>
                <w:color w:val="auto"/>
              </w:rPr>
            </w:pPr>
            <w:r>
              <w:rPr>
                <w:rFonts w:ascii="Arial" w:cs="Arial" w:eastAsia="Arial" w:hAnsi="Arial"/>
                <w:sz w:val="18"/>
                <w:szCs w:val="18"/>
                <w:b w:val="1"/>
                <w:bCs w:val="1"/>
                <w:color w:val="auto"/>
                <w:w w:val="90"/>
              </w:rPr>
              <w:t>Actual</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Adjusted</w:t>
            </w:r>
          </w:p>
        </w:tc>
      </w:tr>
      <w:tr>
        <w:trPr>
          <w:trHeight w:val="241"/>
        </w:trPr>
        <w:tc>
          <w:tcPr>
            <w:tcW w:w="1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center"/>
              <w:ind w:right="210"/>
              <w:spacing w:after="0"/>
              <w:rPr>
                <w:sz w:val="20"/>
                <w:szCs w:val="20"/>
                <w:color w:val="auto"/>
              </w:rPr>
            </w:pPr>
            <w:r>
              <w:rPr>
                <w:rFonts w:ascii="Arial" w:cs="Arial" w:eastAsia="Arial" w:hAnsi="Arial"/>
                <w:sz w:val="18"/>
                <w:szCs w:val="18"/>
                <w:b w:val="1"/>
                <w:bCs w:val="1"/>
                <w:color w:val="auto"/>
                <w:w w:val="96"/>
              </w:rPr>
              <w:t>(GAAP)</w:t>
            </w:r>
          </w:p>
        </w:tc>
        <w:tc>
          <w:tcPr>
            <w:tcW w:w="340" w:type="dxa"/>
            <w:vAlign w:val="bottom"/>
          </w:tcPr>
          <w:p>
            <w:pPr>
              <w:spacing w:after="0"/>
              <w:rPr>
                <w:sz w:val="20"/>
                <w:szCs w:val="20"/>
                <w:color w:val="auto"/>
              </w:rPr>
            </w:pPr>
          </w:p>
        </w:tc>
        <w:tc>
          <w:tcPr>
            <w:tcW w:w="1040" w:type="dxa"/>
            <w:vAlign w:val="bottom"/>
          </w:tcPr>
          <w:p>
            <w:pPr>
              <w:jc w:val="right"/>
              <w:ind w:right="450"/>
              <w:spacing w:after="0"/>
              <w:rPr>
                <w:sz w:val="20"/>
                <w:szCs w:val="20"/>
                <w:color w:val="auto"/>
              </w:rPr>
            </w:pPr>
            <w:r>
              <w:rPr>
                <w:rFonts w:ascii="Arial" w:cs="Arial" w:eastAsia="Arial" w:hAnsi="Arial"/>
                <w:sz w:val="18"/>
                <w:szCs w:val="18"/>
                <w:b w:val="1"/>
                <w:bCs w:val="1"/>
                <w:color w:val="auto"/>
              </w:rPr>
              <w:t>SBC</w:t>
            </w:r>
          </w:p>
        </w:tc>
        <w:tc>
          <w:tcPr>
            <w:tcW w:w="260" w:type="dxa"/>
            <w:vAlign w:val="bottom"/>
          </w:tcPr>
          <w:p>
            <w:pPr>
              <w:spacing w:after="0"/>
              <w:rPr>
                <w:sz w:val="20"/>
                <w:szCs w:val="20"/>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b w:val="1"/>
                <w:bCs w:val="1"/>
                <w:color w:val="auto"/>
                <w:w w:val="96"/>
              </w:rPr>
              <w:t>liability</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7"/>
              </w:rPr>
              <w:t>(Non-GAAP)</w:t>
            </w:r>
          </w:p>
        </w:tc>
        <w:tc>
          <w:tcPr>
            <w:tcW w:w="300" w:type="dxa"/>
            <w:vAlign w:val="bottom"/>
          </w:tcPr>
          <w:p>
            <w:pPr>
              <w:spacing w:after="0"/>
              <w:rPr>
                <w:sz w:val="20"/>
                <w:szCs w:val="20"/>
                <w:color w:val="auto"/>
              </w:rPr>
            </w:pPr>
          </w:p>
        </w:tc>
        <w:tc>
          <w:tcPr>
            <w:tcW w:w="1020" w:type="dxa"/>
            <w:vAlign w:val="bottom"/>
          </w:tcPr>
          <w:p>
            <w:pPr>
              <w:jc w:val="center"/>
              <w:ind w:right="270"/>
              <w:spacing w:after="0"/>
              <w:rPr>
                <w:sz w:val="20"/>
                <w:szCs w:val="20"/>
                <w:color w:val="auto"/>
              </w:rPr>
            </w:pPr>
            <w:r>
              <w:rPr>
                <w:rFonts w:ascii="Arial" w:cs="Arial" w:eastAsia="Arial" w:hAnsi="Arial"/>
                <w:sz w:val="18"/>
                <w:szCs w:val="18"/>
                <w:b w:val="1"/>
                <w:bCs w:val="1"/>
                <w:color w:val="auto"/>
                <w:w w:val="96"/>
              </w:rPr>
              <w:t>(GAAP)</w:t>
            </w:r>
          </w:p>
        </w:tc>
        <w:tc>
          <w:tcPr>
            <w:tcW w:w="32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SBC</w:t>
            </w:r>
          </w:p>
        </w:tc>
        <w:tc>
          <w:tcPr>
            <w:tcW w:w="13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5"/>
              </w:rPr>
              <w:t>(Non-GAAP)</w:t>
            </w:r>
          </w:p>
        </w:tc>
      </w:tr>
      <w:tr>
        <w:trPr>
          <w:trHeight w:val="230"/>
        </w:trPr>
        <w:tc>
          <w:tcPr>
            <w:tcW w:w="19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gridSpan w:val="2"/>
          </w:tcPr>
          <w:p>
            <w:pPr>
              <w:jc w:val="center"/>
              <w:ind w:right="70"/>
              <w:spacing w:after="0"/>
              <w:rPr>
                <w:sz w:val="20"/>
                <w:szCs w:val="20"/>
                <w:color w:val="auto"/>
              </w:rPr>
            </w:pPr>
            <w:r>
              <w:rPr>
                <w:rFonts w:ascii="Arial" w:cs="Arial" w:eastAsia="Arial" w:hAnsi="Arial"/>
                <w:sz w:val="18"/>
                <w:szCs w:val="18"/>
                <w:i w:val="1"/>
                <w:iCs w:val="1"/>
                <w:color w:val="auto"/>
                <w:w w:val="90"/>
              </w:rPr>
              <w:t>(In thousands)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75"/>
        </w:trPr>
        <w:tc>
          <w:tcPr>
            <w:tcW w:w="1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6"/>
        </w:trPr>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39,049</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39,049</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29,010</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29,010</w:t>
            </w:r>
          </w:p>
        </w:tc>
        <w:tc>
          <w:tcPr>
            <w:tcW w:w="100" w:type="dxa"/>
            <w:vAlign w:val="bottom"/>
            <w:shd w:val="clear" w:color="auto" w:fill="CCEEFF"/>
          </w:tcPr>
          <w:p>
            <w:pPr>
              <w:spacing w:after="0"/>
              <w:rPr>
                <w:sz w:val="18"/>
                <w:szCs w:val="18"/>
                <w:color w:val="auto"/>
              </w:rPr>
            </w:pP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Cost of revenue</w:t>
            </w:r>
          </w:p>
        </w:tc>
        <w:tc>
          <w:tcPr>
            <w:tcW w:w="16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(19,693)</w:t>
            </w:r>
          </w:p>
        </w:tc>
        <w:tc>
          <w:tcPr>
            <w:tcW w:w="340" w:type="dxa"/>
            <w:vAlign w:val="bottom"/>
          </w:tcPr>
          <w:p>
            <w:pPr>
              <w:spacing w:after="0"/>
              <w:rPr>
                <w:sz w:val="18"/>
                <w:szCs w:val="18"/>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(43)</w:t>
            </w:r>
          </w:p>
        </w:tc>
        <w:tc>
          <w:tcPr>
            <w:tcW w:w="260" w:type="dxa"/>
            <w:vAlign w:val="bottom"/>
          </w:tcPr>
          <w:p>
            <w:pPr>
              <w:spacing w:after="0"/>
              <w:rPr>
                <w:sz w:val="18"/>
                <w:szCs w:val="18"/>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(19,650)</w:t>
            </w:r>
          </w:p>
        </w:tc>
        <w:tc>
          <w:tcPr>
            <w:tcW w:w="30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(15,879)</w:t>
            </w:r>
          </w:p>
        </w:tc>
        <w:tc>
          <w:tcPr>
            <w:tcW w:w="32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18"/>
                <w:szCs w:val="18"/>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(15,850)</w:t>
            </w:r>
          </w:p>
        </w:tc>
      </w:tr>
      <w:tr>
        <w:trPr>
          <w:trHeight w:val="223"/>
        </w:trPr>
        <w:tc>
          <w:tcPr>
            <w:tcW w:w="19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160" w:type="dxa"/>
            <w:vAlign w:val="bottom"/>
            <w:tcBorders>
              <w:bottom w:val="single" w:sz="8" w:color="auto"/>
            </w:tcBorders>
            <w:shd w:val="clear" w:color="auto" w:fill="CCEEFF"/>
          </w:tcPr>
          <w:p>
            <w:pPr>
              <w:spacing w:after="0"/>
              <w:rPr>
                <w:sz w:val="19"/>
                <w:szCs w:val="19"/>
                <w:color w:val="auto"/>
              </w:rPr>
            </w:pPr>
          </w:p>
        </w:tc>
        <w:tc>
          <w:tcPr>
            <w:tcW w:w="11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19,356</w:t>
            </w:r>
          </w:p>
        </w:tc>
        <w:tc>
          <w:tcPr>
            <w:tcW w:w="340" w:type="dxa"/>
            <w:vAlign w:val="bottom"/>
            <w:tcBorders>
              <w:bottom w:val="single" w:sz="8" w:color="auto"/>
            </w:tcBorders>
            <w:shd w:val="clear" w:color="auto" w:fill="CCEEFF"/>
          </w:tcPr>
          <w:p>
            <w:pPr>
              <w:spacing w:after="0"/>
              <w:rPr>
                <w:sz w:val="19"/>
                <w:szCs w:val="19"/>
                <w:color w:val="auto"/>
              </w:rPr>
            </w:pPr>
          </w:p>
        </w:tc>
        <w:tc>
          <w:tcPr>
            <w:tcW w:w="10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(43)</w:t>
            </w:r>
          </w:p>
        </w:tc>
        <w:tc>
          <w:tcPr>
            <w:tcW w:w="26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19,399</w:t>
            </w:r>
          </w:p>
        </w:tc>
        <w:tc>
          <w:tcPr>
            <w:tcW w:w="3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13,131</w:t>
            </w:r>
          </w:p>
        </w:tc>
        <w:tc>
          <w:tcPr>
            <w:tcW w:w="32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4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13,160</w:t>
            </w:r>
          </w:p>
        </w:tc>
        <w:tc>
          <w:tcPr>
            <w:tcW w:w="100" w:type="dxa"/>
            <w:vAlign w:val="bottom"/>
            <w:tcBorders>
              <w:bottom w:val="single" w:sz="8" w:color="CCEEFF"/>
            </w:tcBorders>
            <w:shd w:val="clear" w:color="auto" w:fill="CCEEFF"/>
          </w:tcPr>
          <w:p>
            <w:pPr>
              <w:spacing w:after="0"/>
              <w:rPr>
                <w:sz w:val="19"/>
                <w:szCs w:val="19"/>
                <w:color w:val="auto"/>
              </w:rPr>
            </w:pP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(4,595)</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(164)</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(4,431)</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(2,924)</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(2,878)</w:t>
            </w:r>
          </w:p>
        </w:tc>
      </w:tr>
      <w:tr>
        <w:trPr>
          <w:trHeight w:val="202"/>
        </w:trPr>
        <w:tc>
          <w:tcPr>
            <w:tcW w:w="1940" w:type="dxa"/>
            <w:vAlign w:val="bottom"/>
          </w:tcPr>
          <w:p>
            <w:pPr>
              <w:spacing w:after="0" w:line="201" w:lineRule="exact"/>
              <w:rPr>
                <w:sz w:val="20"/>
                <w:szCs w:val="20"/>
                <w:color w:val="auto"/>
              </w:rPr>
            </w:pPr>
            <w:r>
              <w:rPr>
                <w:rFonts w:ascii="Arial" w:cs="Arial" w:eastAsia="Arial" w:hAnsi="Arial"/>
                <w:sz w:val="18"/>
                <w:szCs w:val="18"/>
                <w:color w:val="auto"/>
              </w:rPr>
              <w:t>Research and</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940" w:type="dxa"/>
            <w:vAlign w:val="bottom"/>
          </w:tcPr>
          <w:p>
            <w:pPr>
              <w:ind w:left="140"/>
              <w:spacing w:after="0"/>
              <w:rPr>
                <w:sz w:val="20"/>
                <w:szCs w:val="20"/>
                <w:color w:val="auto"/>
              </w:rPr>
            </w:pPr>
            <w:r>
              <w:rPr>
                <w:rFonts w:ascii="Arial" w:cs="Arial" w:eastAsia="Arial" w:hAnsi="Arial"/>
                <w:sz w:val="18"/>
                <w:szCs w:val="18"/>
                <w:color w:val="auto"/>
              </w:rPr>
              <w:t>development</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(5,221)</w:t>
            </w:r>
          </w:p>
        </w:tc>
        <w:tc>
          <w:tcPr>
            <w:tcW w:w="34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(188)</w:t>
            </w:r>
          </w:p>
        </w:tc>
        <w:tc>
          <w:tcPr>
            <w:tcW w:w="26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(5,033)</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(3,341)</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(94)</w:t>
            </w:r>
          </w:p>
        </w:tc>
        <w:tc>
          <w:tcPr>
            <w:tcW w:w="24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(3,247)</w:t>
            </w:r>
          </w:p>
        </w:tc>
      </w:tr>
      <w:tr>
        <w:trPr>
          <w:trHeight w:val="202"/>
        </w:trPr>
        <w:tc>
          <w:tcPr>
            <w:tcW w:w="19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General and</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7"/>
        </w:trPr>
        <w:tc>
          <w:tcPr>
            <w:tcW w:w="19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administrative</w:t>
            </w: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(2,204)</w:t>
            </w: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(460)</w:t>
            </w: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(1,744)</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(2,205)</w:t>
            </w: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w:t>
            </w: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(1,756)</w:t>
            </w:r>
          </w:p>
        </w:tc>
      </w:tr>
      <w:tr>
        <w:trPr>
          <w:trHeight w:val="223"/>
        </w:trPr>
        <w:tc>
          <w:tcPr>
            <w:tcW w:w="19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Income from operations</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7,336</w:t>
            </w:r>
          </w:p>
        </w:tc>
        <w:tc>
          <w:tcPr>
            <w:tcW w:w="3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(855)</w:t>
            </w:r>
          </w:p>
        </w:tc>
        <w:tc>
          <w:tcPr>
            <w:tcW w:w="2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8,191</w:t>
            </w:r>
          </w:p>
        </w:tc>
        <w:tc>
          <w:tcPr>
            <w:tcW w:w="3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4,661</w:t>
            </w:r>
          </w:p>
        </w:tc>
        <w:tc>
          <w:tcPr>
            <w:tcW w:w="3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5,279</w:t>
            </w:r>
          </w:p>
        </w:tc>
        <w:tc>
          <w:tcPr>
            <w:tcW w:w="100" w:type="dxa"/>
            <w:vAlign w:val="bottom"/>
            <w:tcBorders>
              <w:top w:val="single" w:sz="8" w:color="CCEEFF"/>
            </w:tcBorders>
          </w:tcPr>
          <w:p>
            <w:pPr>
              <w:spacing w:after="0"/>
              <w:rPr>
                <w:sz w:val="19"/>
                <w:szCs w:val="19"/>
                <w:color w:val="auto"/>
              </w:rPr>
            </w:pPr>
          </w:p>
        </w:tc>
      </w:tr>
      <w:tr>
        <w:trPr>
          <w:trHeight w:val="202"/>
        </w:trPr>
        <w:tc>
          <w:tcPr>
            <w:tcW w:w="19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Change in fair value</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7"/>
        </w:trPr>
        <w:tc>
          <w:tcPr>
            <w:tcW w:w="19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of financial liability</w:t>
            </w:r>
          </w:p>
        </w:tc>
        <w:tc>
          <w:tcPr>
            <w:tcW w:w="1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(5,431)</w:t>
            </w:r>
          </w:p>
        </w:tc>
        <w:tc>
          <w:tcPr>
            <w:tcW w:w="3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(5,431)</w:t>
            </w:r>
          </w:p>
        </w:tc>
        <w:tc>
          <w:tcPr>
            <w:tcW w:w="2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198"/>
        </w:trPr>
        <w:tc>
          <w:tcPr>
            <w:tcW w:w="1940" w:type="dxa"/>
            <w:vAlign w:val="bottom"/>
          </w:tcPr>
          <w:p>
            <w:pPr>
              <w:spacing w:after="0" w:line="198" w:lineRule="exact"/>
              <w:rPr>
                <w:sz w:val="20"/>
                <w:szCs w:val="20"/>
                <w:color w:val="auto"/>
              </w:rPr>
            </w:pPr>
            <w:r>
              <w:rPr>
                <w:rFonts w:ascii="Arial" w:cs="Arial" w:eastAsia="Arial" w:hAnsi="Arial"/>
                <w:sz w:val="18"/>
                <w:szCs w:val="18"/>
                <w:b w:val="1"/>
                <w:bCs w:val="1"/>
                <w:color w:val="auto"/>
              </w:rPr>
              <w:t>Net income (loss)</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940" w:type="dxa"/>
            <w:vAlign w:val="bottom"/>
          </w:tcPr>
          <w:p>
            <w:pPr>
              <w:ind w:left="140"/>
              <w:spacing w:after="0"/>
              <w:rPr>
                <w:sz w:val="20"/>
                <w:szCs w:val="20"/>
                <w:color w:val="auto"/>
              </w:rPr>
            </w:pPr>
            <w:r>
              <w:rPr>
                <w:rFonts w:ascii="Arial" w:cs="Arial" w:eastAsia="Arial" w:hAnsi="Arial"/>
                <w:sz w:val="18"/>
                <w:szCs w:val="18"/>
                <w:b w:val="1"/>
                <w:bCs w:val="1"/>
                <w:color w:val="auto"/>
              </w:rPr>
              <w:t>attributable to ACM</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940" w:type="dxa"/>
            <w:vAlign w:val="bottom"/>
          </w:tcPr>
          <w:p>
            <w:pPr>
              <w:ind w:left="140"/>
              <w:spacing w:after="0"/>
              <w:rPr>
                <w:sz w:val="20"/>
                <w:szCs w:val="20"/>
                <w:color w:val="auto"/>
              </w:rPr>
            </w:pPr>
            <w:r>
              <w:rPr>
                <w:rFonts w:ascii="Arial" w:cs="Arial" w:eastAsia="Arial" w:hAnsi="Arial"/>
                <w:sz w:val="18"/>
                <w:szCs w:val="18"/>
                <w:b w:val="1"/>
                <w:bCs w:val="1"/>
                <w:color w:val="auto"/>
              </w:rPr>
              <w:t>Research, Inc.</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(855)</w:t>
            </w:r>
          </w:p>
        </w:tc>
        <w:tc>
          <w:tcPr>
            <w:tcW w:w="2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6,205</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4,311</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(618)</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4,929</w:t>
            </w:r>
          </w:p>
        </w:tc>
        <w:tc>
          <w:tcPr>
            <w:tcW w:w="100" w:type="dxa"/>
            <w:vAlign w:val="bottom"/>
          </w:tcPr>
          <w:p>
            <w:pPr>
              <w:spacing w:after="0"/>
              <w:rPr>
                <w:sz w:val="20"/>
                <w:szCs w:val="20"/>
                <w:color w:val="auto"/>
              </w:rPr>
            </w:pPr>
          </w:p>
        </w:tc>
      </w:tr>
      <w:tr>
        <w:trPr>
          <w:trHeight w:val="21"/>
        </w:trPr>
        <w:tc>
          <w:tcPr>
            <w:tcW w:w="1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2740" w:type="dxa"/>
            <w:vAlign w:val="bottom"/>
            <w:tcBorders>
              <w:bottom w:val="single" w:sz="8" w:color="auto"/>
            </w:tcBorders>
            <w:gridSpan w:val="4"/>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703"/>
        </w:trPr>
        <w:tc>
          <w:tcPr>
            <w:tcW w:w="194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4"/>
          </w:tcPr>
          <w:p>
            <w:pPr>
              <w:jc w:val="center"/>
              <w:ind w:left="510"/>
              <w:spacing w:after="0"/>
              <w:rPr>
                <w:sz w:val="20"/>
                <w:szCs w:val="20"/>
                <w:color w:val="auto"/>
              </w:rPr>
            </w:pPr>
            <w:r>
              <w:rPr>
                <w:rFonts w:ascii="Arial" w:cs="Arial" w:eastAsia="Arial" w:hAnsi="Arial"/>
                <w:sz w:val="18"/>
                <w:szCs w:val="18"/>
                <w:b w:val="1"/>
                <w:bCs w:val="1"/>
                <w:color w:val="auto"/>
                <w:w w:val="90"/>
              </w:rPr>
              <w:t>Six Months Ended June 30,</w:t>
            </w:r>
          </w:p>
        </w:tc>
        <w:tc>
          <w:tcPr>
            <w:tcW w:w="102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19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1080" w:type="dxa"/>
            <w:vAlign w:val="bottom"/>
            <w:tcBorders>
              <w:bottom w:val="single" w:sz="8" w:color="auto"/>
            </w:tcBorders>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24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198"/>
        </w:trPr>
        <w:tc>
          <w:tcPr>
            <w:tcW w:w="19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340" w:type="dxa"/>
            <w:vAlign w:val="bottom"/>
            <w:gridSpan w:val="2"/>
          </w:tcPr>
          <w:p>
            <w:pPr>
              <w:ind w:left="100"/>
              <w:spacing w:after="0" w:line="198" w:lineRule="exact"/>
              <w:rPr>
                <w:sz w:val="20"/>
                <w:szCs w:val="20"/>
                <w:color w:val="auto"/>
              </w:rPr>
            </w:pPr>
            <w:r>
              <w:rPr>
                <w:rFonts w:ascii="Arial" w:cs="Arial" w:eastAsia="Arial" w:hAnsi="Arial"/>
                <w:sz w:val="18"/>
                <w:szCs w:val="18"/>
                <w:b w:val="1"/>
                <w:bCs w:val="1"/>
                <w:color w:val="auto"/>
              </w:rPr>
              <w:t>Change in fair</w:t>
            </w: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b w:val="1"/>
                <w:bCs w:val="1"/>
                <w:color w:val="auto"/>
                <w:w w:val="88"/>
              </w:rPr>
              <w:t>value of</w:t>
            </w: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20" w:type="dxa"/>
            <w:vAlign w:val="bottom"/>
          </w:tcPr>
          <w:p>
            <w:pPr>
              <w:jc w:val="center"/>
              <w:ind w:right="210"/>
              <w:spacing w:after="0"/>
              <w:rPr>
                <w:sz w:val="20"/>
                <w:szCs w:val="20"/>
                <w:color w:val="auto"/>
              </w:rPr>
            </w:pPr>
            <w:r>
              <w:rPr>
                <w:rFonts w:ascii="Arial" w:cs="Arial" w:eastAsia="Arial" w:hAnsi="Arial"/>
                <w:sz w:val="18"/>
                <w:szCs w:val="18"/>
                <w:b w:val="1"/>
                <w:bCs w:val="1"/>
                <w:color w:val="auto"/>
                <w:w w:val="90"/>
              </w:rPr>
              <w:t>Actual</w:t>
            </w: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b w:val="1"/>
                <w:bCs w:val="1"/>
                <w:color w:val="auto"/>
                <w:w w:val="93"/>
              </w:rPr>
              <w:t>financial</w:t>
            </w:r>
          </w:p>
        </w:tc>
        <w:tc>
          <w:tcPr>
            <w:tcW w:w="260" w:type="dxa"/>
            <w:vAlign w:val="bottom"/>
          </w:tcPr>
          <w:p>
            <w:pPr>
              <w:spacing w:after="0"/>
              <w:rPr>
                <w:sz w:val="18"/>
                <w:szCs w:val="18"/>
                <w:color w:val="auto"/>
              </w:rPr>
            </w:pPr>
          </w:p>
        </w:tc>
        <w:tc>
          <w:tcPr>
            <w:tcW w:w="1100" w:type="dxa"/>
            <w:vAlign w:val="bottom"/>
          </w:tcPr>
          <w:p>
            <w:pPr>
              <w:jc w:val="center"/>
              <w:ind w:right="190"/>
              <w:spacing w:after="0"/>
              <w:rPr>
                <w:sz w:val="20"/>
                <w:szCs w:val="20"/>
                <w:color w:val="auto"/>
              </w:rPr>
            </w:pPr>
            <w:r>
              <w:rPr>
                <w:rFonts w:ascii="Arial" w:cs="Arial" w:eastAsia="Arial" w:hAnsi="Arial"/>
                <w:sz w:val="18"/>
                <w:szCs w:val="18"/>
                <w:b w:val="1"/>
                <w:bCs w:val="1"/>
                <w:color w:val="auto"/>
                <w:w w:val="90"/>
              </w:rPr>
              <w:t>Adjusted</w:t>
            </w:r>
          </w:p>
        </w:tc>
        <w:tc>
          <w:tcPr>
            <w:tcW w:w="300" w:type="dxa"/>
            <w:vAlign w:val="bottom"/>
          </w:tcPr>
          <w:p>
            <w:pPr>
              <w:spacing w:after="0"/>
              <w:rPr>
                <w:sz w:val="18"/>
                <w:szCs w:val="18"/>
                <w:color w:val="auto"/>
              </w:rPr>
            </w:pPr>
          </w:p>
        </w:tc>
        <w:tc>
          <w:tcPr>
            <w:tcW w:w="1020" w:type="dxa"/>
            <w:vAlign w:val="bottom"/>
          </w:tcPr>
          <w:p>
            <w:pPr>
              <w:jc w:val="center"/>
              <w:ind w:right="270"/>
              <w:spacing w:after="0"/>
              <w:rPr>
                <w:sz w:val="20"/>
                <w:szCs w:val="20"/>
                <w:color w:val="auto"/>
              </w:rPr>
            </w:pPr>
            <w:r>
              <w:rPr>
                <w:rFonts w:ascii="Arial" w:cs="Arial" w:eastAsia="Arial" w:hAnsi="Arial"/>
                <w:sz w:val="18"/>
                <w:szCs w:val="18"/>
                <w:b w:val="1"/>
                <w:bCs w:val="1"/>
                <w:color w:val="auto"/>
                <w:w w:val="90"/>
              </w:rPr>
              <w:t>Actual</w:t>
            </w: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6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0"/>
              </w:rPr>
              <w:t>Adjusted</w:t>
            </w:r>
          </w:p>
        </w:tc>
      </w:tr>
      <w:tr>
        <w:trPr>
          <w:trHeight w:val="241"/>
        </w:trPr>
        <w:tc>
          <w:tcPr>
            <w:tcW w:w="19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20" w:type="dxa"/>
            <w:vAlign w:val="bottom"/>
          </w:tcPr>
          <w:p>
            <w:pPr>
              <w:jc w:val="center"/>
              <w:ind w:right="210"/>
              <w:spacing w:after="0"/>
              <w:rPr>
                <w:sz w:val="20"/>
                <w:szCs w:val="20"/>
                <w:color w:val="auto"/>
              </w:rPr>
            </w:pPr>
            <w:r>
              <w:rPr>
                <w:rFonts w:ascii="Arial" w:cs="Arial" w:eastAsia="Arial" w:hAnsi="Arial"/>
                <w:sz w:val="18"/>
                <w:szCs w:val="18"/>
                <w:b w:val="1"/>
                <w:bCs w:val="1"/>
                <w:color w:val="auto"/>
                <w:w w:val="96"/>
              </w:rPr>
              <w:t>(GAAP)</w:t>
            </w:r>
          </w:p>
        </w:tc>
        <w:tc>
          <w:tcPr>
            <w:tcW w:w="340" w:type="dxa"/>
            <w:vAlign w:val="bottom"/>
          </w:tcPr>
          <w:p>
            <w:pPr>
              <w:spacing w:after="0"/>
              <w:rPr>
                <w:sz w:val="20"/>
                <w:szCs w:val="20"/>
                <w:color w:val="auto"/>
              </w:rPr>
            </w:pPr>
          </w:p>
        </w:tc>
        <w:tc>
          <w:tcPr>
            <w:tcW w:w="1040" w:type="dxa"/>
            <w:vAlign w:val="bottom"/>
          </w:tcPr>
          <w:p>
            <w:pPr>
              <w:jc w:val="right"/>
              <w:ind w:right="450"/>
              <w:spacing w:after="0"/>
              <w:rPr>
                <w:sz w:val="20"/>
                <w:szCs w:val="20"/>
                <w:color w:val="auto"/>
              </w:rPr>
            </w:pPr>
            <w:r>
              <w:rPr>
                <w:rFonts w:ascii="Arial" w:cs="Arial" w:eastAsia="Arial" w:hAnsi="Arial"/>
                <w:sz w:val="18"/>
                <w:szCs w:val="18"/>
                <w:b w:val="1"/>
                <w:bCs w:val="1"/>
                <w:color w:val="auto"/>
              </w:rPr>
              <w:t>SBC</w:t>
            </w:r>
          </w:p>
        </w:tc>
        <w:tc>
          <w:tcPr>
            <w:tcW w:w="260" w:type="dxa"/>
            <w:vAlign w:val="bottom"/>
          </w:tcPr>
          <w:p>
            <w:pPr>
              <w:spacing w:after="0"/>
              <w:rPr>
                <w:sz w:val="20"/>
                <w:szCs w:val="20"/>
                <w:color w:val="auto"/>
              </w:rPr>
            </w:pPr>
          </w:p>
        </w:tc>
        <w:tc>
          <w:tcPr>
            <w:tcW w:w="1080" w:type="dxa"/>
            <w:vAlign w:val="bottom"/>
          </w:tcPr>
          <w:p>
            <w:pPr>
              <w:jc w:val="center"/>
              <w:ind w:right="190"/>
              <w:spacing w:after="0"/>
              <w:rPr>
                <w:sz w:val="20"/>
                <w:szCs w:val="20"/>
                <w:color w:val="auto"/>
              </w:rPr>
            </w:pPr>
            <w:r>
              <w:rPr>
                <w:rFonts w:ascii="Arial" w:cs="Arial" w:eastAsia="Arial" w:hAnsi="Arial"/>
                <w:sz w:val="18"/>
                <w:szCs w:val="18"/>
                <w:b w:val="1"/>
                <w:bCs w:val="1"/>
                <w:color w:val="auto"/>
                <w:w w:val="96"/>
              </w:rPr>
              <w:t>liability</w:t>
            </w:r>
          </w:p>
        </w:tc>
        <w:tc>
          <w:tcPr>
            <w:tcW w:w="1360" w:type="dxa"/>
            <w:vAlign w:val="bottom"/>
            <w:gridSpan w:val="2"/>
          </w:tcPr>
          <w:p>
            <w:pPr>
              <w:jc w:val="center"/>
              <w:spacing w:after="0"/>
              <w:rPr>
                <w:sz w:val="20"/>
                <w:szCs w:val="20"/>
                <w:color w:val="auto"/>
              </w:rPr>
            </w:pPr>
            <w:r>
              <w:rPr>
                <w:rFonts w:ascii="Arial" w:cs="Arial" w:eastAsia="Arial" w:hAnsi="Arial"/>
                <w:sz w:val="18"/>
                <w:szCs w:val="18"/>
                <w:b w:val="1"/>
                <w:bCs w:val="1"/>
                <w:color w:val="auto"/>
                <w:w w:val="97"/>
              </w:rPr>
              <w:t>(Non-GAAP)</w:t>
            </w:r>
          </w:p>
        </w:tc>
        <w:tc>
          <w:tcPr>
            <w:tcW w:w="300" w:type="dxa"/>
            <w:vAlign w:val="bottom"/>
          </w:tcPr>
          <w:p>
            <w:pPr>
              <w:spacing w:after="0"/>
              <w:rPr>
                <w:sz w:val="20"/>
                <w:szCs w:val="20"/>
                <w:color w:val="auto"/>
              </w:rPr>
            </w:pPr>
          </w:p>
        </w:tc>
        <w:tc>
          <w:tcPr>
            <w:tcW w:w="1020" w:type="dxa"/>
            <w:vAlign w:val="bottom"/>
          </w:tcPr>
          <w:p>
            <w:pPr>
              <w:jc w:val="center"/>
              <w:ind w:right="270"/>
              <w:spacing w:after="0"/>
              <w:rPr>
                <w:sz w:val="20"/>
                <w:szCs w:val="20"/>
                <w:color w:val="auto"/>
              </w:rPr>
            </w:pPr>
            <w:r>
              <w:rPr>
                <w:rFonts w:ascii="Arial" w:cs="Arial" w:eastAsia="Arial" w:hAnsi="Arial"/>
                <w:sz w:val="18"/>
                <w:szCs w:val="18"/>
                <w:b w:val="1"/>
                <w:bCs w:val="1"/>
                <w:color w:val="auto"/>
                <w:w w:val="96"/>
              </w:rPr>
              <w:t>(GAAP)</w:t>
            </w:r>
          </w:p>
        </w:tc>
        <w:tc>
          <w:tcPr>
            <w:tcW w:w="320" w:type="dxa"/>
            <w:vAlign w:val="bottom"/>
          </w:tcPr>
          <w:p>
            <w:pPr>
              <w:spacing w:after="0"/>
              <w:rPr>
                <w:sz w:val="20"/>
                <w:szCs w:val="20"/>
                <w:color w:val="auto"/>
              </w:rPr>
            </w:pPr>
          </w:p>
        </w:tc>
        <w:tc>
          <w:tcPr>
            <w:tcW w:w="1000" w:type="dxa"/>
            <w:vAlign w:val="bottom"/>
          </w:tcPr>
          <w:p>
            <w:pPr>
              <w:jc w:val="right"/>
              <w:ind w:right="410"/>
              <w:spacing w:after="0"/>
              <w:rPr>
                <w:sz w:val="20"/>
                <w:szCs w:val="20"/>
                <w:color w:val="auto"/>
              </w:rPr>
            </w:pPr>
            <w:r>
              <w:rPr>
                <w:rFonts w:ascii="Arial" w:cs="Arial" w:eastAsia="Arial" w:hAnsi="Arial"/>
                <w:sz w:val="18"/>
                <w:szCs w:val="18"/>
                <w:b w:val="1"/>
                <w:bCs w:val="1"/>
                <w:color w:val="auto"/>
              </w:rPr>
              <w:t>SBC</w:t>
            </w:r>
          </w:p>
        </w:tc>
        <w:tc>
          <w:tcPr>
            <w:tcW w:w="1300" w:type="dxa"/>
            <w:vAlign w:val="bottom"/>
            <w:gridSpan w:val="3"/>
          </w:tcPr>
          <w:p>
            <w:pPr>
              <w:jc w:val="center"/>
              <w:ind w:right="20"/>
              <w:spacing w:after="0"/>
              <w:rPr>
                <w:sz w:val="20"/>
                <w:szCs w:val="20"/>
                <w:color w:val="auto"/>
              </w:rPr>
            </w:pPr>
            <w:r>
              <w:rPr>
                <w:rFonts w:ascii="Arial" w:cs="Arial" w:eastAsia="Arial" w:hAnsi="Arial"/>
                <w:sz w:val="18"/>
                <w:szCs w:val="18"/>
                <w:b w:val="1"/>
                <w:bCs w:val="1"/>
                <w:color w:val="auto"/>
                <w:w w:val="95"/>
              </w:rPr>
              <w:t>(Non-GAAP)</w:t>
            </w:r>
          </w:p>
        </w:tc>
      </w:tr>
      <w:tr>
        <w:trPr>
          <w:trHeight w:val="230"/>
        </w:trPr>
        <w:tc>
          <w:tcPr>
            <w:tcW w:w="194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gridSpan w:val="2"/>
          </w:tcPr>
          <w:p>
            <w:pPr>
              <w:jc w:val="center"/>
              <w:ind w:right="70"/>
              <w:spacing w:after="0"/>
              <w:rPr>
                <w:sz w:val="20"/>
                <w:szCs w:val="20"/>
                <w:color w:val="auto"/>
              </w:rPr>
            </w:pPr>
            <w:r>
              <w:rPr>
                <w:rFonts w:ascii="Arial" w:cs="Arial" w:eastAsia="Arial" w:hAnsi="Arial"/>
                <w:sz w:val="18"/>
                <w:szCs w:val="18"/>
                <w:i w:val="1"/>
                <w:iCs w:val="1"/>
                <w:color w:val="auto"/>
                <w:w w:val="90"/>
              </w:rPr>
              <w:t>(In thousands)</w:t>
            </w:r>
          </w:p>
        </w:tc>
        <w:tc>
          <w:tcPr>
            <w:tcW w:w="30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175"/>
        </w:trPr>
        <w:tc>
          <w:tcPr>
            <w:tcW w:w="19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216"/>
        </w:trPr>
        <w:tc>
          <w:tcPr>
            <w:tcW w:w="1940" w:type="dxa"/>
            <w:vAlign w:val="bottom"/>
            <w:shd w:val="clear" w:color="auto" w:fill="CCEEFF"/>
          </w:tcPr>
          <w:p>
            <w:pPr>
              <w:spacing w:after="0"/>
              <w:rPr>
                <w:sz w:val="20"/>
                <w:szCs w:val="20"/>
                <w:color w:val="auto"/>
              </w:rPr>
            </w:pPr>
            <w:r>
              <w:rPr>
                <w:rFonts w:ascii="Arial" w:cs="Arial" w:eastAsia="Arial" w:hAnsi="Arial"/>
                <w:sz w:val="18"/>
                <w:szCs w:val="18"/>
                <w:color w:val="auto"/>
              </w:rPr>
              <w:t>Revenue</w:t>
            </w:r>
          </w:p>
        </w:tc>
        <w:tc>
          <w:tcPr>
            <w:tcW w:w="160" w:type="dxa"/>
            <w:vAlign w:val="bottom"/>
            <w:shd w:val="clear" w:color="auto" w:fill="CCEEFF"/>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63,397</w:t>
            </w:r>
          </w:p>
        </w:tc>
        <w:tc>
          <w:tcPr>
            <w:tcW w:w="3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ind w:left="100"/>
              <w:spacing w:after="0"/>
              <w:rPr>
                <w:sz w:val="20"/>
                <w:szCs w:val="20"/>
                <w:color w:val="auto"/>
              </w:rPr>
            </w:pPr>
            <w:r>
              <w:rPr>
                <w:rFonts w:ascii="Arial" w:cs="Arial" w:eastAsia="Arial" w:hAnsi="Arial"/>
                <w:sz w:val="18"/>
                <w:szCs w:val="18"/>
                <w:color w:val="auto"/>
              </w:rPr>
              <w:t>$</w:t>
            </w: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63,397</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49,489</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49,489</w:t>
            </w:r>
          </w:p>
        </w:tc>
        <w:tc>
          <w:tcPr>
            <w:tcW w:w="100" w:type="dxa"/>
            <w:vAlign w:val="bottom"/>
            <w:shd w:val="clear" w:color="auto" w:fill="CCEEFF"/>
          </w:tcPr>
          <w:p>
            <w:pPr>
              <w:spacing w:after="0"/>
              <w:rPr>
                <w:sz w:val="18"/>
                <w:szCs w:val="18"/>
                <w:color w:val="auto"/>
              </w:rPr>
            </w:pPr>
          </w:p>
        </w:tc>
      </w:tr>
      <w:tr>
        <w:trPr>
          <w:trHeight w:val="223"/>
        </w:trPr>
        <w:tc>
          <w:tcPr>
            <w:tcW w:w="1940" w:type="dxa"/>
            <w:vAlign w:val="bottom"/>
          </w:tcPr>
          <w:p>
            <w:pPr>
              <w:spacing w:after="0"/>
              <w:rPr>
                <w:sz w:val="20"/>
                <w:szCs w:val="20"/>
                <w:color w:val="auto"/>
              </w:rPr>
            </w:pPr>
            <w:r>
              <w:rPr>
                <w:rFonts w:ascii="Arial" w:cs="Arial" w:eastAsia="Arial" w:hAnsi="Arial"/>
                <w:sz w:val="18"/>
                <w:szCs w:val="18"/>
                <w:color w:val="auto"/>
              </w:rPr>
              <w:t>Cost of revenue</w:t>
            </w:r>
          </w:p>
        </w:tc>
        <w:tc>
          <w:tcPr>
            <w:tcW w:w="16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(33,813)</w:t>
            </w:r>
          </w:p>
        </w:tc>
        <w:tc>
          <w:tcPr>
            <w:tcW w:w="340" w:type="dxa"/>
            <w:vAlign w:val="bottom"/>
          </w:tcPr>
          <w:p>
            <w:pPr>
              <w:spacing w:after="0"/>
              <w:rPr>
                <w:sz w:val="19"/>
                <w:szCs w:val="19"/>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(88)</w:t>
            </w:r>
          </w:p>
        </w:tc>
        <w:tc>
          <w:tcPr>
            <w:tcW w:w="260" w:type="dxa"/>
            <w:vAlign w:val="bottom"/>
          </w:tcPr>
          <w:p>
            <w:pPr>
              <w:spacing w:after="0"/>
              <w:rPr>
                <w:sz w:val="19"/>
                <w:szCs w:val="19"/>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(33,725)</w:t>
            </w:r>
          </w:p>
        </w:tc>
        <w:tc>
          <w:tcPr>
            <w:tcW w:w="30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(27,532)</w:t>
            </w:r>
          </w:p>
        </w:tc>
        <w:tc>
          <w:tcPr>
            <w:tcW w:w="32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(59)</w:t>
            </w:r>
          </w:p>
        </w:tc>
        <w:tc>
          <w:tcPr>
            <w:tcW w:w="240" w:type="dxa"/>
            <w:vAlign w:val="bottom"/>
          </w:tcPr>
          <w:p>
            <w:pPr>
              <w:spacing w:after="0"/>
              <w:rPr>
                <w:sz w:val="19"/>
                <w:szCs w:val="19"/>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(27,473)</w:t>
            </w:r>
          </w:p>
        </w:tc>
      </w:tr>
      <w:tr>
        <w:trPr>
          <w:trHeight w:val="216"/>
        </w:trPr>
        <w:tc>
          <w:tcPr>
            <w:tcW w:w="1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160" w:type="dxa"/>
            <w:vAlign w:val="bottom"/>
            <w:tcBorders>
              <w:top w:val="single" w:sz="8" w:color="auto"/>
            </w:tcBorders>
            <w:shd w:val="clear" w:color="auto" w:fill="CCEEFF"/>
          </w:tcPr>
          <w:p>
            <w:pPr>
              <w:spacing w:after="0"/>
              <w:rPr>
                <w:sz w:val="18"/>
                <w:szCs w:val="18"/>
                <w:color w:val="auto"/>
              </w:rPr>
            </w:pPr>
          </w:p>
        </w:tc>
        <w:tc>
          <w:tcPr>
            <w:tcW w:w="11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29,584</w:t>
            </w:r>
          </w:p>
        </w:tc>
        <w:tc>
          <w:tcPr>
            <w:tcW w:w="3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(88)</w:t>
            </w:r>
          </w:p>
        </w:tc>
        <w:tc>
          <w:tcPr>
            <w:tcW w:w="26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29,672</w:t>
            </w:r>
          </w:p>
        </w:tc>
        <w:tc>
          <w:tcPr>
            <w:tcW w:w="30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21,957</w:t>
            </w:r>
          </w:p>
        </w:tc>
        <w:tc>
          <w:tcPr>
            <w:tcW w:w="32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22,016</w:t>
            </w:r>
          </w:p>
        </w:tc>
        <w:tc>
          <w:tcPr>
            <w:tcW w:w="100" w:type="dxa"/>
            <w:vAlign w:val="bottom"/>
            <w:shd w:val="clear" w:color="auto" w:fill="CCEEFF"/>
          </w:tcPr>
          <w:p>
            <w:pPr>
              <w:spacing w:after="0"/>
              <w:rPr>
                <w:sz w:val="18"/>
                <w:szCs w:val="18"/>
                <w:color w:val="auto"/>
              </w:rPr>
            </w:pPr>
          </w:p>
        </w:tc>
      </w:tr>
      <w:tr>
        <w:trPr>
          <w:trHeight w:val="216"/>
        </w:trPr>
        <w:tc>
          <w:tcPr>
            <w:tcW w:w="1940" w:type="dxa"/>
            <w:vAlign w:val="bottom"/>
          </w:tcPr>
          <w:p>
            <w:pPr>
              <w:spacing w:after="0"/>
              <w:rPr>
                <w:sz w:val="20"/>
                <w:szCs w:val="20"/>
                <w:color w:val="auto"/>
              </w:rPr>
            </w:pPr>
            <w:r>
              <w:rPr>
                <w:rFonts w:ascii="Arial" w:cs="Arial" w:eastAsia="Arial" w:hAnsi="Arial"/>
                <w:sz w:val="18"/>
                <w:szCs w:val="18"/>
                <w:color w:val="auto"/>
              </w:rPr>
              <w:t>Operating expenses:</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194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Sales and marketing</w:t>
            </w:r>
          </w:p>
        </w:tc>
        <w:tc>
          <w:tcPr>
            <w:tcW w:w="160" w:type="dxa"/>
            <w:vAlign w:val="bottom"/>
            <w:shd w:val="clear" w:color="auto" w:fill="CCEEFF"/>
          </w:tcPr>
          <w:p>
            <w:pPr>
              <w:spacing w:after="0"/>
              <w:rPr>
                <w:sz w:val="18"/>
                <w:szCs w:val="18"/>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(7,600)</w:t>
            </w:r>
          </w:p>
        </w:tc>
        <w:tc>
          <w:tcPr>
            <w:tcW w:w="340" w:type="dxa"/>
            <w:vAlign w:val="bottom"/>
            <w:shd w:val="clear" w:color="auto" w:fill="CCEEFF"/>
          </w:tcPr>
          <w:p>
            <w:pPr>
              <w:spacing w:after="0"/>
              <w:rPr>
                <w:sz w:val="18"/>
                <w:szCs w:val="18"/>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(258)</w:t>
            </w:r>
          </w:p>
        </w:tc>
        <w:tc>
          <w:tcPr>
            <w:tcW w:w="260" w:type="dxa"/>
            <w:vAlign w:val="bottom"/>
            <w:shd w:val="clear" w:color="auto" w:fill="CCEEFF"/>
          </w:tcPr>
          <w:p>
            <w:pPr>
              <w:spacing w:after="0"/>
              <w:rPr>
                <w:sz w:val="18"/>
                <w:szCs w:val="18"/>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(7,342)</w:t>
            </w: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(4,793)</w:t>
            </w:r>
          </w:p>
        </w:tc>
        <w:tc>
          <w:tcPr>
            <w:tcW w:w="320" w:type="dxa"/>
            <w:vAlign w:val="bottom"/>
            <w:shd w:val="clear" w:color="auto" w:fill="CCEEFF"/>
          </w:tcPr>
          <w:p>
            <w:pPr>
              <w:spacing w:after="0"/>
              <w:rPr>
                <w:sz w:val="18"/>
                <w:szCs w:val="18"/>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(4,713)</w:t>
            </w:r>
          </w:p>
        </w:tc>
      </w:tr>
      <w:tr>
        <w:trPr>
          <w:trHeight w:val="202"/>
        </w:trPr>
        <w:tc>
          <w:tcPr>
            <w:tcW w:w="1940" w:type="dxa"/>
            <w:vAlign w:val="bottom"/>
          </w:tcPr>
          <w:p>
            <w:pPr>
              <w:ind w:left="180"/>
              <w:spacing w:after="0" w:line="201" w:lineRule="exact"/>
              <w:rPr>
                <w:sz w:val="20"/>
                <w:szCs w:val="20"/>
                <w:color w:val="auto"/>
              </w:rPr>
            </w:pPr>
            <w:r>
              <w:rPr>
                <w:rFonts w:ascii="Arial" w:cs="Arial" w:eastAsia="Arial" w:hAnsi="Arial"/>
                <w:sz w:val="18"/>
                <w:szCs w:val="18"/>
                <w:color w:val="auto"/>
              </w:rPr>
              <w:t>Research and</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1940" w:type="dxa"/>
            <w:vAlign w:val="bottom"/>
          </w:tcPr>
          <w:p>
            <w:pPr>
              <w:ind w:left="300"/>
              <w:spacing w:after="0"/>
              <w:rPr>
                <w:sz w:val="20"/>
                <w:szCs w:val="20"/>
                <w:color w:val="auto"/>
              </w:rPr>
            </w:pPr>
            <w:r>
              <w:rPr>
                <w:rFonts w:ascii="Arial" w:cs="Arial" w:eastAsia="Arial" w:hAnsi="Arial"/>
                <w:sz w:val="18"/>
                <w:szCs w:val="18"/>
                <w:color w:val="auto"/>
              </w:rPr>
              <w:t>development</w:t>
            </w:r>
          </w:p>
        </w:tc>
        <w:tc>
          <w:tcPr>
            <w:tcW w:w="1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(8,898)</w:t>
            </w:r>
          </w:p>
        </w:tc>
        <w:tc>
          <w:tcPr>
            <w:tcW w:w="340" w:type="dxa"/>
            <w:vAlign w:val="bottom"/>
          </w:tcPr>
          <w:p>
            <w:pPr>
              <w:spacing w:after="0"/>
              <w:rPr>
                <w:sz w:val="20"/>
                <w:szCs w:val="20"/>
                <w:color w:val="auto"/>
              </w:rPr>
            </w:pP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(375)</w:t>
            </w:r>
          </w:p>
        </w:tc>
        <w:tc>
          <w:tcPr>
            <w:tcW w:w="260" w:type="dxa"/>
            <w:vAlign w:val="bottom"/>
          </w:tcPr>
          <w:p>
            <w:pPr>
              <w:spacing w:after="0"/>
              <w:rPr>
                <w:sz w:val="20"/>
                <w:szCs w:val="20"/>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(8,523)</w:t>
            </w:r>
          </w:p>
        </w:tc>
        <w:tc>
          <w:tcPr>
            <w:tcW w:w="30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(6,106)</w:t>
            </w:r>
          </w:p>
        </w:tc>
        <w:tc>
          <w:tcPr>
            <w:tcW w:w="3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(180)</w:t>
            </w:r>
          </w:p>
        </w:tc>
        <w:tc>
          <w:tcPr>
            <w:tcW w:w="240" w:type="dxa"/>
            <w:vAlign w:val="bottom"/>
          </w:tcPr>
          <w:p>
            <w:pPr>
              <w:spacing w:after="0"/>
              <w:rPr>
                <w:sz w:val="20"/>
                <w:szCs w:val="20"/>
                <w:color w:val="auto"/>
              </w:rPr>
            </w:pPr>
          </w:p>
        </w:tc>
        <w:tc>
          <w:tcPr>
            <w:tcW w:w="1060" w:type="dxa"/>
            <w:vAlign w:val="bottom"/>
            <w:gridSpan w:val="2"/>
          </w:tcPr>
          <w:p>
            <w:pPr>
              <w:jc w:val="right"/>
              <w:ind w:right="40"/>
              <w:spacing w:after="0"/>
              <w:rPr>
                <w:sz w:val="20"/>
                <w:szCs w:val="20"/>
                <w:color w:val="auto"/>
              </w:rPr>
            </w:pPr>
            <w:r>
              <w:rPr>
                <w:rFonts w:ascii="Arial" w:cs="Arial" w:eastAsia="Arial" w:hAnsi="Arial"/>
                <w:sz w:val="18"/>
                <w:szCs w:val="18"/>
                <w:color w:val="auto"/>
              </w:rPr>
              <w:t>(5,926)</w:t>
            </w:r>
          </w:p>
        </w:tc>
      </w:tr>
      <w:tr>
        <w:trPr>
          <w:trHeight w:val="202"/>
        </w:trPr>
        <w:tc>
          <w:tcPr>
            <w:tcW w:w="19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General and</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7"/>
        </w:trPr>
        <w:tc>
          <w:tcPr>
            <w:tcW w:w="1940" w:type="dxa"/>
            <w:vAlign w:val="bottom"/>
            <w:shd w:val="clear" w:color="auto" w:fill="CCEEFF"/>
          </w:tcPr>
          <w:p>
            <w:pPr>
              <w:ind w:left="300"/>
              <w:spacing w:after="0"/>
              <w:rPr>
                <w:sz w:val="20"/>
                <w:szCs w:val="20"/>
                <w:color w:val="auto"/>
              </w:rPr>
            </w:pPr>
            <w:r>
              <w:rPr>
                <w:rFonts w:ascii="Arial" w:cs="Arial" w:eastAsia="Arial" w:hAnsi="Arial"/>
                <w:sz w:val="18"/>
                <w:szCs w:val="18"/>
                <w:color w:val="auto"/>
              </w:rPr>
              <w:t>administrative</w:t>
            </w:r>
          </w:p>
        </w:tc>
        <w:tc>
          <w:tcPr>
            <w:tcW w:w="160" w:type="dxa"/>
            <w:vAlign w:val="bottom"/>
            <w:shd w:val="clear" w:color="auto" w:fill="CCEEFF"/>
          </w:tcPr>
          <w:p>
            <w:pPr>
              <w:spacing w:after="0"/>
              <w:rPr>
                <w:sz w:val="20"/>
                <w:szCs w:val="20"/>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(4,532)</w:t>
            </w:r>
          </w:p>
        </w:tc>
        <w:tc>
          <w:tcPr>
            <w:tcW w:w="340" w:type="dxa"/>
            <w:vAlign w:val="bottom"/>
            <w:shd w:val="clear" w:color="auto" w:fill="CCEEFF"/>
          </w:tcPr>
          <w:p>
            <w:pPr>
              <w:spacing w:after="0"/>
              <w:rPr>
                <w:sz w:val="20"/>
                <w:szCs w:val="20"/>
                <w:color w:val="auto"/>
              </w:rPr>
            </w:pP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(823)</w:t>
            </w:r>
          </w:p>
        </w:tc>
        <w:tc>
          <w:tcPr>
            <w:tcW w:w="260" w:type="dxa"/>
            <w:vAlign w:val="bottom"/>
            <w:shd w:val="clear" w:color="auto" w:fill="CCEEFF"/>
          </w:tcPr>
          <w:p>
            <w:pPr>
              <w:spacing w:after="0"/>
              <w:rPr>
                <w:sz w:val="20"/>
                <w:szCs w:val="20"/>
                <w:color w:val="auto"/>
              </w:rPr>
            </w:pPr>
          </w:p>
        </w:tc>
        <w:tc>
          <w:tcPr>
            <w:tcW w:w="10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(3,709)</w:t>
            </w:r>
          </w:p>
        </w:tc>
        <w:tc>
          <w:tcPr>
            <w:tcW w:w="300" w:type="dxa"/>
            <w:vAlign w:val="bottom"/>
            <w:shd w:val="clear" w:color="auto" w:fill="CCEEFF"/>
          </w:tcPr>
          <w:p>
            <w:pPr>
              <w:spacing w:after="0"/>
              <w:rPr>
                <w:sz w:val="20"/>
                <w:szCs w:val="20"/>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(4,146)</w:t>
            </w:r>
          </w:p>
        </w:tc>
        <w:tc>
          <w:tcPr>
            <w:tcW w:w="320" w:type="dxa"/>
            <w:vAlign w:val="bottom"/>
            <w:shd w:val="clear" w:color="auto" w:fill="CCEEFF"/>
          </w:tcPr>
          <w:p>
            <w:pPr>
              <w:spacing w:after="0"/>
              <w:rPr>
                <w:sz w:val="20"/>
                <w:szCs w:val="20"/>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(1,043)</w:t>
            </w:r>
          </w:p>
        </w:tc>
        <w:tc>
          <w:tcPr>
            <w:tcW w:w="240" w:type="dxa"/>
            <w:vAlign w:val="bottom"/>
            <w:shd w:val="clear" w:color="auto" w:fill="CCEEFF"/>
          </w:tcPr>
          <w:p>
            <w:pPr>
              <w:spacing w:after="0"/>
              <w:rPr>
                <w:sz w:val="20"/>
                <w:szCs w:val="20"/>
                <w:color w:val="auto"/>
              </w:rPr>
            </w:pPr>
          </w:p>
        </w:tc>
        <w:tc>
          <w:tcPr>
            <w:tcW w:w="10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(3,103)</w:t>
            </w:r>
          </w:p>
        </w:tc>
      </w:tr>
      <w:tr>
        <w:trPr>
          <w:trHeight w:val="223"/>
        </w:trPr>
        <w:tc>
          <w:tcPr>
            <w:tcW w:w="1940" w:type="dxa"/>
            <w:vAlign w:val="bottom"/>
            <w:tcBorders>
              <w:top w:val="single" w:sz="8" w:color="CCEEFF"/>
            </w:tcBorders>
          </w:tcPr>
          <w:p>
            <w:pPr>
              <w:spacing w:after="0"/>
              <w:rPr>
                <w:sz w:val="20"/>
                <w:szCs w:val="20"/>
                <w:color w:val="auto"/>
              </w:rPr>
            </w:pPr>
            <w:r>
              <w:rPr>
                <w:rFonts w:ascii="Arial" w:cs="Arial" w:eastAsia="Arial" w:hAnsi="Arial"/>
                <w:sz w:val="18"/>
                <w:szCs w:val="18"/>
                <w:color w:val="auto"/>
              </w:rPr>
              <w:t>Income from operations</w:t>
            </w: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8,554</w:t>
            </w:r>
          </w:p>
        </w:tc>
        <w:tc>
          <w:tcPr>
            <w:tcW w:w="3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(1,544)</w:t>
            </w:r>
          </w:p>
        </w:tc>
        <w:tc>
          <w:tcPr>
            <w:tcW w:w="260" w:type="dxa"/>
            <w:vAlign w:val="bottom"/>
            <w:tcBorders>
              <w:top w:val="single" w:sz="8" w:color="auto"/>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08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10,098</w:t>
            </w:r>
          </w:p>
        </w:tc>
        <w:tc>
          <w:tcPr>
            <w:tcW w:w="3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6,912</w:t>
            </w:r>
          </w:p>
        </w:tc>
        <w:tc>
          <w:tcPr>
            <w:tcW w:w="32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(1,362)</w:t>
            </w:r>
          </w:p>
        </w:tc>
        <w:tc>
          <w:tcPr>
            <w:tcW w:w="2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8,274</w:t>
            </w:r>
          </w:p>
        </w:tc>
        <w:tc>
          <w:tcPr>
            <w:tcW w:w="100" w:type="dxa"/>
            <w:vAlign w:val="bottom"/>
            <w:tcBorders>
              <w:top w:val="single" w:sz="8" w:color="CCEEFF"/>
            </w:tcBorders>
          </w:tcPr>
          <w:p>
            <w:pPr>
              <w:spacing w:after="0"/>
              <w:rPr>
                <w:sz w:val="19"/>
                <w:szCs w:val="19"/>
                <w:color w:val="auto"/>
              </w:rPr>
            </w:pPr>
          </w:p>
        </w:tc>
      </w:tr>
      <w:tr>
        <w:trPr>
          <w:trHeight w:val="202"/>
        </w:trPr>
        <w:tc>
          <w:tcPr>
            <w:tcW w:w="1940" w:type="dxa"/>
            <w:vAlign w:val="bottom"/>
            <w:shd w:val="clear" w:color="auto" w:fill="CCEEFF"/>
          </w:tcPr>
          <w:p>
            <w:pPr>
              <w:ind w:left="180"/>
              <w:spacing w:after="0" w:line="201" w:lineRule="exact"/>
              <w:rPr>
                <w:sz w:val="20"/>
                <w:szCs w:val="20"/>
                <w:color w:val="auto"/>
              </w:rPr>
            </w:pPr>
            <w:r>
              <w:rPr>
                <w:rFonts w:ascii="Arial" w:cs="Arial" w:eastAsia="Arial" w:hAnsi="Arial"/>
                <w:sz w:val="18"/>
                <w:szCs w:val="18"/>
                <w:color w:val="auto"/>
              </w:rPr>
              <w:t>Change in fair value</w:t>
            </w:r>
          </w:p>
        </w:tc>
        <w:tc>
          <w:tcPr>
            <w:tcW w:w="160" w:type="dxa"/>
            <w:vAlign w:val="bottom"/>
            <w:shd w:val="clear" w:color="auto" w:fill="CCEEFF"/>
          </w:tcPr>
          <w:p>
            <w:pPr>
              <w:spacing w:after="0"/>
              <w:rPr>
                <w:sz w:val="17"/>
                <w:szCs w:val="17"/>
                <w:color w:val="auto"/>
              </w:rPr>
            </w:pPr>
          </w:p>
        </w:tc>
        <w:tc>
          <w:tcPr>
            <w:tcW w:w="11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0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7"/>
        </w:trPr>
        <w:tc>
          <w:tcPr>
            <w:tcW w:w="1940" w:type="dxa"/>
            <w:vAlign w:val="bottom"/>
            <w:tcBorders>
              <w:bottom w:val="single" w:sz="8" w:color="CCEEFF"/>
            </w:tcBorders>
            <w:shd w:val="clear" w:color="auto" w:fill="CCEEFF"/>
          </w:tcPr>
          <w:p>
            <w:pPr>
              <w:ind w:left="300"/>
              <w:spacing w:after="0"/>
              <w:rPr>
                <w:sz w:val="20"/>
                <w:szCs w:val="20"/>
                <w:color w:val="auto"/>
              </w:rPr>
            </w:pPr>
            <w:r>
              <w:rPr>
                <w:rFonts w:ascii="Arial" w:cs="Arial" w:eastAsia="Arial" w:hAnsi="Arial"/>
                <w:sz w:val="18"/>
                <w:szCs w:val="18"/>
                <w:color w:val="auto"/>
              </w:rPr>
              <w:t>of financial liability</w:t>
            </w:r>
          </w:p>
        </w:tc>
        <w:tc>
          <w:tcPr>
            <w:tcW w:w="160" w:type="dxa"/>
            <w:vAlign w:val="bottom"/>
            <w:tcBorders>
              <w:bottom w:val="single" w:sz="8" w:color="auto"/>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(5,431)</w:t>
            </w:r>
          </w:p>
        </w:tc>
        <w:tc>
          <w:tcPr>
            <w:tcW w:w="340" w:type="dxa"/>
            <w:vAlign w:val="bottom"/>
            <w:tcBorders>
              <w:bottom w:val="single" w:sz="8" w:color="auto"/>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60" w:type="dxa"/>
            <w:vAlign w:val="bottom"/>
            <w:tcBorders>
              <w:bottom w:val="single" w:sz="8" w:color="auto"/>
            </w:tcBorders>
            <w:shd w:val="clear" w:color="auto" w:fill="CCEEFF"/>
          </w:tcPr>
          <w:p>
            <w:pPr>
              <w:spacing w:after="0"/>
              <w:rPr>
                <w:sz w:val="20"/>
                <w:szCs w:val="20"/>
                <w:color w:val="auto"/>
              </w:rPr>
            </w:pP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(5,431)</w:t>
            </w:r>
          </w:p>
        </w:tc>
        <w:tc>
          <w:tcPr>
            <w:tcW w:w="260" w:type="dxa"/>
            <w:vAlign w:val="bottom"/>
            <w:tcBorders>
              <w:bottom w:val="single" w:sz="8" w:color="auto"/>
            </w:tcBorders>
            <w:shd w:val="clear" w:color="auto" w:fill="CCEEFF"/>
          </w:tcPr>
          <w:p>
            <w:pPr>
              <w:spacing w:after="0"/>
              <w:rPr>
                <w:sz w:val="20"/>
                <w:szCs w:val="20"/>
                <w:color w:val="auto"/>
              </w:rPr>
            </w:pPr>
          </w:p>
        </w:tc>
        <w:tc>
          <w:tcPr>
            <w:tcW w:w="11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20"/>
                <w:szCs w:val="20"/>
                <w:color w:val="auto"/>
              </w:rPr>
            </w:pPr>
          </w:p>
        </w:tc>
        <w:tc>
          <w:tcPr>
            <w:tcW w:w="102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auto"/>
            </w:tcBorders>
            <w:shd w:val="clear" w:color="auto" w:fill="CCEEFF"/>
          </w:tcPr>
          <w:p>
            <w:pPr>
              <w:spacing w:after="0"/>
              <w:rPr>
                <w:sz w:val="20"/>
                <w:szCs w:val="20"/>
                <w:color w:val="auto"/>
              </w:rPr>
            </w:pPr>
          </w:p>
        </w:tc>
        <w:tc>
          <w:tcPr>
            <w:tcW w:w="1000" w:type="dxa"/>
            <w:vAlign w:val="bottom"/>
            <w:tcBorders>
              <w:bottom w:val="single" w:sz="8" w:color="auto"/>
            </w:tcBorders>
            <w:shd w:val="clear" w:color="auto" w:fill="CCEEFF"/>
          </w:tcPr>
          <w:p>
            <w:pPr>
              <w:spacing w:after="0"/>
              <w:rPr>
                <w:sz w:val="20"/>
                <w:szCs w:val="20"/>
                <w:color w:val="auto"/>
              </w:rPr>
            </w:pPr>
          </w:p>
        </w:tc>
        <w:tc>
          <w:tcPr>
            <w:tcW w:w="240" w:type="dxa"/>
            <w:vAlign w:val="bottom"/>
            <w:tcBorders>
              <w:bottom w:val="single" w:sz="8" w:color="auto"/>
            </w:tcBorders>
            <w:shd w:val="clear" w:color="auto" w:fill="CCEEFF"/>
          </w:tcPr>
          <w:p>
            <w:pPr>
              <w:spacing w:after="0"/>
              <w:rPr>
                <w:sz w:val="20"/>
                <w:szCs w:val="20"/>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0"/>
                <w:szCs w:val="20"/>
                <w:color w:val="auto"/>
              </w:rPr>
            </w:pPr>
          </w:p>
        </w:tc>
      </w:tr>
      <w:tr>
        <w:trPr>
          <w:trHeight w:val="198"/>
        </w:trPr>
        <w:tc>
          <w:tcPr>
            <w:tcW w:w="1940" w:type="dxa"/>
            <w:vAlign w:val="bottom"/>
          </w:tcPr>
          <w:p>
            <w:pPr>
              <w:spacing w:after="0" w:line="198" w:lineRule="exact"/>
              <w:rPr>
                <w:sz w:val="20"/>
                <w:szCs w:val="20"/>
                <w:color w:val="auto"/>
              </w:rPr>
            </w:pPr>
            <w:r>
              <w:rPr>
                <w:rFonts w:ascii="Arial" w:cs="Arial" w:eastAsia="Arial" w:hAnsi="Arial"/>
                <w:sz w:val="18"/>
                <w:szCs w:val="18"/>
                <w:b w:val="1"/>
                <w:bCs w:val="1"/>
                <w:color w:val="auto"/>
              </w:rPr>
              <w:t>Net income</w:t>
            </w:r>
          </w:p>
        </w:tc>
        <w:tc>
          <w:tcPr>
            <w:tcW w:w="1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16"/>
        </w:trPr>
        <w:tc>
          <w:tcPr>
            <w:tcW w:w="1940" w:type="dxa"/>
            <w:vAlign w:val="bottom"/>
          </w:tcPr>
          <w:p>
            <w:pPr>
              <w:ind w:left="140"/>
              <w:spacing w:after="0"/>
              <w:rPr>
                <w:sz w:val="20"/>
                <w:szCs w:val="20"/>
                <w:color w:val="auto"/>
              </w:rPr>
            </w:pPr>
            <w:r>
              <w:rPr>
                <w:rFonts w:ascii="Arial" w:cs="Arial" w:eastAsia="Arial" w:hAnsi="Arial"/>
                <w:sz w:val="18"/>
                <w:szCs w:val="18"/>
                <w:b w:val="1"/>
                <w:bCs w:val="1"/>
                <w:color w:val="auto"/>
              </w:rPr>
              <w:t>attributable to ACM</w:t>
            </w:r>
          </w:p>
        </w:tc>
        <w:tc>
          <w:tcPr>
            <w:tcW w:w="1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1940" w:type="dxa"/>
            <w:vAlign w:val="bottom"/>
          </w:tcPr>
          <w:p>
            <w:pPr>
              <w:ind w:left="140"/>
              <w:spacing w:after="0"/>
              <w:rPr>
                <w:sz w:val="20"/>
                <w:szCs w:val="20"/>
                <w:color w:val="auto"/>
              </w:rPr>
            </w:pPr>
            <w:r>
              <w:rPr>
                <w:rFonts w:ascii="Arial" w:cs="Arial" w:eastAsia="Arial" w:hAnsi="Arial"/>
                <w:sz w:val="18"/>
                <w:szCs w:val="18"/>
                <w:b w:val="1"/>
                <w:bCs w:val="1"/>
                <w:color w:val="auto"/>
              </w:rPr>
              <w:t>Research, Inc.</w:t>
            </w:r>
          </w:p>
        </w:tc>
        <w:tc>
          <w:tcPr>
            <w:tcW w:w="160" w:type="dxa"/>
            <w:vAlign w:val="bottom"/>
            <w:tcBorders>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1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1,624</w:t>
            </w:r>
          </w:p>
        </w:tc>
        <w:tc>
          <w:tcPr>
            <w:tcW w:w="34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(1,544)</w:t>
            </w:r>
          </w:p>
        </w:tc>
        <w:tc>
          <w:tcPr>
            <w:tcW w:w="260" w:type="dxa"/>
            <w:vAlign w:val="bottom"/>
            <w:tcBorders>
              <w:bottom w:val="single" w:sz="8" w:color="auto"/>
            </w:tcBorders>
          </w:tcPr>
          <w:p>
            <w:pPr>
              <w:ind w:left="10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(5,431)</w:t>
            </w:r>
          </w:p>
        </w:tc>
        <w:tc>
          <w:tcPr>
            <w:tcW w:w="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8,599</w:t>
            </w:r>
          </w:p>
        </w:tc>
        <w:tc>
          <w:tcPr>
            <w:tcW w:w="30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6,168</w:t>
            </w:r>
          </w:p>
        </w:tc>
        <w:tc>
          <w:tcPr>
            <w:tcW w:w="32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(1,362)</w:t>
            </w:r>
          </w:p>
        </w:tc>
        <w:tc>
          <w:tcPr>
            <w:tcW w:w="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7,530</w:t>
            </w:r>
          </w:p>
        </w:tc>
        <w:tc>
          <w:tcPr>
            <w:tcW w:w="100" w:type="dxa"/>
            <w:vAlign w:val="bottom"/>
          </w:tcPr>
          <w:p>
            <w:pPr>
              <w:spacing w:after="0"/>
              <w:rPr>
                <w:sz w:val="20"/>
                <w:szCs w:val="20"/>
                <w:color w:val="auto"/>
              </w:rPr>
            </w:pPr>
          </w:p>
        </w:tc>
      </w:tr>
      <w:tr>
        <w:trPr>
          <w:trHeight w:val="20"/>
        </w:trPr>
        <w:tc>
          <w:tcPr>
            <w:tcW w:w="19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364" w:right="339" w:bottom="1440" w:gutter="0" w:footer="0" w:header="0"/>
        </w:sect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80010</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type w:val="continuous"/>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891540</wp:posOffset>
            </wp:positionV>
            <wp:extent cx="7132320" cy="4474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4474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ACM Research Expands Customer Base with Orders from</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Two New Analog/Power IC Manufacturing Customers</w:t>
      </w:r>
    </w:p>
    <w:p>
      <w:pPr>
        <w:spacing w:after="0" w:line="238" w:lineRule="exact"/>
        <w:rPr>
          <w:sz w:val="20"/>
          <w:szCs w:val="20"/>
          <w:color w:val="auto"/>
        </w:rPr>
      </w:pPr>
    </w:p>
    <w:p>
      <w:pPr>
        <w:jc w:val="both"/>
        <w:ind w:right="520"/>
        <w:spacing w:after="0" w:line="263" w:lineRule="auto"/>
        <w:rPr>
          <w:sz w:val="20"/>
          <w:szCs w:val="20"/>
          <w:color w:val="auto"/>
        </w:rPr>
      </w:pPr>
      <w:r>
        <w:rPr>
          <w:rFonts w:ascii="Arial" w:cs="Arial" w:eastAsia="Arial" w:hAnsi="Arial"/>
          <w:sz w:val="18"/>
          <w:szCs w:val="18"/>
          <w:color w:val="auto"/>
        </w:rPr>
        <w:t>FREMONT, California, Aug. 5, 2020 (GlobeNewswire) – ACM Research, Inc. (“ACM”) (NASDAQ: ACMR), a leading supplier of wafer cleaning technologies for advanced semiconductor devices, today announced the receipt of purchase orders and final stage bidding activities for a total of $36 million from two new China-based customers that manufacture analog and power IC devices.</w:t>
      </w:r>
    </w:p>
    <w:p>
      <w:pPr>
        <w:spacing w:after="0" w:line="211" w:lineRule="exact"/>
        <w:rPr>
          <w:sz w:val="20"/>
          <w:szCs w:val="20"/>
          <w:color w:val="auto"/>
        </w:rPr>
      </w:pPr>
    </w:p>
    <w:p>
      <w:pPr>
        <w:jc w:val="both"/>
        <w:ind w:right="40"/>
        <w:spacing w:after="0" w:line="286" w:lineRule="auto"/>
        <w:rPr>
          <w:sz w:val="20"/>
          <w:szCs w:val="20"/>
          <w:color w:val="auto"/>
        </w:rPr>
      </w:pPr>
      <w:r>
        <w:rPr>
          <w:rFonts w:ascii="Arial" w:cs="Arial" w:eastAsia="Arial" w:hAnsi="Arial"/>
          <w:sz w:val="17"/>
          <w:szCs w:val="17"/>
          <w:color w:val="auto"/>
        </w:rPr>
        <w:t>ACM will supply a range of semi-critical tools including the Ultra C s (Scrubber), the Ultra C s (Wet Etch), and the Ultra C b (Backside Cleaning) tools for ultra-thin wafers, Ultra wb (Auto Wet Bench), Ultra C SAPS-II and Ultra ECP map (Cu plating) tool. ACM expects to deliver the majority of these tools in the second half of 2020, with revenue recognition subject to qualification and acceptance, which are expected in 2021.</w:t>
      </w:r>
    </w:p>
    <w:p>
      <w:pPr>
        <w:spacing w:after="0" w:line="192"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color w:val="auto"/>
        </w:rPr>
        <w:t>ACM’s President and Chief Executive Officer Dr. David Wang commented, “We are excited about our continued momentum and customer base expansion, with significant demand from two important new customers. We are committed to providing a range of proven cleaning solutions in a few dozen cleaning steps to enable increased production yields and manufacturing efficiency. These new orders are a testament to ACM’s technology leadership, and demonstrate growing confidence in our ability to deliver the mass production solutions demanded by the semiconductor industry.”</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ACM Research, Inc.</w:t>
      </w:r>
    </w:p>
    <w:p>
      <w:pPr>
        <w:spacing w:after="0" w:line="27" w:lineRule="exact"/>
        <w:rPr>
          <w:sz w:val="20"/>
          <w:szCs w:val="20"/>
          <w:color w:val="auto"/>
        </w:rPr>
      </w:pPr>
    </w:p>
    <w:p>
      <w:pPr>
        <w:ind w:right="200"/>
        <w:spacing w:after="0" w:line="253" w:lineRule="auto"/>
        <w:rPr>
          <w:sz w:val="20"/>
          <w:szCs w:val="20"/>
          <w:color w:val="auto"/>
        </w:rPr>
      </w:pPr>
      <w:r>
        <w:rPr>
          <w:rFonts w:ascii="Arial" w:cs="Arial" w:eastAsia="Arial" w:hAnsi="Arial"/>
          <w:sz w:val="18"/>
          <w:szCs w:val="18"/>
          <w:color w:val="auto"/>
        </w:rPr>
        <w:t>ACM develops, manufactures and sells semiconductor process equipment for single-wafer or batch wet cleaning, electroplating, stress-free polishing and thermal processes that are critical to advanced semiconductor device manufacturing, as well as wafer-level packaging. The company is committed to delivering customized, high performance, cost-effective process solutions that semiconductor manufacturers can use in numerous manufacturing steps to improve productivity and product yield.</w:t>
      </w:r>
    </w:p>
    <w:p>
      <w:pPr>
        <w:spacing w:after="0" w:line="220" w:lineRule="exact"/>
        <w:rPr>
          <w:sz w:val="20"/>
          <w:szCs w:val="20"/>
          <w:color w:val="auto"/>
        </w:rPr>
      </w:pPr>
    </w:p>
    <w:p>
      <w:pPr>
        <w:ind w:right="300" w:firstLine="8"/>
        <w:spacing w:after="0" w:line="263" w:lineRule="auto"/>
        <w:tabs>
          <w:tab w:leader="none" w:pos="182" w:val="left"/>
        </w:tabs>
        <w:numPr>
          <w:ilvl w:val="0"/>
          <w:numId w:val="7"/>
        </w:numPr>
        <w:rPr>
          <w:rFonts w:ascii="Arial" w:cs="Arial" w:eastAsia="Arial" w:hAnsi="Arial"/>
          <w:sz w:val="18"/>
          <w:szCs w:val="18"/>
          <w:color w:val="auto"/>
        </w:rPr>
      </w:pPr>
      <w:r>
        <w:rPr>
          <w:rFonts w:ascii="Arial" w:cs="Arial" w:eastAsia="Arial" w:hAnsi="Arial"/>
          <w:sz w:val="18"/>
          <w:szCs w:val="18"/>
          <w:color w:val="auto"/>
        </w:rPr>
        <w:t>ACM Research, Inc. ULTRA C and the ACM Research logo are trademarks of ACM Research, Inc. For convenience, these trademarks appear in this press release without a ™ symbol, but that practice does not mean that ACM will not assert, to the fullest extent under applicable law, its rights to such trademarks.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ectPr>
          <w:pgSz w:w="11900" w:h="16838" w:orient="portrait"/>
          <w:cols w:equalWidth="0" w:num="1">
            <w:col w:w="11240"/>
          </w:cols>
          <w:pgMar w:left="320" w:top="283" w:right="339" w:bottom="0" w:gutter="0" w:footer="0" w:header="0"/>
        </w:sectPr>
      </w:pPr>
    </w:p>
    <w:bookmarkStart w:id="13" w:name="page14"/>
    <w:bookmarkEnd w:id="13"/>
    <w:p>
      <w:pPr>
        <w:spacing w:after="0" w:line="288" w:lineRule="auto"/>
        <w:rPr>
          <w:sz w:val="20"/>
          <w:szCs w:val="20"/>
          <w:color w:val="auto"/>
        </w:rPr>
      </w:pPr>
      <w:r>
        <w:rPr>
          <w:rFonts w:ascii="Arial" w:cs="Arial" w:eastAsia="Arial" w:hAnsi="Arial"/>
          <w:sz w:val="16"/>
          <w:szCs w:val="16"/>
          <w:color w:val="auto"/>
        </w:rPr>
        <w:t>Statements contained in the second sentence of the second paragraph of this press release are not historical facts and may be forward-looking statements within the meaning of the Private Securities Litigation Reform Act of 1995. Forward-looking statements include statements regarding the intent, belief and current expectations with respect to the timing of ACM’s shipment of tools, ACM’s ability to obtain the qualification and acceptance of those tools required for ACM to recognize revenue from the sale of those tools, and the timing of any such revenue recognition. Such statements, which are expectations only, reflect management's current views, are based on certain assumptions, and involve risks and uncertainties. Actual results, events, or performance may differ materially from the above forward-looking statements due to a number of important factors, and will be dependent upon a variety of factors, including, but not limited to, ACM’s ability to manufacture and ship tools consistent with contractual conditions, the timing of recognizing revenue due to the timing of shipment and acceptance of the tools, and economic concerns, including the unpredictability of current markets resulting from the ongoing COVID-19 pandemic. ACM undertakes no obligation to publicly update these forward-looking statements to reflect events or circumstances that occur after the date hereof or to reflect any change in its expectations with regard to these forward-looking statements or the occurrence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219075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 w:right="33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color w:val="auto"/>
        </w:rPr>
        <w:t>For investor and media inquiries, please contact: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2420" w:type="dxa"/>
            <w:vAlign w:val="bottom"/>
            <w:gridSpan w:val="3"/>
          </w:tcPr>
          <w:p>
            <w:pPr>
              <w:spacing w:after="0"/>
              <w:rPr>
                <w:sz w:val="20"/>
                <w:szCs w:val="20"/>
                <w:color w:val="auto"/>
              </w:rPr>
            </w:pPr>
            <w:r>
              <w:rPr>
                <w:rFonts w:ascii="Arial" w:cs="Arial" w:eastAsia="Arial" w:hAnsi="Arial"/>
                <w:sz w:val="18"/>
                <w:szCs w:val="18"/>
                <w:color w:val="auto"/>
              </w:rPr>
              <w:t>In the United States:</w:t>
            </w:r>
          </w:p>
        </w:tc>
        <w:tc>
          <w:tcPr>
            <w:tcW w:w="8480" w:type="dxa"/>
            <w:vAlign w:val="bottom"/>
            <w:gridSpan w:val="3"/>
          </w:tcPr>
          <w:p>
            <w:pPr>
              <w:spacing w:after="0"/>
              <w:rPr>
                <w:sz w:val="20"/>
                <w:szCs w:val="20"/>
                <w:color w:val="auto"/>
              </w:rPr>
            </w:pPr>
            <w:r>
              <w:rPr>
                <w:rFonts w:ascii="Arial" w:cs="Arial" w:eastAsia="Arial" w:hAnsi="Arial"/>
                <w:sz w:val="18"/>
                <w:szCs w:val="18"/>
                <w:color w:val="auto"/>
              </w:rPr>
              <w:t>The Blueshirt Group</w:t>
            </w:r>
          </w:p>
        </w:tc>
      </w:tr>
      <w:tr>
        <w:trPr>
          <w:trHeight w:val="222"/>
        </w:trPr>
        <w:tc>
          <w:tcPr>
            <w:tcW w:w="34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0" w:type="dxa"/>
            <w:vAlign w:val="bottom"/>
          </w:tcPr>
          <w:p>
            <w:pPr>
              <w:spacing w:after="0"/>
              <w:rPr>
                <w:sz w:val="19"/>
                <w:szCs w:val="19"/>
                <w:color w:val="auto"/>
              </w:rPr>
            </w:pPr>
          </w:p>
        </w:tc>
        <w:tc>
          <w:tcPr>
            <w:tcW w:w="8480" w:type="dxa"/>
            <w:vAlign w:val="bottom"/>
            <w:gridSpan w:val="3"/>
          </w:tcPr>
          <w:p>
            <w:pPr>
              <w:ind w:left="40"/>
              <w:spacing w:after="0"/>
              <w:rPr>
                <w:sz w:val="20"/>
                <w:szCs w:val="20"/>
                <w:color w:val="auto"/>
              </w:rPr>
            </w:pPr>
            <w:r>
              <w:rPr>
                <w:rFonts w:ascii="Arial" w:cs="Arial" w:eastAsia="Arial" w:hAnsi="Arial"/>
                <w:sz w:val="18"/>
                <w:szCs w:val="18"/>
                <w:color w:val="auto"/>
              </w:rPr>
              <w:t>Ralph Fong</w:t>
            </w:r>
          </w:p>
        </w:tc>
      </w:tr>
      <w:tr>
        <w:trPr>
          <w:trHeight w:val="216"/>
        </w:trPr>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960" w:type="dxa"/>
            <w:vAlign w:val="bottom"/>
          </w:tcPr>
          <w:p>
            <w:pPr>
              <w:ind w:left="40"/>
              <w:spacing w:after="0"/>
              <w:rPr>
                <w:sz w:val="20"/>
                <w:szCs w:val="20"/>
                <w:color w:val="auto"/>
              </w:rPr>
            </w:pPr>
            <w:r>
              <w:rPr>
                <w:rFonts w:ascii="Arial" w:cs="Arial" w:eastAsia="Arial" w:hAnsi="Arial"/>
                <w:sz w:val="18"/>
                <w:szCs w:val="18"/>
                <w:color w:val="auto"/>
              </w:rPr>
              <w:t>+1 (415) 489-2195</w:t>
            </w:r>
          </w:p>
        </w:tc>
        <w:tc>
          <w:tcPr>
            <w:tcW w:w="60" w:type="dxa"/>
            <w:vAlign w:val="bottom"/>
          </w:tcPr>
          <w:p>
            <w:pPr>
              <w:spacing w:after="0"/>
              <w:rPr>
                <w:sz w:val="18"/>
                <w:szCs w:val="18"/>
                <w:color w:val="auto"/>
              </w:rPr>
            </w:pPr>
          </w:p>
        </w:tc>
        <w:tc>
          <w:tcPr>
            <w:tcW w:w="6460" w:type="dxa"/>
            <w:vAlign w:val="bottom"/>
          </w:tcPr>
          <w:p>
            <w:pPr>
              <w:spacing w:after="0"/>
              <w:rPr>
                <w:sz w:val="18"/>
                <w:szCs w:val="18"/>
                <w:color w:val="auto"/>
              </w:rPr>
            </w:pPr>
          </w:p>
        </w:tc>
      </w:tr>
      <w:tr>
        <w:trPr>
          <w:trHeight w:val="190"/>
        </w:trPr>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20" w:type="dxa"/>
            <w:vAlign w:val="bottom"/>
            <w:tcBorders>
              <w:bottom w:val="single" w:sz="8" w:color="auto"/>
            </w:tcBorders>
            <w:gridSpan w:val="2"/>
          </w:tcPr>
          <w:p>
            <w:pPr>
              <w:ind w:left="60"/>
              <w:spacing w:after="0" w:line="190" w:lineRule="exact"/>
              <w:rPr>
                <w:sz w:val="20"/>
                <w:szCs w:val="20"/>
                <w:color w:val="auto"/>
              </w:rPr>
            </w:pPr>
            <w:r>
              <w:rPr>
                <w:rFonts w:ascii="Arial" w:cs="Arial" w:eastAsia="Arial" w:hAnsi="Arial"/>
                <w:sz w:val="18"/>
                <w:szCs w:val="18"/>
                <w:i w:val="1"/>
                <w:iCs w:val="1"/>
                <w:color w:val="auto"/>
                <w:w w:val="91"/>
              </w:rPr>
              <w:t>ralph@blueshirtgroup.com</w:t>
            </w:r>
          </w:p>
        </w:tc>
        <w:tc>
          <w:tcPr>
            <w:tcW w:w="6460" w:type="dxa"/>
            <w:vAlign w:val="bottom"/>
          </w:tcPr>
          <w:p>
            <w:pPr>
              <w:spacing w:after="0"/>
              <w:rPr>
                <w:sz w:val="16"/>
                <w:szCs w:val="16"/>
                <w:color w:val="auto"/>
              </w:rPr>
            </w:pPr>
          </w:p>
        </w:tc>
      </w:tr>
      <w:tr>
        <w:trPr>
          <w:trHeight w:val="439"/>
        </w:trPr>
        <w:tc>
          <w:tcPr>
            <w:tcW w:w="340" w:type="dxa"/>
            <w:vAlign w:val="bottom"/>
          </w:tcPr>
          <w:p>
            <w:pPr>
              <w:spacing w:after="0"/>
              <w:rPr>
                <w:sz w:val="24"/>
                <w:szCs w:val="24"/>
                <w:color w:val="auto"/>
              </w:rPr>
            </w:pPr>
          </w:p>
        </w:tc>
        <w:tc>
          <w:tcPr>
            <w:tcW w:w="2420" w:type="dxa"/>
            <w:vAlign w:val="bottom"/>
            <w:gridSpan w:val="3"/>
          </w:tcPr>
          <w:p>
            <w:pPr>
              <w:spacing w:after="0"/>
              <w:rPr>
                <w:sz w:val="20"/>
                <w:szCs w:val="20"/>
                <w:color w:val="auto"/>
              </w:rPr>
            </w:pPr>
            <w:r>
              <w:rPr>
                <w:rFonts w:ascii="Arial" w:cs="Arial" w:eastAsia="Arial" w:hAnsi="Arial"/>
                <w:sz w:val="18"/>
                <w:szCs w:val="18"/>
                <w:color w:val="auto"/>
              </w:rPr>
              <w:t>In China:</w:t>
            </w:r>
          </w:p>
        </w:tc>
        <w:tc>
          <w:tcPr>
            <w:tcW w:w="8480" w:type="dxa"/>
            <w:vAlign w:val="bottom"/>
            <w:gridSpan w:val="3"/>
          </w:tcPr>
          <w:p>
            <w:pPr>
              <w:spacing w:after="0"/>
              <w:rPr>
                <w:sz w:val="20"/>
                <w:szCs w:val="20"/>
                <w:color w:val="auto"/>
              </w:rPr>
            </w:pPr>
            <w:r>
              <w:rPr>
                <w:rFonts w:ascii="Arial" w:cs="Arial" w:eastAsia="Arial" w:hAnsi="Arial"/>
                <w:sz w:val="18"/>
                <w:szCs w:val="18"/>
                <w:color w:val="auto"/>
              </w:rPr>
              <w:t>The Blueshirt Group Asia</w:t>
            </w:r>
          </w:p>
        </w:tc>
      </w:tr>
      <w:tr>
        <w:trPr>
          <w:trHeight w:val="222"/>
        </w:trPr>
        <w:tc>
          <w:tcPr>
            <w:tcW w:w="34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480" w:type="dxa"/>
            <w:vAlign w:val="bottom"/>
            <w:gridSpan w:val="3"/>
          </w:tcPr>
          <w:p>
            <w:pPr>
              <w:ind w:left="40"/>
              <w:spacing w:after="0"/>
              <w:rPr>
                <w:sz w:val="20"/>
                <w:szCs w:val="20"/>
                <w:color w:val="auto"/>
              </w:rPr>
            </w:pPr>
            <w:r>
              <w:rPr>
                <w:rFonts w:ascii="Arial" w:cs="Arial" w:eastAsia="Arial" w:hAnsi="Arial"/>
                <w:sz w:val="18"/>
                <w:szCs w:val="18"/>
                <w:color w:val="auto"/>
              </w:rPr>
              <w:t>Gary Dvorchak, CFA</w:t>
            </w:r>
          </w:p>
        </w:tc>
      </w:tr>
      <w:tr>
        <w:trPr>
          <w:trHeight w:val="216"/>
        </w:trPr>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960" w:type="dxa"/>
            <w:vAlign w:val="bottom"/>
          </w:tcPr>
          <w:p>
            <w:pPr>
              <w:ind w:left="40"/>
              <w:spacing w:after="0"/>
              <w:rPr>
                <w:sz w:val="20"/>
                <w:szCs w:val="20"/>
                <w:color w:val="auto"/>
              </w:rPr>
            </w:pPr>
            <w:r>
              <w:rPr>
                <w:rFonts w:ascii="Arial" w:cs="Arial" w:eastAsia="Arial" w:hAnsi="Arial"/>
                <w:sz w:val="18"/>
                <w:szCs w:val="18"/>
                <w:color w:val="auto"/>
              </w:rPr>
              <w:t>+86 (138) 1079-1480</w:t>
            </w:r>
          </w:p>
        </w:tc>
        <w:tc>
          <w:tcPr>
            <w:tcW w:w="60" w:type="dxa"/>
            <w:vAlign w:val="bottom"/>
          </w:tcPr>
          <w:p>
            <w:pPr>
              <w:spacing w:after="0"/>
              <w:rPr>
                <w:sz w:val="18"/>
                <w:szCs w:val="18"/>
                <w:color w:val="auto"/>
              </w:rPr>
            </w:pPr>
          </w:p>
        </w:tc>
        <w:tc>
          <w:tcPr>
            <w:tcW w:w="6460" w:type="dxa"/>
            <w:vAlign w:val="bottom"/>
          </w:tcPr>
          <w:p>
            <w:pPr>
              <w:spacing w:after="0"/>
              <w:rPr>
                <w:sz w:val="18"/>
                <w:szCs w:val="18"/>
                <w:color w:val="auto"/>
              </w:rPr>
            </w:pPr>
          </w:p>
        </w:tc>
      </w:tr>
      <w:tr>
        <w:trPr>
          <w:trHeight w:val="190"/>
        </w:trPr>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480" w:type="dxa"/>
            <w:vAlign w:val="bottom"/>
            <w:gridSpan w:val="3"/>
          </w:tcPr>
          <w:p>
            <w:pPr>
              <w:ind w:left="40"/>
              <w:spacing w:after="0" w:line="190" w:lineRule="exact"/>
              <w:rPr>
                <w:sz w:val="20"/>
                <w:szCs w:val="20"/>
                <w:color w:val="auto"/>
              </w:rPr>
            </w:pPr>
            <w:r>
              <w:rPr>
                <w:rFonts w:ascii="Arial" w:cs="Arial" w:eastAsia="Arial" w:hAnsi="Arial"/>
                <w:sz w:val="18"/>
                <w:szCs w:val="18"/>
                <w:i w:val="1"/>
                <w:iCs w:val="1"/>
                <w:color w:val="auto"/>
              </w:rPr>
              <w:t>gary@blueshirtgroup.com</w:t>
            </w:r>
          </w:p>
        </w:tc>
      </w:tr>
      <w:tr>
        <w:trPr>
          <w:trHeight w:val="554"/>
        </w:trPr>
        <w:tc>
          <w:tcPr>
            <w:tcW w:w="3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960" w:type="dxa"/>
            <w:vAlign w:val="bottom"/>
            <w:tcBorders>
              <w:top w:val="single" w:sz="8" w:color="auto"/>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46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4" w:right="339" w:bottom="1440" w:gutter="0" w:footer="0" w:header="0"/>
        </w:sectPr>
      </w:pPr>
    </w:p>
    <w:bookmarkStart w:id="15" w:name="page16"/>
    <w:bookmarkEnd w:id="1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32320" cy="342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34290"/>
                    </a:xfrm>
                    <a:prstGeom prst="rect">
                      <a:avLst/>
                    </a:prstGeom>
                    <a:noFill/>
                  </pic:spPr>
                </pic:pic>
              </a:graphicData>
            </a:graphic>
          </wp:anchor>
        </w:drawing>
        <w:t>Exhibit 99.03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874395</wp:posOffset>
            </wp:positionV>
            <wp:extent cx="7132320" cy="4474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4474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2600" w:right="2600" w:firstLine="19"/>
        <w:spacing w:after="0" w:line="347" w:lineRule="auto"/>
        <w:rPr>
          <w:sz w:val="20"/>
          <w:szCs w:val="20"/>
          <w:color w:val="auto"/>
        </w:rPr>
      </w:pPr>
      <w:r>
        <w:rPr>
          <w:rFonts w:ascii="Arial" w:cs="Arial" w:eastAsia="Arial" w:hAnsi="Arial"/>
          <w:sz w:val="16"/>
          <w:szCs w:val="16"/>
          <w:b w:val="1"/>
          <w:bCs w:val="1"/>
          <w:color w:val="auto"/>
        </w:rPr>
        <w:t>ACM Research Announces Delivery of Smart Megasonix Wafer Cleaning Tool to U.S. Demo Lab of Leading Global Semiconductor Equipment Manufacturer</w:t>
      </w:r>
    </w:p>
    <w:p>
      <w:pPr>
        <w:spacing w:after="0" w:line="14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FREMONT, California, Aug. 5, 2020 (GlobeNewswire) – ACM Research, Inc. (“ACM”) (NASDAQ: ACMR), a leading supplier of wafer cleaning technologies for advanced semiconductor devices, today announced that it has delivered an Ultra C SAPS II tool for R&amp;D to a leading global supplier of semiconductor process equipment for wafer manufacturing. ACM’s SAPS technology will be evaluated at the OEM’s U.S. demo lab to assess its performance with the OEM’s world-class semiconductor processing solutions. This marks the first delivery and installation of Smart Megasonix technology in the United States.</w:t>
      </w:r>
    </w:p>
    <w:p>
      <w:pPr>
        <w:spacing w:after="0" w:line="215" w:lineRule="exact"/>
        <w:rPr>
          <w:sz w:val="20"/>
          <w:szCs w:val="20"/>
          <w:color w:val="auto"/>
        </w:rPr>
      </w:pPr>
    </w:p>
    <w:p>
      <w:pPr>
        <w:ind w:right="60"/>
        <w:spacing w:after="0" w:line="311" w:lineRule="auto"/>
        <w:rPr>
          <w:sz w:val="20"/>
          <w:szCs w:val="20"/>
          <w:color w:val="auto"/>
        </w:rPr>
      </w:pPr>
      <w:r>
        <w:rPr>
          <w:rFonts w:ascii="Arial" w:cs="Arial" w:eastAsia="Arial" w:hAnsi="Arial"/>
          <w:sz w:val="16"/>
          <w:szCs w:val="16"/>
          <w:color w:val="auto"/>
        </w:rPr>
        <w:t>ACM’s President and Chief Executive Officer Dr. David Wang commented, “We are excited to provide our wafer cleaning technology to a leading global semiconductor equipment supplier in the United States. We are confident that ACM’s advanced cleaning capabilities can support industry migration to next-generation process nodes. We view this opportunity as an important milestone toward ACM’s goal of expanding its customer base to North America.”</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color w:val="auto"/>
        </w:rPr>
        <w:t>Installation of the SAPS II tool at the OEM’s demo lab is underway, with support from ACM’s U.S. and international service teams.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ACM Research, Inc.</w:t>
      </w:r>
    </w:p>
    <w:p>
      <w:pPr>
        <w:spacing w:after="0" w:line="256"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ACM develops, manufactures and sells semiconductor process equipment for single-wafer or batch wet cleaning, electroplating, stress-free polishing and thermal processes that are critical to advanced semiconductor device manufacturing, as well as wafer-level packaging. The company is committed to delivering customized, high performance, cost-effective process solutions that semiconductor manufacturers can use in numerous manufacturing steps to improve productivity and product yield.</w:t>
      </w:r>
    </w:p>
    <w:p>
      <w:pPr>
        <w:spacing w:after="0" w:line="214" w:lineRule="exact"/>
        <w:rPr>
          <w:sz w:val="20"/>
          <w:szCs w:val="20"/>
          <w:color w:val="auto"/>
        </w:rPr>
      </w:pPr>
    </w:p>
    <w:p>
      <w:pPr>
        <w:jc w:val="both"/>
        <w:ind w:right="200" w:firstLine="8"/>
        <w:spacing w:after="0" w:line="263" w:lineRule="auto"/>
        <w:tabs>
          <w:tab w:leader="none" w:pos="182" w:val="left"/>
        </w:tabs>
        <w:numPr>
          <w:ilvl w:val="0"/>
          <w:numId w:val="8"/>
        </w:numPr>
        <w:rPr>
          <w:rFonts w:ascii="Arial" w:cs="Arial" w:eastAsia="Arial" w:hAnsi="Arial"/>
          <w:sz w:val="18"/>
          <w:szCs w:val="18"/>
          <w:color w:val="auto"/>
        </w:rPr>
      </w:pPr>
      <w:r>
        <w:rPr>
          <w:rFonts w:ascii="Arial" w:cs="Arial" w:eastAsia="Arial" w:hAnsi="Arial"/>
          <w:sz w:val="18"/>
          <w:szCs w:val="18"/>
          <w:color w:val="auto"/>
        </w:rPr>
        <w:t>ACM Research, Inc. SAPS, SMART MEGASONIX, ULTRA C and the ACM Research logo are trademarks of ACM Research, Inc. For convenience, these trademarks appear in this press release without a ™ symbol, but that practice does not mean that ACM Research will not assert, to the fullest extent under applicable law, its rights to such trademarks.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ectPr>
          <w:pgSz w:w="11900" w:h="16838" w:orient="portrait"/>
          <w:cols w:equalWidth="0" w:num="1">
            <w:col w:w="11240"/>
          </w:cols>
          <w:pgMar w:left="320" w:top="283" w:right="339" w:bottom="0" w:gutter="0" w:footer="0" w:header="0"/>
        </w:sectPr>
      </w:pPr>
    </w:p>
    <w:bookmarkStart w:id="16" w:name="page17"/>
    <w:bookmarkEnd w:id="16"/>
    <w:p>
      <w:pPr>
        <w:spacing w:after="0" w:line="287" w:lineRule="auto"/>
        <w:rPr>
          <w:sz w:val="20"/>
          <w:szCs w:val="20"/>
          <w:color w:val="auto"/>
        </w:rPr>
      </w:pPr>
      <w:r>
        <w:rPr>
          <w:rFonts w:ascii="Arial" w:cs="Arial" w:eastAsia="Arial" w:hAnsi="Arial"/>
          <w:sz w:val="16"/>
          <w:szCs w:val="16"/>
          <w:color w:val="auto"/>
        </w:rPr>
        <w:t>Statements contained in the second paragraph of this press release are not historical facts and may be forward-looking statements within the meaning of the Private Securities Litigation Reform Act of 1995. Forward-looking statements include statements regarding the intent, belief and current expectations with respect to the potential of ACM’s tools to support migration to new process nodes and of ACM to expand to sell more tools in North America. Such statements, which are expectations only, reflect management's current views, are based on certain assumptions, and involve risks and uncertainties. Actual results, events, or performance may differ materially from the above forward-looking statements due to a number of important factors, and will be dependent upon a variety of factors, including, but not limited to, market acceptance of ACM’s SAPS and other technologies, ACM’s ability to compete effectively by, among other things, enhancing its existing tools and achieving market acceptance, ACM’s ability to manage its growth, ACM’s limited experience in selling in North America, potential changes in government trade policies (including the imposition of tariffs by U.S. and PRC governments), and economic concerns, including the unpredictability of current markets resulting from the ongoing COVID-19 pandemic. ACM undertakes no obligation to publicly update these forward-looking statements to reflect events or circumstances that occur after the date hereof or to reflect any change in its expectations with regard to these forward-looking statements or the occurrence of unanticipated events.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220980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25" w:right="379" w:bottom="1440" w:gutter="0" w:footer="0" w:header="0"/>
        </w:sectPr>
      </w:pPr>
    </w:p>
    <w:bookmarkStart w:id="17" w:name="page18"/>
    <w:bookmarkEnd w:id="17"/>
    <w:p>
      <w:pPr>
        <w:spacing w:after="0"/>
        <w:rPr>
          <w:sz w:val="20"/>
          <w:szCs w:val="20"/>
          <w:color w:val="auto"/>
        </w:rPr>
      </w:pPr>
      <w:r>
        <w:rPr>
          <w:rFonts w:ascii="Arial" w:cs="Arial" w:eastAsia="Arial" w:hAnsi="Arial"/>
          <w:sz w:val="18"/>
          <w:szCs w:val="18"/>
          <w:b w:val="1"/>
          <w:bCs w:val="1"/>
          <w:color w:val="auto"/>
        </w:rPr>
        <w:t>For investor and media inquiries, please contact:</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0" w:type="dxa"/>
            <w:vAlign w:val="bottom"/>
          </w:tcPr>
          <w:p>
            <w:pPr>
              <w:spacing w:after="0"/>
              <w:rPr>
                <w:sz w:val="17"/>
                <w:szCs w:val="17"/>
                <w:color w:val="auto"/>
              </w:rPr>
            </w:pPr>
          </w:p>
        </w:tc>
        <w:tc>
          <w:tcPr>
            <w:tcW w:w="2420" w:type="dxa"/>
            <w:vAlign w:val="bottom"/>
            <w:gridSpan w:val="3"/>
          </w:tcPr>
          <w:p>
            <w:pPr>
              <w:spacing w:after="0"/>
              <w:rPr>
                <w:sz w:val="20"/>
                <w:szCs w:val="20"/>
                <w:color w:val="auto"/>
              </w:rPr>
            </w:pPr>
            <w:r>
              <w:rPr>
                <w:rFonts w:ascii="Arial" w:cs="Arial" w:eastAsia="Arial" w:hAnsi="Arial"/>
                <w:sz w:val="18"/>
                <w:szCs w:val="18"/>
                <w:color w:val="auto"/>
              </w:rPr>
              <w:t>In the United States:</w:t>
            </w:r>
          </w:p>
        </w:tc>
        <w:tc>
          <w:tcPr>
            <w:tcW w:w="8480" w:type="dxa"/>
            <w:vAlign w:val="bottom"/>
            <w:gridSpan w:val="3"/>
          </w:tcPr>
          <w:p>
            <w:pPr>
              <w:spacing w:after="0"/>
              <w:rPr>
                <w:sz w:val="20"/>
                <w:szCs w:val="20"/>
                <w:color w:val="auto"/>
              </w:rPr>
            </w:pPr>
            <w:r>
              <w:rPr>
                <w:rFonts w:ascii="Arial" w:cs="Arial" w:eastAsia="Arial" w:hAnsi="Arial"/>
                <w:sz w:val="18"/>
                <w:szCs w:val="18"/>
                <w:color w:val="auto"/>
              </w:rPr>
              <w:t>The Blueshirt Group</w:t>
            </w:r>
          </w:p>
        </w:tc>
      </w:tr>
      <w:tr>
        <w:trPr>
          <w:trHeight w:val="222"/>
        </w:trPr>
        <w:tc>
          <w:tcPr>
            <w:tcW w:w="34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0" w:type="dxa"/>
            <w:vAlign w:val="bottom"/>
          </w:tcPr>
          <w:p>
            <w:pPr>
              <w:spacing w:after="0"/>
              <w:rPr>
                <w:sz w:val="19"/>
                <w:szCs w:val="19"/>
                <w:color w:val="auto"/>
              </w:rPr>
            </w:pPr>
          </w:p>
        </w:tc>
        <w:tc>
          <w:tcPr>
            <w:tcW w:w="8480" w:type="dxa"/>
            <w:vAlign w:val="bottom"/>
            <w:gridSpan w:val="3"/>
          </w:tcPr>
          <w:p>
            <w:pPr>
              <w:ind w:left="40"/>
              <w:spacing w:after="0"/>
              <w:rPr>
                <w:sz w:val="20"/>
                <w:szCs w:val="20"/>
                <w:color w:val="auto"/>
              </w:rPr>
            </w:pPr>
            <w:r>
              <w:rPr>
                <w:rFonts w:ascii="Arial" w:cs="Arial" w:eastAsia="Arial" w:hAnsi="Arial"/>
                <w:sz w:val="18"/>
                <w:szCs w:val="18"/>
                <w:color w:val="auto"/>
              </w:rPr>
              <w:t>Ralph Fong</w:t>
            </w:r>
          </w:p>
        </w:tc>
      </w:tr>
      <w:tr>
        <w:trPr>
          <w:trHeight w:val="216"/>
        </w:trPr>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960" w:type="dxa"/>
            <w:vAlign w:val="bottom"/>
          </w:tcPr>
          <w:p>
            <w:pPr>
              <w:ind w:left="40"/>
              <w:spacing w:after="0"/>
              <w:rPr>
                <w:sz w:val="20"/>
                <w:szCs w:val="20"/>
                <w:color w:val="auto"/>
              </w:rPr>
            </w:pPr>
            <w:r>
              <w:rPr>
                <w:rFonts w:ascii="Arial" w:cs="Arial" w:eastAsia="Arial" w:hAnsi="Arial"/>
                <w:sz w:val="18"/>
                <w:szCs w:val="18"/>
                <w:color w:val="auto"/>
              </w:rPr>
              <w:t>+1 (415) 489-2195</w:t>
            </w:r>
          </w:p>
        </w:tc>
        <w:tc>
          <w:tcPr>
            <w:tcW w:w="60" w:type="dxa"/>
            <w:vAlign w:val="bottom"/>
          </w:tcPr>
          <w:p>
            <w:pPr>
              <w:spacing w:after="0"/>
              <w:rPr>
                <w:sz w:val="18"/>
                <w:szCs w:val="18"/>
                <w:color w:val="auto"/>
              </w:rPr>
            </w:pPr>
          </w:p>
        </w:tc>
        <w:tc>
          <w:tcPr>
            <w:tcW w:w="6460" w:type="dxa"/>
            <w:vAlign w:val="bottom"/>
          </w:tcPr>
          <w:p>
            <w:pPr>
              <w:spacing w:after="0"/>
              <w:rPr>
                <w:sz w:val="18"/>
                <w:szCs w:val="18"/>
                <w:color w:val="auto"/>
              </w:rPr>
            </w:pPr>
          </w:p>
        </w:tc>
      </w:tr>
      <w:tr>
        <w:trPr>
          <w:trHeight w:val="190"/>
        </w:trPr>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2020" w:type="dxa"/>
            <w:vAlign w:val="bottom"/>
            <w:tcBorders>
              <w:bottom w:val="single" w:sz="8" w:color="auto"/>
            </w:tcBorders>
            <w:gridSpan w:val="2"/>
          </w:tcPr>
          <w:p>
            <w:pPr>
              <w:ind w:left="60"/>
              <w:spacing w:after="0" w:line="190" w:lineRule="exact"/>
              <w:rPr>
                <w:sz w:val="20"/>
                <w:szCs w:val="20"/>
                <w:color w:val="auto"/>
              </w:rPr>
            </w:pPr>
            <w:r>
              <w:rPr>
                <w:rFonts w:ascii="Arial" w:cs="Arial" w:eastAsia="Arial" w:hAnsi="Arial"/>
                <w:sz w:val="18"/>
                <w:szCs w:val="18"/>
                <w:i w:val="1"/>
                <w:iCs w:val="1"/>
                <w:color w:val="auto"/>
                <w:w w:val="91"/>
              </w:rPr>
              <w:t>ralph@blueshirtgroup.com</w:t>
            </w:r>
          </w:p>
        </w:tc>
        <w:tc>
          <w:tcPr>
            <w:tcW w:w="6460" w:type="dxa"/>
            <w:vAlign w:val="bottom"/>
          </w:tcPr>
          <w:p>
            <w:pPr>
              <w:spacing w:after="0"/>
              <w:rPr>
                <w:sz w:val="16"/>
                <w:szCs w:val="16"/>
                <w:color w:val="auto"/>
              </w:rPr>
            </w:pPr>
          </w:p>
        </w:tc>
      </w:tr>
      <w:tr>
        <w:trPr>
          <w:trHeight w:val="439"/>
        </w:trPr>
        <w:tc>
          <w:tcPr>
            <w:tcW w:w="340" w:type="dxa"/>
            <w:vAlign w:val="bottom"/>
          </w:tcPr>
          <w:p>
            <w:pPr>
              <w:spacing w:after="0"/>
              <w:rPr>
                <w:sz w:val="24"/>
                <w:szCs w:val="24"/>
                <w:color w:val="auto"/>
              </w:rPr>
            </w:pPr>
          </w:p>
        </w:tc>
        <w:tc>
          <w:tcPr>
            <w:tcW w:w="2420" w:type="dxa"/>
            <w:vAlign w:val="bottom"/>
            <w:gridSpan w:val="3"/>
          </w:tcPr>
          <w:p>
            <w:pPr>
              <w:spacing w:after="0"/>
              <w:rPr>
                <w:sz w:val="20"/>
                <w:szCs w:val="20"/>
                <w:color w:val="auto"/>
              </w:rPr>
            </w:pPr>
            <w:r>
              <w:rPr>
                <w:rFonts w:ascii="Arial" w:cs="Arial" w:eastAsia="Arial" w:hAnsi="Arial"/>
                <w:sz w:val="18"/>
                <w:szCs w:val="18"/>
                <w:color w:val="auto"/>
              </w:rPr>
              <w:t>In China:</w:t>
            </w:r>
          </w:p>
        </w:tc>
        <w:tc>
          <w:tcPr>
            <w:tcW w:w="8480" w:type="dxa"/>
            <w:vAlign w:val="bottom"/>
            <w:gridSpan w:val="3"/>
          </w:tcPr>
          <w:p>
            <w:pPr>
              <w:spacing w:after="0"/>
              <w:rPr>
                <w:sz w:val="20"/>
                <w:szCs w:val="20"/>
                <w:color w:val="auto"/>
              </w:rPr>
            </w:pPr>
            <w:r>
              <w:rPr>
                <w:rFonts w:ascii="Arial" w:cs="Arial" w:eastAsia="Arial" w:hAnsi="Arial"/>
                <w:sz w:val="18"/>
                <w:szCs w:val="18"/>
                <w:color w:val="auto"/>
              </w:rPr>
              <w:t>The Blueshirt Group Asia</w:t>
            </w:r>
          </w:p>
        </w:tc>
      </w:tr>
      <w:tr>
        <w:trPr>
          <w:trHeight w:val="222"/>
        </w:trPr>
        <w:tc>
          <w:tcPr>
            <w:tcW w:w="340" w:type="dxa"/>
            <w:vAlign w:val="bottom"/>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8480" w:type="dxa"/>
            <w:vAlign w:val="bottom"/>
            <w:gridSpan w:val="3"/>
          </w:tcPr>
          <w:p>
            <w:pPr>
              <w:ind w:left="40"/>
              <w:spacing w:after="0"/>
              <w:rPr>
                <w:sz w:val="20"/>
                <w:szCs w:val="20"/>
                <w:color w:val="auto"/>
              </w:rPr>
            </w:pPr>
            <w:r>
              <w:rPr>
                <w:rFonts w:ascii="Arial" w:cs="Arial" w:eastAsia="Arial" w:hAnsi="Arial"/>
                <w:sz w:val="18"/>
                <w:szCs w:val="18"/>
                <w:color w:val="auto"/>
              </w:rPr>
              <w:t>Gary Dvorchak, CFA</w:t>
            </w:r>
          </w:p>
        </w:tc>
      </w:tr>
      <w:tr>
        <w:trPr>
          <w:trHeight w:val="216"/>
        </w:trPr>
        <w:tc>
          <w:tcPr>
            <w:tcW w:w="34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960" w:type="dxa"/>
            <w:vAlign w:val="bottom"/>
          </w:tcPr>
          <w:p>
            <w:pPr>
              <w:ind w:left="40"/>
              <w:spacing w:after="0"/>
              <w:rPr>
                <w:sz w:val="20"/>
                <w:szCs w:val="20"/>
                <w:color w:val="auto"/>
              </w:rPr>
            </w:pPr>
            <w:r>
              <w:rPr>
                <w:rFonts w:ascii="Arial" w:cs="Arial" w:eastAsia="Arial" w:hAnsi="Arial"/>
                <w:sz w:val="18"/>
                <w:szCs w:val="18"/>
                <w:color w:val="auto"/>
              </w:rPr>
              <w:t>+86 (138) 1079-1480</w:t>
            </w:r>
          </w:p>
        </w:tc>
        <w:tc>
          <w:tcPr>
            <w:tcW w:w="60" w:type="dxa"/>
            <w:vAlign w:val="bottom"/>
          </w:tcPr>
          <w:p>
            <w:pPr>
              <w:spacing w:after="0"/>
              <w:rPr>
                <w:sz w:val="18"/>
                <w:szCs w:val="18"/>
                <w:color w:val="auto"/>
              </w:rPr>
            </w:pPr>
          </w:p>
        </w:tc>
        <w:tc>
          <w:tcPr>
            <w:tcW w:w="6460" w:type="dxa"/>
            <w:vAlign w:val="bottom"/>
          </w:tcPr>
          <w:p>
            <w:pPr>
              <w:spacing w:after="0"/>
              <w:rPr>
                <w:sz w:val="18"/>
                <w:szCs w:val="18"/>
                <w:color w:val="auto"/>
              </w:rPr>
            </w:pPr>
          </w:p>
        </w:tc>
      </w:tr>
      <w:tr>
        <w:trPr>
          <w:trHeight w:val="190"/>
        </w:trPr>
        <w:tc>
          <w:tcPr>
            <w:tcW w:w="3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8480" w:type="dxa"/>
            <w:vAlign w:val="bottom"/>
            <w:gridSpan w:val="3"/>
          </w:tcPr>
          <w:p>
            <w:pPr>
              <w:ind w:left="40"/>
              <w:spacing w:after="0" w:line="190" w:lineRule="exact"/>
              <w:rPr>
                <w:sz w:val="20"/>
                <w:szCs w:val="20"/>
                <w:color w:val="auto"/>
              </w:rPr>
            </w:pPr>
            <w:r>
              <w:rPr>
                <w:rFonts w:ascii="Arial" w:cs="Arial" w:eastAsia="Arial" w:hAnsi="Arial"/>
                <w:sz w:val="18"/>
                <w:szCs w:val="18"/>
                <w:i w:val="1"/>
                <w:iCs w:val="1"/>
                <w:color w:val="auto"/>
              </w:rPr>
              <w:t>gary@blueshirtgroup.com</w:t>
            </w:r>
          </w:p>
        </w:tc>
      </w:tr>
      <w:tr>
        <w:trPr>
          <w:trHeight w:val="554"/>
        </w:trPr>
        <w:tc>
          <w:tcPr>
            <w:tcW w:w="3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960" w:type="dxa"/>
            <w:vAlign w:val="bottom"/>
            <w:tcBorders>
              <w:top w:val="single" w:sz="8" w:color="auto"/>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646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36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1)"/>
      <w:numFmt w:val="decimal"/>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lvl w:ilvl="1">
      <w:lvlJc w:val="left"/>
      <w:lvlText w:val="-"/>
      <w:numFmt w:val="bullet"/>
      <w:start w:val="1"/>
    </w:lvl>
  </w:abstractNum>
  <w:abstractNum w:abstractNumId="4">
    <w:nsid w:val="2EB141F2"/>
    <w:multiLevelType w:val="hybridMultilevel"/>
    <w:lvl w:ilvl="0">
      <w:lvlJc w:val="left"/>
      <w:lvlText w:val="•"/>
      <w:numFmt w:val="bullet"/>
      <w:start w:val="1"/>
    </w:lvl>
  </w:abstractNum>
  <w:abstractNum w:abstractNumId="5">
    <w:nsid w:val="41B71EFB"/>
    <w:multiLevelType w:val="hybridMultilevel"/>
    <w:lvl w:ilvl="0">
      <w:lvlJc w:val="left"/>
      <w:lvlText w:val="©"/>
      <w:numFmt w:val="bullet"/>
      <w:start w:val="1"/>
    </w:lvl>
  </w:abstractNum>
  <w:abstractNum w:abstractNumId="6">
    <w:nsid w:val="79E2A9E3"/>
    <w:multiLevelType w:val="hybridMultilevel"/>
    <w:lvl w:ilvl="0">
      <w:lvlJc w:val="left"/>
      <w:lvlText w:val="©"/>
      <w:numFmt w:val="bullet"/>
      <w:start w:val="1"/>
    </w:lvl>
  </w:abstractNum>
  <w:abstractNum w:abstractNumId="7">
    <w:nsid w:val="7545E146"/>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jpe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jpeg"/><Relationship Id="rId32" Type="http://schemas.openxmlformats.org/officeDocument/2006/relationships/image" Target="media/image2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2020-08-05T16:25:28Z</dcterms:created>
  <dcterms:modified xsi:type="dcterms:W3CDTF">2020-08-05T16:25:28Z</dcterms:modified>
</cp:coreProperties>
</file>