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821690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846455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 SECURITIES AND EXCHANGE COMMISSION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February 6, 2026</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ACM Research,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55" w:lineRule="exact"/>
        <w:rPr>
          <w:sz w:val="24"/>
          <w:szCs w:val="24"/>
          <w:color w:val="auto"/>
        </w:rPr>
      </w:pPr>
    </w:p>
    <w:tbl>
      <w:tblPr>
        <w:tblLayout w:type="fixed"/>
        <w:tblInd w:w="280" w:type="dxa"/>
        <w:tblCellMar>
          <w:top w:w="0" w:type="dxa"/>
          <w:left w:w="0" w:type="dxa"/>
          <w:bottom w:w="0" w:type="dxa"/>
          <w:right w:w="0" w:type="dxa"/>
        </w:tblCellMar>
      </w:tblPr>
      <w:tr>
        <w:trPr>
          <w:trHeight w:val="230"/>
        </w:trPr>
        <w:tc>
          <w:tcPr>
            <w:tcW w:w="4160" w:type="dxa"/>
            <w:vAlign w:val="bottom"/>
          </w:tcPr>
          <w:p>
            <w:pPr>
              <w:jc w:val="center"/>
              <w:ind w:right="89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right"/>
              <w:ind w:right="1233"/>
              <w:spacing w:after="0"/>
              <w:rPr>
                <w:sz w:val="20"/>
                <w:szCs w:val="20"/>
                <w:color w:val="auto"/>
              </w:rPr>
            </w:pPr>
            <w:r>
              <w:rPr>
                <w:rFonts w:ascii="Times New Roman" w:cs="Times New Roman" w:eastAsia="Times New Roman" w:hAnsi="Times New Roman"/>
                <w:sz w:val="17"/>
                <w:szCs w:val="17"/>
                <w:b w:val="1"/>
                <w:bCs w:val="1"/>
                <w:color w:val="auto"/>
              </w:rPr>
              <w:t>001-38273</w:t>
            </w:r>
          </w:p>
        </w:tc>
        <w:tc>
          <w:tcPr>
            <w:tcW w:w="324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94-3290283</w:t>
            </w:r>
          </w:p>
        </w:tc>
      </w:tr>
      <w:tr>
        <w:trPr>
          <w:trHeight w:val="249"/>
        </w:trPr>
        <w:tc>
          <w:tcPr>
            <w:tcW w:w="4160" w:type="dxa"/>
            <w:vAlign w:val="bottom"/>
          </w:tcPr>
          <w:p>
            <w:pPr>
              <w:jc w:val="center"/>
              <w:ind w:right="873"/>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tc>
        <w:tc>
          <w:tcPr>
            <w:tcW w:w="2880" w:type="dxa"/>
            <w:vAlign w:val="bottom"/>
          </w:tcPr>
          <w:p>
            <w:pPr>
              <w:jc w:val="center"/>
              <w:ind w:right="433"/>
              <w:spacing w:after="0"/>
              <w:rPr>
                <w:sz w:val="20"/>
                <w:szCs w:val="20"/>
                <w:color w:val="auto"/>
              </w:rPr>
            </w:pPr>
            <w:r>
              <w:rPr>
                <w:rFonts w:ascii="Times New Roman" w:cs="Times New Roman" w:eastAsia="Times New Roman" w:hAnsi="Times New Roman"/>
                <w:sz w:val="17"/>
                <w:szCs w:val="17"/>
                <w:i w:val="1"/>
                <w:iCs w:val="1"/>
                <w:color w:val="auto"/>
              </w:rPr>
              <w:t>(Commission File Number)</w:t>
            </w:r>
          </w:p>
        </w:tc>
        <w:tc>
          <w:tcPr>
            <w:tcW w:w="3240" w:type="dxa"/>
            <w:vAlign w:val="bottom"/>
          </w:tcPr>
          <w:p>
            <w:pPr>
              <w:jc w:val="center"/>
              <w:ind w:left="773"/>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tc>
      </w:tr>
      <w:tr>
        <w:trPr>
          <w:trHeight w:val="557"/>
        </w:trPr>
        <w:tc>
          <w:tcPr>
            <w:tcW w:w="4160" w:type="dxa"/>
            <w:vAlign w:val="bottom"/>
          </w:tcPr>
          <w:p>
            <w:pPr>
              <w:jc w:val="center"/>
              <w:ind w:left="813"/>
              <w:spacing w:after="0"/>
              <w:rPr>
                <w:sz w:val="20"/>
                <w:szCs w:val="20"/>
                <w:color w:val="auto"/>
              </w:rPr>
            </w:pPr>
            <w:r>
              <w:rPr>
                <w:rFonts w:ascii="Times New Roman" w:cs="Times New Roman" w:eastAsia="Times New Roman" w:hAnsi="Times New Roman"/>
                <w:sz w:val="17"/>
                <w:szCs w:val="17"/>
                <w:b w:val="1"/>
                <w:bCs w:val="1"/>
                <w:color w:val="auto"/>
              </w:rPr>
              <w:t>42307 Osgood Road, Suite I</w:t>
            </w: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3"/>
        </w:trPr>
        <w:tc>
          <w:tcPr>
            <w:tcW w:w="4160" w:type="dxa"/>
            <w:vAlign w:val="bottom"/>
          </w:tcPr>
          <w:p>
            <w:pPr>
              <w:jc w:val="center"/>
              <w:ind w:left="813"/>
              <w:spacing w:after="0"/>
              <w:rPr>
                <w:sz w:val="20"/>
                <w:szCs w:val="20"/>
                <w:color w:val="auto"/>
              </w:rPr>
            </w:pPr>
            <w:r>
              <w:rPr>
                <w:rFonts w:ascii="Times New Roman" w:cs="Times New Roman" w:eastAsia="Times New Roman" w:hAnsi="Times New Roman"/>
                <w:sz w:val="17"/>
                <w:szCs w:val="17"/>
                <w:b w:val="1"/>
                <w:bCs w:val="1"/>
                <w:color w:val="auto"/>
              </w:rPr>
              <w:t>Fremont, California</w:t>
            </w:r>
          </w:p>
        </w:tc>
        <w:tc>
          <w:tcPr>
            <w:tcW w:w="2880" w:type="dxa"/>
            <w:vAlign w:val="bottom"/>
          </w:tcPr>
          <w:p>
            <w:pPr>
              <w:spacing w:after="0"/>
              <w:rPr>
                <w:sz w:val="21"/>
                <w:szCs w:val="21"/>
                <w:color w:val="auto"/>
              </w:rPr>
            </w:pPr>
          </w:p>
        </w:tc>
        <w:tc>
          <w:tcPr>
            <w:tcW w:w="3240" w:type="dxa"/>
            <w:vAlign w:val="bottom"/>
          </w:tcPr>
          <w:p>
            <w:pPr>
              <w:jc w:val="right"/>
              <w:ind w:right="1833"/>
              <w:spacing w:after="0"/>
              <w:rPr>
                <w:sz w:val="20"/>
                <w:szCs w:val="20"/>
                <w:color w:val="auto"/>
              </w:rPr>
            </w:pPr>
            <w:r>
              <w:rPr>
                <w:rFonts w:ascii="Times New Roman" w:cs="Times New Roman" w:eastAsia="Times New Roman" w:hAnsi="Times New Roman"/>
                <w:sz w:val="17"/>
                <w:szCs w:val="17"/>
                <w:b w:val="1"/>
                <w:bCs w:val="1"/>
                <w:color w:val="auto"/>
              </w:rPr>
              <w:t>94539</w:t>
            </w:r>
          </w:p>
        </w:tc>
      </w:tr>
      <w:tr>
        <w:trPr>
          <w:trHeight w:val="249"/>
        </w:trPr>
        <w:tc>
          <w:tcPr>
            <w:tcW w:w="4160" w:type="dxa"/>
            <w:vAlign w:val="bottom"/>
          </w:tcPr>
          <w:p>
            <w:pPr>
              <w:jc w:val="center"/>
              <w:ind w:left="813"/>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tc>
        <w:tc>
          <w:tcPr>
            <w:tcW w:w="2880" w:type="dxa"/>
            <w:vAlign w:val="bottom"/>
          </w:tcPr>
          <w:p>
            <w:pPr>
              <w:spacing w:after="0"/>
              <w:rPr>
                <w:sz w:val="21"/>
                <w:szCs w:val="21"/>
                <w:color w:val="auto"/>
              </w:rPr>
            </w:pPr>
          </w:p>
        </w:tc>
        <w:tc>
          <w:tcPr>
            <w:tcW w:w="3240" w:type="dxa"/>
            <w:vAlign w:val="bottom"/>
          </w:tcPr>
          <w:p>
            <w:pPr>
              <w:jc w:val="center"/>
              <w:ind w:right="933"/>
              <w:spacing w:after="0"/>
              <w:rPr>
                <w:sz w:val="20"/>
                <w:szCs w:val="20"/>
                <w:color w:val="auto"/>
              </w:rPr>
            </w:pPr>
            <w:r>
              <w:rPr>
                <w:rFonts w:ascii="Times New Roman" w:cs="Times New Roman" w:eastAsia="Times New Roman" w:hAnsi="Times New Roman"/>
                <w:sz w:val="17"/>
                <w:szCs w:val="17"/>
                <w:i w:val="1"/>
                <w:iCs w:val="1"/>
                <w:color w:val="auto"/>
              </w:rPr>
              <w:t>(Zip Code)</w:t>
            </w:r>
          </w:p>
        </w:tc>
      </w:tr>
    </w:tbl>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(510) 445-3700</w:t>
      </w:r>
    </w:p>
    <w:p>
      <w:pPr>
        <w:spacing w:after="0" w:line="226" w:lineRule="exact"/>
        <w:rPr>
          <w:sz w:val="24"/>
          <w:szCs w:val="24"/>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53" w:lineRule="exact"/>
        <w:rPr>
          <w:rFonts w:ascii="Wingdings" w:cs="Wingdings" w:eastAsia="Wingdings" w:hAnsi="Wingdings"/>
          <w:sz w:val="17"/>
          <w:szCs w:val="17"/>
          <w:b w:val="1"/>
          <w:bCs w:val="1"/>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53" w:lineRule="exact"/>
        <w:rPr>
          <w:rFonts w:ascii="Wingdings" w:cs="Wingdings" w:eastAsia="Wingdings" w:hAnsi="Wingdings"/>
          <w:sz w:val="17"/>
          <w:szCs w:val="17"/>
          <w:b w:val="1"/>
          <w:bCs w:val="1"/>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53" w:lineRule="exact"/>
        <w:rPr>
          <w:rFonts w:ascii="Wingdings" w:cs="Wingdings" w:eastAsia="Wingdings" w:hAnsi="Wingdings"/>
          <w:sz w:val="17"/>
          <w:szCs w:val="17"/>
          <w:b w:val="1"/>
          <w:bCs w:val="1"/>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492"/>
        </w:trPr>
        <w:tc>
          <w:tcPr>
            <w:tcW w:w="36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693"/>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5"/>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Class A Common Stock, par value $0.0001 per</w:t>
            </w:r>
          </w:p>
        </w:tc>
        <w:tc>
          <w:tcPr>
            <w:tcW w:w="3020" w:type="dxa"/>
            <w:vAlign w:val="bottom"/>
            <w:gridSpan w:val="2"/>
          </w:tcPr>
          <w:p>
            <w:pPr>
              <w:jc w:val="center"/>
              <w:ind w:right="860"/>
              <w:spacing w:after="0"/>
              <w:rPr>
                <w:sz w:val="20"/>
                <w:szCs w:val="20"/>
                <w:color w:val="auto"/>
              </w:rPr>
            </w:pPr>
            <w:r>
              <w:rPr>
                <w:rFonts w:ascii="Times New Roman" w:cs="Times New Roman" w:eastAsia="Times New Roman" w:hAnsi="Times New Roman"/>
                <w:sz w:val="17"/>
                <w:szCs w:val="17"/>
                <w:color w:val="auto"/>
              </w:rPr>
              <w:t>ACMR</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97"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7"/>
          <w:szCs w:val="17"/>
          <w:b w:val="1"/>
          <w:bCs w:val="1"/>
          <w:color w:val="auto"/>
        </w:rPr>
        <w:t>o</w:t>
      </w:r>
    </w:p>
    <w:p>
      <w:pPr>
        <w:spacing w:after="0" w:line="146"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791210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162560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previously disclosed, on January 30, 2026, ACM Research (Shanghai), Inc. (“ACM Shanghai”), the operating subsidiary of ACM Research, Inc. (the “Company”) issued a notice to the Shanghai Stock Exchange (the “SSE”) that the Company intends to sell 4,801,648 shares (the “Shares”) of ACM Shanghai through an inquiry-based share transfer plan (the “Plan”). On February 2, 2026, ACM Shanghai issued a subsequent notice (the “Pricing Notice”) to the SSE announcing RMB 160.00 (approximately $23.05) as the preliminarily determined transfer price per Share to be sold under the Plan. On February 6, 2026, ACM Shanghai issued a second subsequent notice (the “Results Notice”) to the SSE announcing the Company sold 4,801,648 Shares at a price of RMB 160.00 (approximately $23.05) per Share. Upon completion of the sale of the Shares under the Plan, the Company’s aggregate ownership percentage in ACM Shanghai decreased from 74.84% to 73.72%. A copy of the Results Notice is attached as Exhibit 99.1 hereto.</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the Company under the Securities Act of 1933, as amended.</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that involve risks and uncertainties. These risks and uncertainties include market conditions, judicial freezing, enforcement, compulsory disposition, completion of the sale of the Shares through the China Securities Depository and Clearing Corporation Limited, Shanghai Branch, and other risks detailed from time to time in the Company’s periodic reports and other filings with the U.S. Securities and Exchange Commission. You are cautioned not to place undue reliance on forward-looking statements, which are based on the Company’s current intentions,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1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15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(d)</w:t>
        <w:tab/>
        <w:t>Exhibits.</w:t>
      </w:r>
    </w:p>
    <w:p>
      <w:pPr>
        <w:spacing w:after="0" w:line="220" w:lineRule="exact"/>
        <w:rPr>
          <w:sz w:val="20"/>
          <w:szCs w:val="20"/>
          <w:color w:val="auto"/>
        </w:rPr>
      </w:pPr>
    </w:p>
    <w:p>
      <w:pPr>
        <w:ind w:left="200"/>
        <w:spacing w:after="0"/>
        <w:tabs>
          <w:tab w:leader="none" w:pos="5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u w:val="single" w:color="auto"/>
          <w:color w:val="0000FF"/>
        </w:rPr>
        <w:t>99.1</w:t>
      </w:r>
      <w:r>
        <w:rPr>
          <w:rFonts w:ascii="Times New Roman" w:cs="Times New Roman" w:eastAsia="Times New Roman" w:hAnsi="Times New Roman"/>
          <w:sz w:val="16"/>
          <w:szCs w:val="16"/>
          <w:color w:val="000000"/>
        </w:rPr>
        <w:t>*</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ACM Research (Shanghai), Inc. Report on Results of Shareholder Inquiry-Based Transfer and Indicative Announcement of Change in Equity by Shareholders Holding 5% or More of Shares Reaching an Integer Multiple of 1%, submitted by ACM Research, Inc. to the Shanghai Stock Exchange on February 6,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XBRL document)</w:t>
      </w:r>
    </w:p>
    <w:p>
      <w:pPr>
        <w:spacing w:after="0" w:line="318" w:lineRule="exact"/>
        <w:rPr>
          <w:sz w:val="20"/>
          <w:szCs w:val="20"/>
          <w:color w:val="auto"/>
        </w:rPr>
      </w:pPr>
    </w:p>
    <w:p>
      <w:pPr>
        <w:sectPr>
          <w:pgSz w:w="11900" w:h="16838" w:orient="portrait"/>
          <w:cols w:equalWidth="0" w:num="2">
            <w:col w:w="620" w:space="600"/>
            <w:col w:w="10020"/>
          </w:cols>
          <w:pgMar w:left="320" w:top="1365"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ACM RESEARCH, INC.</w:t>
      </w:r>
    </w:p>
    <w:p>
      <w:pPr>
        <w:spacing w:after="0" w:line="390" w:lineRule="exact"/>
        <w:rPr>
          <w:sz w:val="20"/>
          <w:szCs w:val="20"/>
          <w:color w:val="auto"/>
        </w:rPr>
      </w:pPr>
    </w:p>
    <w:p>
      <w:pPr>
        <w:ind w:left="4100"/>
        <w:spacing w:after="0"/>
        <w:tabs>
          <w:tab w:leader="none" w:pos="45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280"/>
        <w:spacing w:after="0" w:line="225" w:lineRule="auto"/>
        <w:rPr>
          <w:sz w:val="20"/>
          <w:szCs w:val="20"/>
          <w:color w:val="auto"/>
        </w:rPr>
      </w:pPr>
      <w:r>
        <w:rPr>
          <w:rFonts w:ascii="Times New Roman" w:cs="Times New Roman" w:eastAsia="Times New Roman" w:hAnsi="Times New Roman"/>
          <w:sz w:val="17"/>
          <w:szCs w:val="17"/>
          <w:color w:val="auto"/>
        </w:rPr>
        <w:t>Mark McKechnie</w:t>
      </w:r>
    </w:p>
    <w:p>
      <w:pPr>
        <w:ind w:left="442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5"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740" w:val="left"/>
          <w:tab w:leader="none" w:pos="4740" w:val="left"/>
        </w:tabs>
        <w:rPr>
          <w:sz w:val="20"/>
          <w:szCs w:val="20"/>
          <w:color w:val="auto"/>
        </w:rPr>
      </w:pPr>
      <w:r>
        <w:rPr>
          <w:rFonts w:ascii="Times New Roman" w:cs="Times New Roman" w:eastAsia="Times New Roman" w:hAnsi="Times New Roman"/>
          <w:sz w:val="19"/>
          <w:szCs w:val="19"/>
          <w:color w:val="auto"/>
        </w:rPr>
        <w:t>Stock Code: 688082</w:t>
        <w:tab/>
        <w:t>Stock Abbreviation: ACM Shanghai</w:t>
        <w:tab/>
        <w:t>Announcement No.: 2026-005</w:t>
      </w: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FF0000"/>
        </w:rPr>
        <w:t>ACM Research (Shanghai), Inc.</w:t>
      </w:r>
    </w:p>
    <w:p>
      <w:pPr>
        <w:spacing w:after="0" w:line="53" w:lineRule="exact"/>
        <w:rPr>
          <w:sz w:val="20"/>
          <w:szCs w:val="20"/>
          <w:color w:val="auto"/>
        </w:rPr>
      </w:pPr>
    </w:p>
    <w:p>
      <w:pPr>
        <w:jc w:val="center"/>
        <w:ind w:right="100"/>
        <w:spacing w:after="0" w:line="262" w:lineRule="auto"/>
        <w:rPr>
          <w:sz w:val="20"/>
          <w:szCs w:val="20"/>
          <w:color w:val="auto"/>
        </w:rPr>
      </w:pPr>
      <w:r>
        <w:rPr>
          <w:rFonts w:ascii="Times New Roman" w:cs="Times New Roman" w:eastAsia="Times New Roman" w:hAnsi="Times New Roman"/>
          <w:sz w:val="31"/>
          <w:szCs w:val="31"/>
          <w:b w:val="1"/>
          <w:bCs w:val="1"/>
          <w:color w:val="FF0000"/>
        </w:rPr>
        <w:t>Report on Results of Shareholder Inquiry-Based Transfer and Indicative Announcement on Change in Equity by Shareholders Holding 5% or More of Shares Reaching an Integer Multiple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227965</wp:posOffset>
            </wp:positionV>
            <wp:extent cx="6931025" cy="1440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1025" cy="14408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500" w:firstLine="420"/>
        <w:spacing w:after="0" w:line="361" w:lineRule="auto"/>
        <w:rPr>
          <w:sz w:val="20"/>
          <w:szCs w:val="20"/>
          <w:color w:val="auto"/>
        </w:rPr>
      </w:pPr>
      <w:r>
        <w:rPr>
          <w:rFonts w:ascii="Times New Roman" w:cs="Times New Roman" w:eastAsia="Times New Roman" w:hAnsi="Times New Roman"/>
          <w:sz w:val="21"/>
          <w:szCs w:val="21"/>
          <w:color w:val="auto"/>
        </w:rPr>
        <w:t>ACM RESEARCH, INC. (hereinafter referred to as “ACMR US” or the “Transferor”) warrants that the information provi to ACM Research (Shanghai), Inc. (hereinafter referred to as the “Company” or “ACM Shanghai”) contains no false recor misleading statements or material omissions, and is legally liable for its authenticity, accuracy and completeness thereof accordance with the law.</w:t>
      </w:r>
    </w:p>
    <w:p>
      <w:pPr>
        <w:spacing w:after="0" w:line="3" w:lineRule="exact"/>
        <w:rPr>
          <w:sz w:val="20"/>
          <w:szCs w:val="20"/>
          <w:color w:val="auto"/>
        </w:rPr>
      </w:pPr>
    </w:p>
    <w:p>
      <w:pPr>
        <w:jc w:val="both"/>
        <w:ind w:left="500" w:firstLine="420"/>
        <w:spacing w:after="0" w:line="398" w:lineRule="auto"/>
        <w:rPr>
          <w:sz w:val="20"/>
          <w:szCs w:val="20"/>
          <w:color w:val="auto"/>
        </w:rPr>
      </w:pPr>
      <w:r>
        <w:rPr>
          <w:rFonts w:ascii="Times New Roman" w:cs="Times New Roman" w:eastAsia="Times New Roman" w:hAnsi="Times New Roman"/>
          <w:sz w:val="21"/>
          <w:szCs w:val="21"/>
          <w:color w:val="auto"/>
        </w:rPr>
        <w:t>ACM Shanghai and all members of its Board of Directors hereby warrant that the content of this announcement is consist with the information provided by the person subject to disclosure obligations.</w:t>
      </w: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Important Notice:</w:t>
      </w: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The price of the Inquiry-Based Transfer is RMB 160.00 per share, with a total of 4,801,648 shares being transferred.</w:t>
      </w:r>
    </w:p>
    <w:p>
      <w:pPr>
        <w:spacing w:after="0" w:line="270" w:lineRule="exact"/>
        <w:rPr>
          <w:sz w:val="20"/>
          <w:szCs w:val="20"/>
          <w:color w:val="auto"/>
        </w:rPr>
      </w:pPr>
    </w:p>
    <w:p>
      <w:pPr>
        <w:jc w:val="both"/>
        <w:ind w:right="100" w:firstLine="472"/>
        <w:spacing w:after="0" w:line="381" w:lineRule="auto"/>
        <w:rPr>
          <w:sz w:val="20"/>
          <w:szCs w:val="20"/>
          <w:color w:val="auto"/>
        </w:rPr>
      </w:pPr>
      <w:r>
        <w:rPr>
          <w:rFonts w:ascii="Times New Roman" w:cs="Times New Roman" w:eastAsia="Times New Roman" w:hAnsi="Times New Roman"/>
          <w:sz w:val="21"/>
          <w:szCs w:val="21"/>
          <w:color w:val="auto"/>
        </w:rPr>
        <w:t>ACMR US, the controlling shareholder of ACM Shanghai, participated in the Inquiry-Based Transfer. ACMR US is a company controlled by HUI WANG, the actual controller and Chairman of ACM Shanghai, and the Transferor in the Inquiry-Based Transfer is acting in concert with HUI WANG and Jian Wang, a Director and General Manager of ACM Shanghai.</w:t>
      </w:r>
    </w:p>
    <w:p>
      <w:pPr>
        <w:spacing w:after="0" w:line="83" w:lineRule="exact"/>
        <w:rPr>
          <w:sz w:val="20"/>
          <w:szCs w:val="20"/>
          <w:color w:val="auto"/>
        </w:rPr>
      </w:pPr>
    </w:p>
    <w:p>
      <w:pPr>
        <w:jc w:val="both"/>
        <w:ind w:right="100" w:firstLine="472"/>
        <w:spacing w:after="0" w:line="381" w:lineRule="auto"/>
        <w:rPr>
          <w:sz w:val="20"/>
          <w:szCs w:val="20"/>
          <w:color w:val="auto"/>
        </w:rPr>
      </w:pPr>
      <w:r>
        <w:rPr>
          <w:rFonts w:ascii="Times New Roman" w:cs="Times New Roman" w:eastAsia="Times New Roman" w:hAnsi="Times New Roman"/>
          <w:sz w:val="21"/>
          <w:szCs w:val="21"/>
          <w:color w:val="auto"/>
        </w:rPr>
        <w:t>ACM Shanghai has no operational risks that should be disclosed but have not been disclosed, nor does it have any other material matters that should be disclosed but have not been disclosed, under Section 2 of Chapter 8 of the Rules Governing the Listing of Stocks on the STAR Market of Shanghai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340"/>
          </w:cols>
          <w:pgMar w:left="320" w:top="125" w:right="239" w:bottom="1440" w:gutter="0" w:footer="0" w:header="0"/>
        </w:sectPr>
      </w:pPr>
    </w:p>
    <w:bookmarkStart w:id="4" w:name="page5"/>
    <w:bookmarkEnd w:id="4"/>
    <w:p>
      <w:pPr>
        <w:jc w:val="right"/>
        <w:ind w:right="1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00" w:firstLine="472"/>
        <w:spacing w:after="0" w:line="398" w:lineRule="auto"/>
        <w:rPr>
          <w:sz w:val="20"/>
          <w:szCs w:val="20"/>
          <w:color w:val="auto"/>
        </w:rPr>
      </w:pPr>
      <w:r>
        <w:rPr>
          <w:rFonts w:ascii="Times New Roman" w:cs="Times New Roman" w:eastAsia="Times New Roman" w:hAnsi="Times New Roman"/>
          <w:sz w:val="21"/>
          <w:szCs w:val="21"/>
          <w:color w:val="auto"/>
        </w:rPr>
        <w:t>This change in equity constitutes a reduction of shareholding and passive dilution, and the transfer will not result in a change of ACM Shanghai’s controlling shareholder or actual controller.</w:t>
      </w:r>
    </w:p>
    <w:p>
      <w:pPr>
        <w:spacing w:after="0" w:line="65" w:lineRule="exact"/>
        <w:rPr>
          <w:sz w:val="20"/>
          <w:szCs w:val="20"/>
          <w:color w:val="auto"/>
        </w:rPr>
      </w:pPr>
    </w:p>
    <w:p>
      <w:pPr>
        <w:jc w:val="both"/>
        <w:ind w:right="100"/>
        <w:spacing w:after="0" w:line="381" w:lineRule="auto"/>
        <w:rPr>
          <w:sz w:val="20"/>
          <w:szCs w:val="20"/>
          <w:color w:val="auto"/>
        </w:rPr>
      </w:pPr>
      <w:r>
        <w:rPr>
          <w:rFonts w:ascii="Times New Roman" w:cs="Times New Roman" w:eastAsia="Times New Roman" w:hAnsi="Times New Roman"/>
          <w:sz w:val="21"/>
          <w:szCs w:val="21"/>
          <w:color w:val="auto"/>
        </w:rPr>
        <w:t>Following this change in equity, the total shareholding percentage of the Transferor, ACMR US, and its parties acting in concert with it will decrease from 74.84% to 73.72%, with the change in equity interest held by them in ACM Shanghai reaching an integer multiple of 1%.</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 Details on the Transferor</w:t>
      </w: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 Basic Information of the Transferor</w:t>
      </w:r>
    </w:p>
    <w:p>
      <w:pPr>
        <w:spacing w:after="0" w:line="274" w:lineRule="exact"/>
        <w:rPr>
          <w:sz w:val="20"/>
          <w:szCs w:val="20"/>
          <w:color w:val="auto"/>
        </w:rPr>
      </w:pPr>
    </w:p>
    <w:p>
      <w:pPr>
        <w:jc w:val="both"/>
        <w:ind w:right="100" w:firstLine="420"/>
        <w:spacing w:after="0" w:line="398" w:lineRule="auto"/>
        <w:rPr>
          <w:sz w:val="20"/>
          <w:szCs w:val="20"/>
          <w:color w:val="auto"/>
        </w:rPr>
      </w:pPr>
      <w:r>
        <w:rPr>
          <w:rFonts w:ascii="Times New Roman" w:cs="Times New Roman" w:eastAsia="Times New Roman" w:hAnsi="Times New Roman"/>
          <w:sz w:val="21"/>
          <w:szCs w:val="21"/>
          <w:color w:val="auto"/>
        </w:rPr>
        <w:t>As of January 30, 2026, the number of shares held by the Transferor and its shareholding percentage in ACM Shanghai are as follows:</w:t>
      </w:r>
    </w:p>
    <w:p>
      <w:pPr>
        <w:spacing w:after="0" w:line="33" w:lineRule="exact"/>
        <w:rPr>
          <w:sz w:val="20"/>
          <w:szCs w:val="20"/>
          <w:color w:val="auto"/>
        </w:rPr>
      </w:pPr>
    </w:p>
    <w:tbl>
      <w:tblPr>
        <w:tblLayout w:type="fixed"/>
        <w:tblInd w:w="430" w:type="dxa"/>
        <w:tblCellMar>
          <w:top w:w="0" w:type="dxa"/>
          <w:left w:w="0" w:type="dxa"/>
          <w:bottom w:w="0" w:type="dxa"/>
          <w:right w:w="0" w:type="dxa"/>
        </w:tblCellMar>
      </w:tblPr>
      <w:tr>
        <w:trPr>
          <w:trHeight w:val="257"/>
        </w:trPr>
        <w:tc>
          <w:tcPr>
            <w:tcW w:w="1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S.N.</w:t>
            </w: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Held (shares)</w:t>
            </w:r>
          </w:p>
        </w:tc>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of Total Share Capit</w:t>
            </w:r>
          </w:p>
        </w:tc>
      </w:tr>
      <w:tr>
        <w:trPr>
          <w:trHeight w:val="32"/>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6"/>
        </w:trPr>
        <w:tc>
          <w:tcPr>
            <w:tcW w:w="1240" w:type="dxa"/>
            <w:vAlign w:val="bottom"/>
            <w:tcBorders>
              <w:left w:val="single" w:sz="8" w:color="auto"/>
              <w:right w:val="single" w:sz="8" w:color="auto"/>
            </w:tcBorders>
          </w:tcPr>
          <w:p>
            <w:pPr>
              <w:jc w:val="right"/>
              <w:ind w:right="488"/>
              <w:spacing w:after="0"/>
              <w:rPr>
                <w:sz w:val="20"/>
                <w:szCs w:val="20"/>
                <w:color w:val="auto"/>
              </w:rPr>
            </w:pPr>
            <w:r>
              <w:rPr>
                <w:rFonts w:ascii="Times New Roman" w:cs="Times New Roman" w:eastAsia="Times New Roman" w:hAnsi="Times New Roman"/>
                <w:sz w:val="18"/>
                <w:szCs w:val="18"/>
                <w:color w:val="auto"/>
              </w:rPr>
              <w:t>1</w:t>
            </w:r>
          </w:p>
        </w:tc>
        <w:tc>
          <w:tcPr>
            <w:tcW w:w="3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 US</w:t>
            </w:r>
          </w:p>
        </w:tc>
        <w:tc>
          <w:tcPr>
            <w:tcW w:w="3800" w:type="dxa"/>
            <w:vAlign w:val="bottom"/>
            <w:tcBorders>
              <w:right w:val="single" w:sz="8" w:color="auto"/>
            </w:tcBorders>
          </w:tcPr>
          <w:p>
            <w:pPr>
              <w:jc w:val="right"/>
              <w:ind w:right="1348"/>
              <w:spacing w:after="0"/>
              <w:rPr>
                <w:sz w:val="20"/>
                <w:szCs w:val="20"/>
                <w:color w:val="auto"/>
              </w:rPr>
            </w:pPr>
            <w:r>
              <w:rPr>
                <w:rFonts w:ascii="Times New Roman" w:cs="Times New Roman" w:eastAsia="Times New Roman" w:hAnsi="Times New Roman"/>
                <w:sz w:val="18"/>
                <w:szCs w:val="18"/>
                <w:color w:val="auto"/>
              </w:rPr>
              <w:t>357,692,308</w:t>
            </w:r>
          </w:p>
        </w:tc>
        <w:tc>
          <w:tcPr>
            <w:tcW w:w="2680" w:type="dxa"/>
            <w:vAlign w:val="bottom"/>
          </w:tcPr>
          <w:p>
            <w:pPr>
              <w:jc w:val="right"/>
              <w:ind w:right="808"/>
              <w:spacing w:after="0"/>
              <w:rPr>
                <w:sz w:val="20"/>
                <w:szCs w:val="20"/>
                <w:color w:val="auto"/>
              </w:rPr>
            </w:pPr>
            <w:r>
              <w:rPr>
                <w:rFonts w:ascii="Times New Roman" w:cs="Times New Roman" w:eastAsia="Times New Roman" w:hAnsi="Times New Roman"/>
                <w:sz w:val="18"/>
                <w:szCs w:val="18"/>
                <w:color w:val="auto"/>
              </w:rPr>
              <w:t>74.49%</w:t>
            </w:r>
          </w:p>
        </w:tc>
      </w:tr>
      <w:tr>
        <w:trPr>
          <w:trHeight w:val="49"/>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9"/>
          <w:szCs w:val="19"/>
          <w:color w:val="auto"/>
        </w:rPr>
        <w:t>Note: The above shareholding percentage is calculated based on ACM Shanghai’s total share capital of 480,164,789 shares as of January 30, 2026.</w:t>
      </w:r>
    </w:p>
    <w:p>
      <w:pPr>
        <w:spacing w:after="0" w:line="200" w:lineRule="exact"/>
        <w:rPr>
          <w:sz w:val="20"/>
          <w:szCs w:val="20"/>
          <w:color w:val="auto"/>
        </w:rPr>
      </w:pPr>
    </w:p>
    <w:p>
      <w:pPr>
        <w:spacing w:after="0" w:line="228" w:lineRule="exact"/>
        <w:rPr>
          <w:sz w:val="20"/>
          <w:szCs w:val="20"/>
          <w:color w:val="auto"/>
        </w:rPr>
      </w:pPr>
    </w:p>
    <w:p>
      <w:pPr>
        <w:jc w:val="both"/>
        <w:ind w:right="100" w:firstLine="420"/>
        <w:spacing w:after="0" w:line="371" w:lineRule="auto"/>
        <w:rPr>
          <w:sz w:val="20"/>
          <w:szCs w:val="20"/>
          <w:color w:val="auto"/>
        </w:rPr>
      </w:pPr>
      <w:r>
        <w:rPr>
          <w:rFonts w:ascii="Times New Roman" w:cs="Times New Roman" w:eastAsia="Times New Roman" w:hAnsi="Times New Roman"/>
          <w:sz w:val="21"/>
          <w:szCs w:val="21"/>
          <w:color w:val="auto"/>
        </w:rPr>
        <w:t>The Transferor, ACMR US, in the Inquiry-Based Transfer is the controlling shareholder of ACM Shanghai, and a company controlled by HUI WANG, the actual controller and Chairman of ACM Shanghai, and the Transferor in the Inquiry-Based Transfer is a party acting in concert with HUI WANG and Jian Wang, a Director and General Manager of ACM Shanghai, and the concert parties collectively hold more than 5% of the total share capital of ACM Shanghai.</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b w:val="1"/>
          <w:bCs w:val="1"/>
          <w:color w:val="auto"/>
        </w:rPr>
        <w:t>(II) Explanation on the Acting-in-Concert Relationship of the Transferor and Specific Circumstances</w:t>
      </w:r>
    </w:p>
    <w:p>
      <w:pPr>
        <w:spacing w:after="0" w:line="261" w:lineRule="exact"/>
        <w:rPr>
          <w:sz w:val="20"/>
          <w:szCs w:val="20"/>
          <w:color w:val="auto"/>
        </w:rPr>
      </w:pPr>
    </w:p>
    <w:p>
      <w:pPr>
        <w:jc w:val="both"/>
        <w:ind w:right="100" w:firstLine="420"/>
        <w:spacing w:after="0" w:line="398" w:lineRule="auto"/>
        <w:rPr>
          <w:sz w:val="20"/>
          <w:szCs w:val="20"/>
          <w:color w:val="auto"/>
        </w:rPr>
      </w:pPr>
      <w:r>
        <w:rPr>
          <w:rFonts w:ascii="Times New Roman" w:cs="Times New Roman" w:eastAsia="Times New Roman" w:hAnsi="Times New Roman"/>
          <w:sz w:val="21"/>
          <w:szCs w:val="21"/>
          <w:color w:val="auto"/>
        </w:rPr>
        <w:t>The Transferor, ACMR US, in the Inquiry-Based Transfer is acting in concert with HUI WANG, the actual controller and Chairman of ACM Shanghai, and Jian Wang, a Director and General Manager of ACM Shanghai.</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(III) Specific Details on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340"/>
          </w:cols>
          <w:pgMar w:left="320" w:top="230" w:right="239" w:bottom="1440" w:gutter="0" w:footer="0" w:header="0"/>
        </w:sectPr>
      </w:pPr>
    </w:p>
    <w:bookmarkStart w:id="5" w:name="page6"/>
    <w:bookmarkEnd w:id="5"/>
    <w:p>
      <w:pPr>
        <w:jc w:val="right"/>
        <w:ind w:right="1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30" w:type="dxa"/>
        <w:tblCellMar>
          <w:top w:w="0" w:type="dxa"/>
          <w:left w:w="0" w:type="dxa"/>
          <w:bottom w:w="0" w:type="dxa"/>
          <w:right w:w="0" w:type="dxa"/>
        </w:tblCellMar>
      </w:tblPr>
      <w:tr>
        <w:trPr>
          <w:trHeight w:val="377"/>
        </w:trPr>
        <w:tc>
          <w:tcPr>
            <w:tcW w:w="620" w:type="dxa"/>
            <w:vAlign w:val="bottom"/>
            <w:tcBorders>
              <w:top w:val="single" w:sz="8" w:color="1F497D"/>
              <w:left w:val="single" w:sz="8" w:color="auto"/>
              <w:right w:val="single" w:sz="8" w:color="1F497D"/>
            </w:tcBorders>
          </w:tcPr>
          <w:p>
            <w:pPr>
              <w:spacing w:after="0"/>
              <w:rPr>
                <w:sz w:val="24"/>
                <w:szCs w:val="24"/>
                <w:color w:val="auto"/>
              </w:rPr>
            </w:pPr>
          </w:p>
        </w:tc>
        <w:tc>
          <w:tcPr>
            <w:tcW w:w="1480" w:type="dxa"/>
            <w:vAlign w:val="bottom"/>
            <w:tcBorders>
              <w:top w:val="single" w:sz="8" w:color="1F497D"/>
              <w:right w:val="single" w:sz="8" w:color="1F497D"/>
            </w:tcBorders>
          </w:tcPr>
          <w:p>
            <w:pPr>
              <w:spacing w:after="0"/>
              <w:rPr>
                <w:sz w:val="24"/>
                <w:szCs w:val="24"/>
                <w:color w:val="auto"/>
              </w:rPr>
            </w:pPr>
          </w:p>
        </w:tc>
        <w:tc>
          <w:tcPr>
            <w:tcW w:w="1680" w:type="dxa"/>
            <w:vAlign w:val="bottom"/>
            <w:tcBorders>
              <w:top w:val="single" w:sz="8" w:color="1F497D"/>
              <w:right w:val="single" w:sz="8" w:color="1F497D"/>
            </w:tcBorders>
          </w:tcPr>
          <w:p>
            <w:pPr>
              <w:spacing w:after="0"/>
              <w:rPr>
                <w:sz w:val="24"/>
                <w:szCs w:val="24"/>
                <w:color w:val="auto"/>
              </w:rPr>
            </w:pPr>
          </w:p>
        </w:tc>
        <w:tc>
          <w:tcPr>
            <w:tcW w:w="1640" w:type="dxa"/>
            <w:vAlign w:val="bottom"/>
            <w:tcBorders>
              <w:top w:val="single" w:sz="8" w:color="1F497D"/>
              <w:right w:val="single" w:sz="8" w:color="1F497D"/>
            </w:tcBorders>
          </w:tcPr>
          <w:p>
            <w:pPr>
              <w:spacing w:after="0"/>
              <w:rPr>
                <w:sz w:val="24"/>
                <w:szCs w:val="24"/>
                <w:color w:val="auto"/>
              </w:rPr>
            </w:pPr>
          </w:p>
        </w:tc>
        <w:tc>
          <w:tcPr>
            <w:tcW w:w="142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42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38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280" w:type="dxa"/>
            <w:vAlign w:val="bottom"/>
            <w:tcBorders>
              <w:top w:val="single" w:sz="8" w:color="1F497D"/>
            </w:tcBorders>
            <w:vMerge w:val="restart"/>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8"/>
              </w:rPr>
              <w:t>Shareholding</w:t>
            </w:r>
          </w:p>
        </w:tc>
        <w:tc>
          <w:tcPr>
            <w:tcW w:w="0" w:type="dxa"/>
            <w:vAlign w:val="bottom"/>
          </w:tcPr>
          <w:p>
            <w:pPr>
              <w:spacing w:after="0"/>
              <w:rPr>
                <w:sz w:val="1"/>
                <w:szCs w:val="1"/>
                <w:color w:val="auto"/>
              </w:rPr>
            </w:pPr>
          </w:p>
        </w:tc>
      </w:tr>
      <w:tr>
        <w:trPr>
          <w:trHeight w:val="92"/>
        </w:trPr>
        <w:tc>
          <w:tcPr>
            <w:tcW w:w="620" w:type="dxa"/>
            <w:vAlign w:val="bottom"/>
            <w:tcBorders>
              <w:left w:val="single" w:sz="8" w:color="auto"/>
              <w:right w:val="single" w:sz="8" w:color="1F497D"/>
            </w:tcBorders>
          </w:tcPr>
          <w:p>
            <w:pPr>
              <w:spacing w:after="0"/>
              <w:rPr>
                <w:sz w:val="7"/>
                <w:szCs w:val="7"/>
                <w:color w:val="auto"/>
              </w:rPr>
            </w:pPr>
          </w:p>
        </w:tc>
        <w:tc>
          <w:tcPr>
            <w:tcW w:w="14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w:t>
            </w:r>
          </w:p>
        </w:tc>
        <w:tc>
          <w:tcPr>
            <w:tcW w:w="16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Held</w:t>
            </w:r>
          </w:p>
        </w:tc>
        <w:tc>
          <w:tcPr>
            <w:tcW w:w="16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Shareholding</w:t>
            </w:r>
          </w:p>
        </w:tc>
        <w:tc>
          <w:tcPr>
            <w:tcW w:w="1420" w:type="dxa"/>
            <w:vAlign w:val="bottom"/>
            <w:tcBorders>
              <w:right w:val="single" w:sz="8" w:color="1F497D"/>
            </w:tcBorders>
            <w:vMerge w:val="continue"/>
          </w:tcPr>
          <w:p>
            <w:pPr>
              <w:spacing w:after="0"/>
              <w:rPr>
                <w:sz w:val="7"/>
                <w:szCs w:val="7"/>
                <w:color w:val="auto"/>
              </w:rPr>
            </w:pPr>
          </w:p>
        </w:tc>
        <w:tc>
          <w:tcPr>
            <w:tcW w:w="14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Actually</w:t>
            </w:r>
          </w:p>
        </w:tc>
        <w:tc>
          <w:tcPr>
            <w:tcW w:w="1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Actually</w:t>
            </w: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20" w:type="dxa"/>
            <w:vAlign w:val="bottom"/>
            <w:tcBorders>
              <w:left w:val="single" w:sz="8" w:color="auto"/>
              <w:right w:val="single" w:sz="8" w:color="1F497D"/>
            </w:tcBorders>
          </w:tcPr>
          <w:p>
            <w:pPr>
              <w:spacing w:after="0"/>
              <w:rPr>
                <w:sz w:val="7"/>
                <w:szCs w:val="7"/>
                <w:color w:val="auto"/>
              </w:rPr>
            </w:pPr>
          </w:p>
        </w:tc>
        <w:tc>
          <w:tcPr>
            <w:tcW w:w="1480" w:type="dxa"/>
            <w:vAlign w:val="bottom"/>
            <w:tcBorders>
              <w:right w:val="single" w:sz="8" w:color="1F497D"/>
            </w:tcBorders>
            <w:vMerge w:val="continue"/>
          </w:tcPr>
          <w:p>
            <w:pPr>
              <w:spacing w:after="0"/>
              <w:rPr>
                <w:sz w:val="7"/>
                <w:szCs w:val="7"/>
                <w:color w:val="auto"/>
              </w:rPr>
            </w:pPr>
          </w:p>
        </w:tc>
        <w:tc>
          <w:tcPr>
            <w:tcW w:w="1680" w:type="dxa"/>
            <w:vAlign w:val="bottom"/>
            <w:tcBorders>
              <w:right w:val="single" w:sz="8" w:color="1F497D"/>
            </w:tcBorders>
            <w:vMerge w:val="continue"/>
          </w:tcPr>
          <w:p>
            <w:pPr>
              <w:spacing w:after="0"/>
              <w:rPr>
                <w:sz w:val="7"/>
                <w:szCs w:val="7"/>
                <w:color w:val="auto"/>
              </w:rPr>
            </w:pPr>
          </w:p>
        </w:tc>
        <w:tc>
          <w:tcPr>
            <w:tcW w:w="1640" w:type="dxa"/>
            <w:vAlign w:val="bottom"/>
            <w:tcBorders>
              <w:right w:val="single" w:sz="8" w:color="1F497D"/>
            </w:tcBorders>
            <w:vMerge w:val="continue"/>
          </w:tcPr>
          <w:p>
            <w:pPr>
              <w:spacing w:after="0"/>
              <w:rPr>
                <w:sz w:val="7"/>
                <w:szCs w:val="7"/>
                <w:color w:val="auto"/>
              </w:rPr>
            </w:pPr>
          </w:p>
        </w:tc>
        <w:tc>
          <w:tcPr>
            <w:tcW w:w="14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Intended to be</w:t>
            </w:r>
          </w:p>
        </w:tc>
        <w:tc>
          <w:tcPr>
            <w:tcW w:w="1420" w:type="dxa"/>
            <w:vAlign w:val="bottom"/>
            <w:tcBorders>
              <w:right w:val="single" w:sz="8" w:color="1F497D"/>
            </w:tcBorders>
            <w:vMerge w:val="continue"/>
          </w:tcPr>
          <w:p>
            <w:pPr>
              <w:spacing w:after="0"/>
              <w:rPr>
                <w:sz w:val="7"/>
                <w:szCs w:val="7"/>
                <w:color w:val="auto"/>
              </w:rPr>
            </w:pPr>
          </w:p>
        </w:tc>
        <w:tc>
          <w:tcPr>
            <w:tcW w:w="1380" w:type="dxa"/>
            <w:vAlign w:val="bottom"/>
            <w:tcBorders>
              <w:right w:val="single" w:sz="8" w:color="1F497D"/>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2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S.N.</w:t>
            </w:r>
          </w:p>
        </w:tc>
        <w:tc>
          <w:tcPr>
            <w:tcW w:w="1480" w:type="dxa"/>
            <w:vAlign w:val="bottom"/>
            <w:tcBorders>
              <w:right w:val="single" w:sz="8" w:color="1F497D"/>
            </w:tcBorders>
            <w:vMerge w:val="continue"/>
          </w:tcPr>
          <w:p>
            <w:pPr>
              <w:spacing w:after="0"/>
              <w:rPr>
                <w:sz w:val="7"/>
                <w:szCs w:val="7"/>
                <w:color w:val="auto"/>
              </w:rPr>
            </w:pPr>
          </w:p>
        </w:tc>
        <w:tc>
          <w:tcPr>
            <w:tcW w:w="1680" w:type="dxa"/>
            <w:vAlign w:val="bottom"/>
            <w:tcBorders>
              <w:right w:val="single" w:sz="8" w:color="1F497D"/>
            </w:tcBorders>
            <w:vMerge w:val="continue"/>
          </w:tcPr>
          <w:p>
            <w:pPr>
              <w:spacing w:after="0"/>
              <w:rPr>
                <w:sz w:val="7"/>
                <w:szCs w:val="7"/>
                <w:color w:val="auto"/>
              </w:rPr>
            </w:pPr>
          </w:p>
        </w:tc>
        <w:tc>
          <w:tcPr>
            <w:tcW w:w="1640" w:type="dxa"/>
            <w:vAlign w:val="bottom"/>
            <w:tcBorders>
              <w:right w:val="single" w:sz="8" w:color="1F497D"/>
            </w:tcBorders>
            <w:vMerge w:val="continue"/>
          </w:tcPr>
          <w:p>
            <w:pPr>
              <w:spacing w:after="0"/>
              <w:rPr>
                <w:sz w:val="7"/>
                <w:szCs w:val="7"/>
                <w:color w:val="auto"/>
              </w:rPr>
            </w:pPr>
          </w:p>
        </w:tc>
        <w:tc>
          <w:tcPr>
            <w:tcW w:w="1420" w:type="dxa"/>
            <w:vAlign w:val="bottom"/>
            <w:tcBorders>
              <w:right w:val="single" w:sz="8" w:color="1F497D"/>
            </w:tcBorders>
            <w:vMerge w:val="continue"/>
          </w:tcPr>
          <w:p>
            <w:pPr>
              <w:spacing w:after="0"/>
              <w:rPr>
                <w:sz w:val="7"/>
                <w:szCs w:val="7"/>
                <w:color w:val="auto"/>
              </w:rPr>
            </w:pPr>
          </w:p>
        </w:tc>
        <w:tc>
          <w:tcPr>
            <w:tcW w:w="14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Transferred</w:t>
            </w:r>
          </w:p>
        </w:tc>
        <w:tc>
          <w:tcPr>
            <w:tcW w:w="1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Transferred as a</w:t>
            </w: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w w:val="94"/>
              </w:rPr>
              <w:t>Persentage Afte</w:t>
            </w:r>
          </w:p>
        </w:tc>
        <w:tc>
          <w:tcPr>
            <w:tcW w:w="0" w:type="dxa"/>
            <w:vAlign w:val="bottom"/>
          </w:tcPr>
          <w:p>
            <w:pPr>
              <w:spacing w:after="0"/>
              <w:rPr>
                <w:sz w:val="1"/>
                <w:szCs w:val="1"/>
                <w:color w:val="auto"/>
              </w:rPr>
            </w:pPr>
          </w:p>
        </w:tc>
      </w:tr>
      <w:tr>
        <w:trPr>
          <w:trHeight w:val="95"/>
        </w:trPr>
        <w:tc>
          <w:tcPr>
            <w:tcW w:w="620" w:type="dxa"/>
            <w:vAlign w:val="bottom"/>
            <w:tcBorders>
              <w:left w:val="single" w:sz="8" w:color="auto"/>
              <w:right w:val="single" w:sz="8" w:color="1F497D"/>
            </w:tcBorders>
            <w:vMerge w:val="continue"/>
          </w:tcPr>
          <w:p>
            <w:pPr>
              <w:spacing w:after="0"/>
              <w:rPr>
                <w:sz w:val="8"/>
                <w:szCs w:val="8"/>
                <w:color w:val="auto"/>
              </w:rPr>
            </w:pPr>
          </w:p>
        </w:tc>
        <w:tc>
          <w:tcPr>
            <w:tcW w:w="14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Shareholder</w:t>
            </w:r>
          </w:p>
        </w:tc>
        <w:tc>
          <w:tcPr>
            <w:tcW w:w="16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14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Transferred</w:t>
            </w:r>
          </w:p>
        </w:tc>
        <w:tc>
          <w:tcPr>
            <w:tcW w:w="1420" w:type="dxa"/>
            <w:vAlign w:val="bottom"/>
            <w:tcBorders>
              <w:right w:val="single" w:sz="8" w:color="1F497D"/>
            </w:tcBorders>
            <w:vMerge w:val="continue"/>
          </w:tcPr>
          <w:p>
            <w:pPr>
              <w:spacing w:after="0"/>
              <w:rPr>
                <w:sz w:val="8"/>
                <w:szCs w:val="8"/>
                <w:color w:val="auto"/>
              </w:rPr>
            </w:pPr>
          </w:p>
        </w:tc>
        <w:tc>
          <w:tcPr>
            <w:tcW w:w="1380" w:type="dxa"/>
            <w:vAlign w:val="bottom"/>
            <w:tcBorders>
              <w:right w:val="single" w:sz="8" w:color="1F497D"/>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20" w:type="dxa"/>
            <w:vAlign w:val="bottom"/>
            <w:tcBorders>
              <w:left w:val="single" w:sz="8" w:color="auto"/>
              <w:right w:val="single" w:sz="8" w:color="1F497D"/>
            </w:tcBorders>
          </w:tcPr>
          <w:p>
            <w:pPr>
              <w:spacing w:after="0"/>
              <w:rPr>
                <w:sz w:val="7"/>
                <w:szCs w:val="7"/>
                <w:color w:val="auto"/>
              </w:rPr>
            </w:pPr>
          </w:p>
        </w:tc>
        <w:tc>
          <w:tcPr>
            <w:tcW w:w="1480" w:type="dxa"/>
            <w:vAlign w:val="bottom"/>
            <w:tcBorders>
              <w:right w:val="single" w:sz="8" w:color="1F497D"/>
            </w:tcBorders>
            <w:vMerge w:val="continue"/>
          </w:tcPr>
          <w:p>
            <w:pPr>
              <w:spacing w:after="0"/>
              <w:rPr>
                <w:sz w:val="7"/>
                <w:szCs w:val="7"/>
                <w:color w:val="auto"/>
              </w:rPr>
            </w:pPr>
          </w:p>
        </w:tc>
        <w:tc>
          <w:tcPr>
            <w:tcW w:w="1680" w:type="dxa"/>
            <w:vAlign w:val="bottom"/>
            <w:tcBorders>
              <w:right w:val="single" w:sz="8" w:color="1F497D"/>
            </w:tcBorders>
            <w:vMerge w:val="continue"/>
          </w:tcPr>
          <w:p>
            <w:pPr>
              <w:spacing w:after="0"/>
              <w:rPr>
                <w:sz w:val="7"/>
                <w:szCs w:val="7"/>
                <w:color w:val="auto"/>
              </w:rPr>
            </w:pPr>
          </w:p>
        </w:tc>
        <w:tc>
          <w:tcPr>
            <w:tcW w:w="1640" w:type="dxa"/>
            <w:vAlign w:val="bottom"/>
            <w:tcBorders>
              <w:right w:val="single" w:sz="8" w:color="1F497D"/>
            </w:tcBorders>
            <w:vMerge w:val="continue"/>
          </w:tcPr>
          <w:p>
            <w:pPr>
              <w:spacing w:after="0"/>
              <w:rPr>
                <w:sz w:val="7"/>
                <w:szCs w:val="7"/>
                <w:color w:val="auto"/>
              </w:rPr>
            </w:pPr>
          </w:p>
        </w:tc>
        <w:tc>
          <w:tcPr>
            <w:tcW w:w="1420" w:type="dxa"/>
            <w:vAlign w:val="bottom"/>
            <w:tcBorders>
              <w:right w:val="single" w:sz="8" w:color="1F497D"/>
            </w:tcBorders>
            <w:vMerge w:val="continue"/>
          </w:tcPr>
          <w:p>
            <w:pPr>
              <w:spacing w:after="0"/>
              <w:rPr>
                <w:sz w:val="7"/>
                <w:szCs w:val="7"/>
                <w:color w:val="auto"/>
              </w:rPr>
            </w:pPr>
          </w:p>
        </w:tc>
        <w:tc>
          <w:tcPr>
            <w:tcW w:w="1420" w:type="dxa"/>
            <w:vAlign w:val="bottom"/>
            <w:tcBorders>
              <w:right w:val="single" w:sz="8" w:color="1F497D"/>
            </w:tcBorders>
          </w:tcPr>
          <w:p>
            <w:pPr>
              <w:spacing w:after="0"/>
              <w:rPr>
                <w:sz w:val="7"/>
                <w:szCs w:val="7"/>
                <w:color w:val="auto"/>
              </w:rPr>
            </w:pPr>
          </w:p>
        </w:tc>
        <w:tc>
          <w:tcPr>
            <w:tcW w:w="1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Percentage of Total</w:t>
            </w:r>
          </w:p>
        </w:tc>
        <w:tc>
          <w:tcPr>
            <w:tcW w:w="1280" w:type="dxa"/>
            <w:vAlign w:val="bottom"/>
            <w:vMerge w:val="restart"/>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5"/>
              </w:rPr>
              <w:t>Transfer</w:t>
            </w:r>
          </w:p>
        </w:tc>
        <w:tc>
          <w:tcPr>
            <w:tcW w:w="0" w:type="dxa"/>
            <w:vAlign w:val="bottom"/>
          </w:tcPr>
          <w:p>
            <w:pPr>
              <w:spacing w:after="0"/>
              <w:rPr>
                <w:sz w:val="1"/>
                <w:szCs w:val="1"/>
                <w:color w:val="auto"/>
              </w:rPr>
            </w:pPr>
          </w:p>
        </w:tc>
      </w:tr>
      <w:tr>
        <w:trPr>
          <w:trHeight w:val="105"/>
        </w:trPr>
        <w:tc>
          <w:tcPr>
            <w:tcW w:w="620" w:type="dxa"/>
            <w:vAlign w:val="bottom"/>
            <w:tcBorders>
              <w:left w:val="single" w:sz="8" w:color="auto"/>
              <w:right w:val="single" w:sz="8" w:color="1F497D"/>
            </w:tcBorders>
          </w:tcPr>
          <w:p>
            <w:pPr>
              <w:spacing w:after="0"/>
              <w:rPr>
                <w:sz w:val="9"/>
                <w:szCs w:val="9"/>
                <w:color w:val="auto"/>
              </w:rPr>
            </w:pPr>
          </w:p>
        </w:tc>
        <w:tc>
          <w:tcPr>
            <w:tcW w:w="1480" w:type="dxa"/>
            <w:vAlign w:val="bottom"/>
            <w:tcBorders>
              <w:right w:val="single" w:sz="8" w:color="1F497D"/>
            </w:tcBorders>
          </w:tcPr>
          <w:p>
            <w:pPr>
              <w:spacing w:after="0"/>
              <w:rPr>
                <w:sz w:val="9"/>
                <w:szCs w:val="9"/>
                <w:color w:val="auto"/>
              </w:rPr>
            </w:pPr>
          </w:p>
        </w:tc>
        <w:tc>
          <w:tcPr>
            <w:tcW w:w="1680" w:type="dxa"/>
            <w:vAlign w:val="bottom"/>
            <w:tcBorders>
              <w:right w:val="single" w:sz="8" w:color="1F497D"/>
            </w:tcBorders>
          </w:tcPr>
          <w:p>
            <w:pPr>
              <w:spacing w:after="0"/>
              <w:rPr>
                <w:sz w:val="9"/>
                <w:szCs w:val="9"/>
                <w:color w:val="auto"/>
              </w:rPr>
            </w:pPr>
          </w:p>
        </w:tc>
        <w:tc>
          <w:tcPr>
            <w:tcW w:w="1640" w:type="dxa"/>
            <w:vAlign w:val="bottom"/>
            <w:tcBorders>
              <w:right w:val="single" w:sz="8" w:color="1F497D"/>
            </w:tcBorders>
          </w:tcPr>
          <w:p>
            <w:pPr>
              <w:spacing w:after="0"/>
              <w:rPr>
                <w:sz w:val="9"/>
                <w:szCs w:val="9"/>
                <w:color w:val="auto"/>
              </w:rPr>
            </w:pPr>
          </w:p>
        </w:tc>
        <w:tc>
          <w:tcPr>
            <w:tcW w:w="14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4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380" w:type="dxa"/>
            <w:vAlign w:val="bottom"/>
            <w:tcBorders>
              <w:right w:val="single" w:sz="8" w:color="1F497D"/>
            </w:tcBorders>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620" w:type="dxa"/>
            <w:vAlign w:val="bottom"/>
            <w:tcBorders>
              <w:left w:val="single" w:sz="8" w:color="auto"/>
              <w:right w:val="single" w:sz="8" w:color="1F497D"/>
            </w:tcBorders>
          </w:tcPr>
          <w:p>
            <w:pPr>
              <w:spacing w:after="0"/>
              <w:rPr>
                <w:sz w:val="8"/>
                <w:szCs w:val="8"/>
                <w:color w:val="auto"/>
              </w:rPr>
            </w:pPr>
          </w:p>
        </w:tc>
        <w:tc>
          <w:tcPr>
            <w:tcW w:w="1480" w:type="dxa"/>
            <w:vAlign w:val="bottom"/>
            <w:tcBorders>
              <w:right w:val="single" w:sz="8" w:color="1F497D"/>
            </w:tcBorders>
          </w:tcPr>
          <w:p>
            <w:pPr>
              <w:spacing w:after="0"/>
              <w:rPr>
                <w:sz w:val="8"/>
                <w:szCs w:val="8"/>
                <w:color w:val="auto"/>
              </w:rPr>
            </w:pPr>
          </w:p>
        </w:tc>
        <w:tc>
          <w:tcPr>
            <w:tcW w:w="1680" w:type="dxa"/>
            <w:vAlign w:val="bottom"/>
            <w:tcBorders>
              <w:right w:val="single" w:sz="8" w:color="1F497D"/>
            </w:tcBorders>
          </w:tcPr>
          <w:p>
            <w:pPr>
              <w:spacing w:after="0"/>
              <w:rPr>
                <w:sz w:val="8"/>
                <w:szCs w:val="8"/>
                <w:color w:val="auto"/>
              </w:rPr>
            </w:pPr>
          </w:p>
        </w:tc>
        <w:tc>
          <w:tcPr>
            <w:tcW w:w="1640" w:type="dxa"/>
            <w:vAlign w:val="bottom"/>
            <w:tcBorders>
              <w:right w:val="single" w:sz="8" w:color="1F497D"/>
            </w:tcBorders>
          </w:tcPr>
          <w:p>
            <w:pPr>
              <w:spacing w:after="0"/>
              <w:rPr>
                <w:sz w:val="8"/>
                <w:szCs w:val="8"/>
                <w:color w:val="auto"/>
              </w:rPr>
            </w:pPr>
          </w:p>
        </w:tc>
        <w:tc>
          <w:tcPr>
            <w:tcW w:w="1420" w:type="dxa"/>
            <w:vAlign w:val="bottom"/>
            <w:tcBorders>
              <w:right w:val="single" w:sz="8" w:color="1F497D"/>
            </w:tcBorders>
            <w:vMerge w:val="continue"/>
          </w:tcPr>
          <w:p>
            <w:pPr>
              <w:spacing w:after="0"/>
              <w:rPr>
                <w:sz w:val="8"/>
                <w:szCs w:val="8"/>
                <w:color w:val="auto"/>
              </w:rPr>
            </w:pPr>
          </w:p>
        </w:tc>
        <w:tc>
          <w:tcPr>
            <w:tcW w:w="1420" w:type="dxa"/>
            <w:vAlign w:val="bottom"/>
            <w:tcBorders>
              <w:right w:val="single" w:sz="8" w:color="1F497D"/>
            </w:tcBorders>
            <w:vMerge w:val="continue"/>
          </w:tcPr>
          <w:p>
            <w:pPr>
              <w:spacing w:after="0"/>
              <w:rPr>
                <w:sz w:val="8"/>
                <w:szCs w:val="8"/>
                <w:color w:val="auto"/>
              </w:rPr>
            </w:pPr>
          </w:p>
        </w:tc>
        <w:tc>
          <w:tcPr>
            <w:tcW w:w="1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 Capital</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20" w:type="dxa"/>
            <w:vAlign w:val="bottom"/>
            <w:tcBorders>
              <w:left w:val="single" w:sz="8" w:color="auto"/>
              <w:right w:val="single" w:sz="8" w:color="1F497D"/>
            </w:tcBorders>
          </w:tcPr>
          <w:p>
            <w:pPr>
              <w:spacing w:after="0"/>
              <w:rPr>
                <w:sz w:val="9"/>
                <w:szCs w:val="9"/>
                <w:color w:val="auto"/>
              </w:rPr>
            </w:pPr>
          </w:p>
        </w:tc>
        <w:tc>
          <w:tcPr>
            <w:tcW w:w="1480" w:type="dxa"/>
            <w:vAlign w:val="bottom"/>
            <w:tcBorders>
              <w:right w:val="single" w:sz="8" w:color="1F497D"/>
            </w:tcBorders>
          </w:tcPr>
          <w:p>
            <w:pPr>
              <w:spacing w:after="0"/>
              <w:rPr>
                <w:sz w:val="9"/>
                <w:szCs w:val="9"/>
                <w:color w:val="auto"/>
              </w:rPr>
            </w:pPr>
          </w:p>
        </w:tc>
        <w:tc>
          <w:tcPr>
            <w:tcW w:w="1680" w:type="dxa"/>
            <w:vAlign w:val="bottom"/>
            <w:tcBorders>
              <w:right w:val="single" w:sz="8" w:color="1F497D"/>
            </w:tcBorders>
          </w:tcPr>
          <w:p>
            <w:pPr>
              <w:spacing w:after="0"/>
              <w:rPr>
                <w:sz w:val="9"/>
                <w:szCs w:val="9"/>
                <w:color w:val="auto"/>
              </w:rPr>
            </w:pPr>
          </w:p>
        </w:tc>
        <w:tc>
          <w:tcPr>
            <w:tcW w:w="1640" w:type="dxa"/>
            <w:vAlign w:val="bottom"/>
            <w:tcBorders>
              <w:right w:val="single" w:sz="8" w:color="1F497D"/>
            </w:tcBorders>
          </w:tcPr>
          <w:p>
            <w:pPr>
              <w:spacing w:after="0"/>
              <w:rPr>
                <w:sz w:val="9"/>
                <w:szCs w:val="9"/>
                <w:color w:val="auto"/>
              </w:rPr>
            </w:pPr>
          </w:p>
        </w:tc>
        <w:tc>
          <w:tcPr>
            <w:tcW w:w="1420" w:type="dxa"/>
            <w:vAlign w:val="bottom"/>
            <w:tcBorders>
              <w:right w:val="single" w:sz="8" w:color="1F497D"/>
            </w:tcBorders>
          </w:tcPr>
          <w:p>
            <w:pPr>
              <w:spacing w:after="0"/>
              <w:rPr>
                <w:sz w:val="9"/>
                <w:szCs w:val="9"/>
                <w:color w:val="auto"/>
              </w:rPr>
            </w:pPr>
          </w:p>
        </w:tc>
        <w:tc>
          <w:tcPr>
            <w:tcW w:w="1420" w:type="dxa"/>
            <w:vAlign w:val="bottom"/>
            <w:tcBorders>
              <w:right w:val="single" w:sz="8" w:color="1F497D"/>
            </w:tcBorders>
            <w:vMerge w:val="continue"/>
          </w:tcPr>
          <w:p>
            <w:pPr>
              <w:spacing w:after="0"/>
              <w:rPr>
                <w:sz w:val="9"/>
                <w:szCs w:val="9"/>
                <w:color w:val="auto"/>
              </w:rPr>
            </w:pPr>
          </w:p>
        </w:tc>
        <w:tc>
          <w:tcPr>
            <w:tcW w:w="1380" w:type="dxa"/>
            <w:vAlign w:val="bottom"/>
            <w:tcBorders>
              <w:right w:val="single" w:sz="8" w:color="1F497D"/>
            </w:tcBorders>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20" w:type="dxa"/>
            <w:vAlign w:val="bottom"/>
            <w:tcBorders>
              <w:left w:val="single" w:sz="8" w:color="auto"/>
              <w:bottom w:val="single" w:sz="8" w:color="1F497D"/>
              <w:right w:val="single" w:sz="8" w:color="1F497D"/>
            </w:tcBorders>
          </w:tcPr>
          <w:p>
            <w:pPr>
              <w:spacing w:after="0"/>
              <w:rPr>
                <w:sz w:val="14"/>
                <w:szCs w:val="14"/>
                <w:color w:val="auto"/>
              </w:rPr>
            </w:pPr>
          </w:p>
        </w:tc>
        <w:tc>
          <w:tcPr>
            <w:tcW w:w="1480" w:type="dxa"/>
            <w:vAlign w:val="bottom"/>
            <w:tcBorders>
              <w:bottom w:val="single" w:sz="8" w:color="1F497D"/>
              <w:right w:val="single" w:sz="8" w:color="1F497D"/>
            </w:tcBorders>
          </w:tcPr>
          <w:p>
            <w:pPr>
              <w:spacing w:after="0"/>
              <w:rPr>
                <w:sz w:val="14"/>
                <w:szCs w:val="14"/>
                <w:color w:val="auto"/>
              </w:rPr>
            </w:pPr>
          </w:p>
        </w:tc>
        <w:tc>
          <w:tcPr>
            <w:tcW w:w="1680" w:type="dxa"/>
            <w:vAlign w:val="bottom"/>
            <w:tcBorders>
              <w:bottom w:val="single" w:sz="8" w:color="1F497D"/>
              <w:right w:val="single" w:sz="8" w:color="1F497D"/>
            </w:tcBorders>
          </w:tcPr>
          <w:p>
            <w:pPr>
              <w:spacing w:after="0"/>
              <w:rPr>
                <w:sz w:val="14"/>
                <w:szCs w:val="14"/>
                <w:color w:val="auto"/>
              </w:rPr>
            </w:pPr>
          </w:p>
        </w:tc>
        <w:tc>
          <w:tcPr>
            <w:tcW w:w="1640" w:type="dxa"/>
            <w:vAlign w:val="bottom"/>
            <w:tcBorders>
              <w:bottom w:val="single" w:sz="8" w:color="1F497D"/>
              <w:right w:val="single" w:sz="8" w:color="1F497D"/>
            </w:tcBorders>
          </w:tcPr>
          <w:p>
            <w:pPr>
              <w:spacing w:after="0"/>
              <w:rPr>
                <w:sz w:val="14"/>
                <w:szCs w:val="14"/>
                <w:color w:val="auto"/>
              </w:rPr>
            </w:pPr>
          </w:p>
        </w:tc>
        <w:tc>
          <w:tcPr>
            <w:tcW w:w="1420" w:type="dxa"/>
            <w:vAlign w:val="bottom"/>
            <w:tcBorders>
              <w:bottom w:val="single" w:sz="8" w:color="1F497D"/>
              <w:right w:val="single" w:sz="8" w:color="1F497D"/>
            </w:tcBorders>
          </w:tcPr>
          <w:p>
            <w:pPr>
              <w:spacing w:after="0"/>
              <w:rPr>
                <w:sz w:val="14"/>
                <w:szCs w:val="14"/>
                <w:color w:val="auto"/>
              </w:rPr>
            </w:pPr>
          </w:p>
        </w:tc>
        <w:tc>
          <w:tcPr>
            <w:tcW w:w="1420" w:type="dxa"/>
            <w:vAlign w:val="bottom"/>
            <w:tcBorders>
              <w:bottom w:val="single" w:sz="8" w:color="1F497D"/>
              <w:right w:val="single" w:sz="8" w:color="1F497D"/>
            </w:tcBorders>
          </w:tcPr>
          <w:p>
            <w:pPr>
              <w:spacing w:after="0"/>
              <w:rPr>
                <w:sz w:val="14"/>
                <w:szCs w:val="14"/>
                <w:color w:val="auto"/>
              </w:rPr>
            </w:pPr>
          </w:p>
        </w:tc>
        <w:tc>
          <w:tcPr>
            <w:tcW w:w="1380" w:type="dxa"/>
            <w:vAlign w:val="bottom"/>
            <w:tcBorders>
              <w:bottom w:val="single" w:sz="8" w:color="1F497D"/>
              <w:right w:val="single" w:sz="8" w:color="1F497D"/>
            </w:tcBorders>
          </w:tcPr>
          <w:p>
            <w:pPr>
              <w:spacing w:after="0"/>
              <w:rPr>
                <w:sz w:val="14"/>
                <w:szCs w:val="14"/>
                <w:color w:val="auto"/>
              </w:rPr>
            </w:pPr>
          </w:p>
        </w:tc>
        <w:tc>
          <w:tcPr>
            <w:tcW w:w="1280" w:type="dxa"/>
            <w:vAlign w:val="bottom"/>
            <w:tcBorders>
              <w:bottom w:val="single" w:sz="8" w:color="1F497D"/>
            </w:tcBorders>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620" w:type="dxa"/>
            <w:vAlign w:val="bottom"/>
            <w:tcBorders>
              <w:left w:val="single" w:sz="8" w:color="auto"/>
              <w:right w:val="single" w:sz="8" w:color="1F497D"/>
            </w:tcBorders>
          </w:tcPr>
          <w:p>
            <w:pPr>
              <w:jc w:val="right"/>
              <w:ind w:right="175"/>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ACMR US</w:t>
            </w:r>
          </w:p>
        </w:tc>
        <w:tc>
          <w:tcPr>
            <w:tcW w:w="16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357,692,308</w:t>
            </w:r>
          </w:p>
        </w:tc>
        <w:tc>
          <w:tcPr>
            <w:tcW w:w="1640" w:type="dxa"/>
            <w:vAlign w:val="bottom"/>
            <w:tcBorders>
              <w:right w:val="single" w:sz="8" w:color="1F497D"/>
            </w:tcBorders>
          </w:tcPr>
          <w:p>
            <w:pPr>
              <w:jc w:val="right"/>
              <w:ind w:right="455"/>
              <w:spacing w:after="0"/>
              <w:rPr>
                <w:sz w:val="20"/>
                <w:szCs w:val="20"/>
                <w:color w:val="auto"/>
              </w:rPr>
            </w:pPr>
            <w:r>
              <w:rPr>
                <w:rFonts w:ascii="Times New Roman" w:cs="Times New Roman" w:eastAsia="Times New Roman" w:hAnsi="Times New Roman"/>
                <w:sz w:val="18"/>
                <w:szCs w:val="18"/>
                <w:color w:val="auto"/>
              </w:rPr>
              <w:t>74.49%</w:t>
            </w:r>
          </w:p>
        </w:tc>
        <w:tc>
          <w:tcPr>
            <w:tcW w:w="14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w w:val="99"/>
              </w:rPr>
              <w:t>4,801,648</w:t>
            </w:r>
          </w:p>
        </w:tc>
        <w:tc>
          <w:tcPr>
            <w:tcW w:w="14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w w:val="99"/>
              </w:rPr>
              <w:t>4,801,648</w:t>
            </w:r>
          </w:p>
        </w:tc>
        <w:tc>
          <w:tcPr>
            <w:tcW w:w="1380" w:type="dxa"/>
            <w:vAlign w:val="bottom"/>
            <w:tcBorders>
              <w:right w:val="single" w:sz="8" w:color="1F497D"/>
            </w:tcBorders>
          </w:tcPr>
          <w:p>
            <w:pPr>
              <w:jc w:val="right"/>
              <w:ind w:right="378"/>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219"/>
        </w:trPr>
        <w:tc>
          <w:tcPr>
            <w:tcW w:w="620" w:type="dxa"/>
            <w:vAlign w:val="bottom"/>
            <w:tcBorders>
              <w:left w:val="single" w:sz="8" w:color="auto"/>
              <w:bottom w:val="single" w:sz="8" w:color="1F497D"/>
              <w:right w:val="single" w:sz="8" w:color="1F497D"/>
            </w:tcBorders>
          </w:tcPr>
          <w:p>
            <w:pPr>
              <w:spacing w:after="0"/>
              <w:rPr>
                <w:sz w:val="19"/>
                <w:szCs w:val="19"/>
                <w:color w:val="auto"/>
              </w:rPr>
            </w:pPr>
          </w:p>
        </w:tc>
        <w:tc>
          <w:tcPr>
            <w:tcW w:w="1480" w:type="dxa"/>
            <w:vAlign w:val="bottom"/>
            <w:tcBorders>
              <w:bottom w:val="single" w:sz="8" w:color="1F497D"/>
              <w:right w:val="single" w:sz="8" w:color="1F497D"/>
            </w:tcBorders>
          </w:tcPr>
          <w:p>
            <w:pPr>
              <w:spacing w:after="0"/>
              <w:rPr>
                <w:sz w:val="19"/>
                <w:szCs w:val="19"/>
                <w:color w:val="auto"/>
              </w:rPr>
            </w:pPr>
          </w:p>
        </w:tc>
        <w:tc>
          <w:tcPr>
            <w:tcW w:w="1680" w:type="dxa"/>
            <w:vAlign w:val="bottom"/>
            <w:tcBorders>
              <w:bottom w:val="single" w:sz="8" w:color="1F497D"/>
              <w:right w:val="single" w:sz="8" w:color="1F497D"/>
            </w:tcBorders>
          </w:tcPr>
          <w:p>
            <w:pPr>
              <w:spacing w:after="0"/>
              <w:rPr>
                <w:sz w:val="19"/>
                <w:szCs w:val="19"/>
                <w:color w:val="auto"/>
              </w:rPr>
            </w:pPr>
          </w:p>
        </w:tc>
        <w:tc>
          <w:tcPr>
            <w:tcW w:w="1640" w:type="dxa"/>
            <w:vAlign w:val="bottom"/>
            <w:tcBorders>
              <w:bottom w:val="single" w:sz="8" w:color="1F497D"/>
              <w:right w:val="single" w:sz="8" w:color="1F497D"/>
            </w:tcBorders>
          </w:tcPr>
          <w:p>
            <w:pPr>
              <w:spacing w:after="0"/>
              <w:rPr>
                <w:sz w:val="19"/>
                <w:szCs w:val="19"/>
                <w:color w:val="auto"/>
              </w:rPr>
            </w:pPr>
          </w:p>
        </w:tc>
        <w:tc>
          <w:tcPr>
            <w:tcW w:w="1420" w:type="dxa"/>
            <w:vAlign w:val="bottom"/>
            <w:tcBorders>
              <w:bottom w:val="single" w:sz="8" w:color="1F497D"/>
              <w:right w:val="single" w:sz="8" w:color="1F497D"/>
            </w:tcBorders>
          </w:tcPr>
          <w:p>
            <w:pPr>
              <w:spacing w:after="0"/>
              <w:rPr>
                <w:sz w:val="19"/>
                <w:szCs w:val="19"/>
                <w:color w:val="auto"/>
              </w:rPr>
            </w:pPr>
          </w:p>
        </w:tc>
        <w:tc>
          <w:tcPr>
            <w:tcW w:w="1420" w:type="dxa"/>
            <w:vAlign w:val="bottom"/>
            <w:tcBorders>
              <w:bottom w:val="single" w:sz="8" w:color="1F497D"/>
              <w:right w:val="single" w:sz="8" w:color="1F497D"/>
            </w:tcBorders>
          </w:tcPr>
          <w:p>
            <w:pPr>
              <w:spacing w:after="0"/>
              <w:rPr>
                <w:sz w:val="19"/>
                <w:szCs w:val="19"/>
                <w:color w:val="auto"/>
              </w:rPr>
            </w:pPr>
          </w:p>
        </w:tc>
        <w:tc>
          <w:tcPr>
            <w:tcW w:w="1380" w:type="dxa"/>
            <w:vAlign w:val="bottom"/>
            <w:tcBorders>
              <w:bottom w:val="single" w:sz="8" w:color="1F497D"/>
              <w:right w:val="single" w:sz="8" w:color="1F497D"/>
            </w:tcBorders>
          </w:tcPr>
          <w:p>
            <w:pPr>
              <w:spacing w:after="0"/>
              <w:rPr>
                <w:sz w:val="19"/>
                <w:szCs w:val="19"/>
                <w:color w:val="auto"/>
              </w:rPr>
            </w:pPr>
          </w:p>
        </w:tc>
        <w:tc>
          <w:tcPr>
            <w:tcW w:w="1280" w:type="dxa"/>
            <w:vAlign w:val="bottom"/>
            <w:tcBorders>
              <w:bottom w:val="single" w:sz="8" w:color="1F497D"/>
            </w:tcBorders>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620" w:type="dxa"/>
            <w:vAlign w:val="bottom"/>
            <w:tcBorders>
              <w:left w:val="single" w:sz="8" w:color="auto"/>
              <w:right w:val="single" w:sz="8" w:color="1F497D"/>
            </w:tcBorders>
          </w:tcPr>
          <w:p>
            <w:pPr>
              <w:spacing w:after="0"/>
              <w:rPr>
                <w:sz w:val="24"/>
                <w:szCs w:val="24"/>
                <w:color w:val="auto"/>
              </w:rPr>
            </w:pPr>
          </w:p>
        </w:tc>
        <w:tc>
          <w:tcPr>
            <w:tcW w:w="14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357,692,308</w:t>
            </w:r>
          </w:p>
        </w:tc>
        <w:tc>
          <w:tcPr>
            <w:tcW w:w="1640" w:type="dxa"/>
            <w:vAlign w:val="bottom"/>
            <w:tcBorders>
              <w:right w:val="single" w:sz="8" w:color="1F497D"/>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74.49%</w:t>
            </w:r>
          </w:p>
        </w:tc>
        <w:tc>
          <w:tcPr>
            <w:tcW w:w="14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4,801,648</w:t>
            </w:r>
          </w:p>
        </w:tc>
        <w:tc>
          <w:tcPr>
            <w:tcW w:w="14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4,801,648</w:t>
            </w:r>
          </w:p>
        </w:tc>
        <w:tc>
          <w:tcPr>
            <w:tcW w:w="1380" w:type="dxa"/>
            <w:vAlign w:val="bottom"/>
            <w:tcBorders>
              <w:right w:val="single" w:sz="8" w:color="1F497D"/>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1.00%</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73.49%</w:t>
            </w:r>
          </w:p>
        </w:tc>
        <w:tc>
          <w:tcPr>
            <w:tcW w:w="0" w:type="dxa"/>
            <w:vAlign w:val="bottom"/>
          </w:tcPr>
          <w:p>
            <w:pPr>
              <w:spacing w:after="0"/>
              <w:rPr>
                <w:sz w:val="1"/>
                <w:szCs w:val="1"/>
                <w:color w:val="auto"/>
              </w:rPr>
            </w:pPr>
          </w:p>
        </w:tc>
      </w:tr>
      <w:tr>
        <w:trPr>
          <w:trHeight w:val="226"/>
        </w:trPr>
        <w:tc>
          <w:tcPr>
            <w:tcW w:w="620" w:type="dxa"/>
            <w:vAlign w:val="bottom"/>
            <w:tcBorders>
              <w:left w:val="single" w:sz="8" w:color="auto"/>
              <w:bottom w:val="single" w:sz="8" w:color="1F497D"/>
              <w:right w:val="single" w:sz="8" w:color="1F497D"/>
            </w:tcBorders>
          </w:tcPr>
          <w:p>
            <w:pPr>
              <w:spacing w:after="0"/>
              <w:rPr>
                <w:sz w:val="19"/>
                <w:szCs w:val="19"/>
                <w:color w:val="auto"/>
              </w:rPr>
            </w:pPr>
          </w:p>
        </w:tc>
        <w:tc>
          <w:tcPr>
            <w:tcW w:w="1480" w:type="dxa"/>
            <w:vAlign w:val="bottom"/>
            <w:tcBorders>
              <w:bottom w:val="single" w:sz="8" w:color="1F497D"/>
              <w:right w:val="single" w:sz="8" w:color="1F497D"/>
            </w:tcBorders>
          </w:tcPr>
          <w:p>
            <w:pPr>
              <w:spacing w:after="0"/>
              <w:rPr>
                <w:sz w:val="19"/>
                <w:szCs w:val="19"/>
                <w:color w:val="auto"/>
              </w:rPr>
            </w:pPr>
          </w:p>
        </w:tc>
        <w:tc>
          <w:tcPr>
            <w:tcW w:w="1680" w:type="dxa"/>
            <w:vAlign w:val="bottom"/>
            <w:tcBorders>
              <w:bottom w:val="single" w:sz="8" w:color="1F497D"/>
              <w:right w:val="single" w:sz="8" w:color="1F497D"/>
            </w:tcBorders>
          </w:tcPr>
          <w:p>
            <w:pPr>
              <w:spacing w:after="0"/>
              <w:rPr>
                <w:sz w:val="19"/>
                <w:szCs w:val="19"/>
                <w:color w:val="auto"/>
              </w:rPr>
            </w:pPr>
          </w:p>
        </w:tc>
        <w:tc>
          <w:tcPr>
            <w:tcW w:w="1640" w:type="dxa"/>
            <w:vAlign w:val="bottom"/>
            <w:tcBorders>
              <w:bottom w:val="single" w:sz="8" w:color="1F497D"/>
              <w:right w:val="single" w:sz="8" w:color="1F497D"/>
            </w:tcBorders>
          </w:tcPr>
          <w:p>
            <w:pPr>
              <w:spacing w:after="0"/>
              <w:rPr>
                <w:sz w:val="19"/>
                <w:szCs w:val="19"/>
                <w:color w:val="auto"/>
              </w:rPr>
            </w:pPr>
          </w:p>
        </w:tc>
        <w:tc>
          <w:tcPr>
            <w:tcW w:w="1420" w:type="dxa"/>
            <w:vAlign w:val="bottom"/>
            <w:tcBorders>
              <w:bottom w:val="single" w:sz="8" w:color="1F497D"/>
              <w:right w:val="single" w:sz="8" w:color="1F497D"/>
            </w:tcBorders>
          </w:tcPr>
          <w:p>
            <w:pPr>
              <w:spacing w:after="0"/>
              <w:rPr>
                <w:sz w:val="19"/>
                <w:szCs w:val="19"/>
                <w:color w:val="auto"/>
              </w:rPr>
            </w:pPr>
          </w:p>
        </w:tc>
        <w:tc>
          <w:tcPr>
            <w:tcW w:w="1420" w:type="dxa"/>
            <w:vAlign w:val="bottom"/>
            <w:tcBorders>
              <w:bottom w:val="single" w:sz="8" w:color="1F497D"/>
              <w:right w:val="single" w:sz="8" w:color="1F497D"/>
            </w:tcBorders>
          </w:tcPr>
          <w:p>
            <w:pPr>
              <w:spacing w:after="0"/>
              <w:rPr>
                <w:sz w:val="19"/>
                <w:szCs w:val="19"/>
                <w:color w:val="auto"/>
              </w:rPr>
            </w:pPr>
          </w:p>
        </w:tc>
        <w:tc>
          <w:tcPr>
            <w:tcW w:w="1380" w:type="dxa"/>
            <w:vAlign w:val="bottom"/>
            <w:tcBorders>
              <w:bottom w:val="single" w:sz="8" w:color="1F497D"/>
              <w:right w:val="single" w:sz="8" w:color="1F497D"/>
            </w:tcBorders>
          </w:tcPr>
          <w:p>
            <w:pPr>
              <w:spacing w:after="0"/>
              <w:rPr>
                <w:sz w:val="19"/>
                <w:szCs w:val="19"/>
                <w:color w:val="auto"/>
              </w:rPr>
            </w:pPr>
          </w:p>
        </w:tc>
        <w:tc>
          <w:tcPr>
            <w:tcW w:w="1280" w:type="dxa"/>
            <w:vAlign w:val="bottom"/>
            <w:tcBorders>
              <w:bottom w:val="single" w:sz="8" w:color="1F497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(IV) Reasons for the Transferor’s Failure to Transfer and Its Impact</w:t>
      </w: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 Applicable √ Not applicable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II. Details on the Changes in Equity of the Transferor</w:t>
      </w: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 Applicable □ Not applicable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 ACMR US and Its Acting-in-Concert Parties</w:t>
      </w:r>
    </w:p>
    <w:p>
      <w:pPr>
        <w:spacing w:after="0" w:line="261" w:lineRule="exact"/>
        <w:rPr>
          <w:sz w:val="20"/>
          <w:szCs w:val="20"/>
          <w:color w:val="auto"/>
        </w:rPr>
      </w:pPr>
    </w:p>
    <w:p>
      <w:pPr>
        <w:jc w:val="both"/>
        <w:ind w:right="100" w:firstLine="420"/>
        <w:spacing w:after="0" w:line="367" w:lineRule="auto"/>
        <w:rPr>
          <w:sz w:val="20"/>
          <w:szCs w:val="20"/>
          <w:color w:val="auto"/>
        </w:rPr>
      </w:pPr>
      <w:r>
        <w:rPr>
          <w:rFonts w:ascii="Times New Roman" w:cs="Times New Roman" w:eastAsia="Times New Roman" w:hAnsi="Times New Roman"/>
          <w:sz w:val="21"/>
          <w:szCs w:val="21"/>
          <w:color w:val="auto"/>
        </w:rPr>
        <w:t xml:space="preserve">From November 4, 2025 to November 20, 2025, HUI WANG, ACM Shanghai’s actual controller and Chairman, reduced his shareholding in ACM Shanghai by a total of 199,794 shares through centralized bidding transactions, representing 0.04% of ACM Shanghai’s total share capital at that time; and from November 5, 2025 to November 21, 2025, Jian Wang, a Director, General Manager, and core technician of ACM Shanghai, who is a party acting in concert, reduced his shareholding in ACM Shanghai by a total of 148,104 shares through centralized bidding transactions, representing 0.03% of ACM Shanghai’s total share capital at that time. For more details thereon, please refer to ACM Shanghai’s </w:t>
      </w:r>
      <w:r>
        <w:rPr>
          <w:rFonts w:ascii="Times New Roman" w:cs="Times New Roman" w:eastAsia="Times New Roman" w:hAnsi="Times New Roman"/>
          <w:sz w:val="21"/>
          <w:szCs w:val="21"/>
          <w:i w:val="1"/>
          <w:iCs w:val="1"/>
          <w:color w:val="auto"/>
        </w:rPr>
        <w:t>Announcement on Results of Shareholding Reduction by Actual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Controller and Parties Acting in Concert, Certain Directors and Senior Management (Announcement No. 2025-087) dated November 22, 2025</w:t>
      </w:r>
      <w:r>
        <w:rPr>
          <w:rFonts w:ascii="Times New Roman" w:cs="Times New Roman" w:eastAsia="Times New Roman" w:hAnsi="Times New Roman"/>
          <w:sz w:val="21"/>
          <w:szCs w:val="21"/>
          <w:color w:val="auto"/>
        </w:rPr>
        <w:t>.</w:t>
      </w:r>
    </w:p>
    <w:p>
      <w:pPr>
        <w:spacing w:after="0" w:line="114" w:lineRule="exact"/>
        <w:rPr>
          <w:sz w:val="20"/>
          <w:szCs w:val="20"/>
          <w:color w:val="auto"/>
        </w:rPr>
      </w:pPr>
    </w:p>
    <w:p>
      <w:pPr>
        <w:jc w:val="both"/>
        <w:ind w:right="100" w:firstLine="420"/>
        <w:spacing w:after="0" w:line="398" w:lineRule="auto"/>
        <w:rPr>
          <w:sz w:val="20"/>
          <w:szCs w:val="20"/>
          <w:color w:val="auto"/>
        </w:rPr>
      </w:pPr>
      <w:r>
        <w:rPr>
          <w:rFonts w:ascii="Times New Roman" w:cs="Times New Roman" w:eastAsia="Times New Roman" w:hAnsi="Times New Roman"/>
          <w:sz w:val="21"/>
          <w:szCs w:val="21"/>
          <w:color w:val="auto"/>
        </w:rPr>
        <w:t>On November 7, 2025, after the completion of share registration for the first batch of vested shares under the first vesting period of the reserved grant portion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340"/>
          </w:cols>
          <w:pgMar w:left="320" w:top="230" w:right="239" w:bottom="1440" w:gutter="0" w:footer="0" w:header="0"/>
        </w:sectPr>
      </w:pPr>
    </w:p>
    <w:bookmarkStart w:id="6" w:name="page7"/>
    <w:bookmarkEnd w:id="6"/>
    <w:p>
      <w:pPr>
        <w:ind w:left="102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00"/>
        <w:spacing w:after="0" w:line="381" w:lineRule="auto"/>
        <w:rPr>
          <w:sz w:val="20"/>
          <w:szCs w:val="20"/>
          <w:color w:val="auto"/>
        </w:rPr>
      </w:pPr>
      <w:r>
        <w:rPr>
          <w:rFonts w:ascii="Times New Roman" w:cs="Times New Roman" w:eastAsia="Times New Roman" w:hAnsi="Times New Roman"/>
          <w:sz w:val="21"/>
          <w:szCs w:val="21"/>
          <w:color w:val="auto"/>
        </w:rPr>
        <w:t>ACM Shanghai’s 2023 Restricted Stock Incentive Plan, ACM Shanghai’s total share capital increased from 479,892,514 shares to 480,164,789 shares, resulting in that the shareholding percentages of ACMR US and its acting-in-concert parties, HUI WANG and Jian Wang, in ACM Shanghai was passively diluted accordingly.</w:t>
      </w:r>
    </w:p>
    <w:p>
      <w:pPr>
        <w:spacing w:after="0" w:line="83" w:lineRule="exact"/>
        <w:rPr>
          <w:sz w:val="20"/>
          <w:szCs w:val="20"/>
          <w:color w:val="auto"/>
        </w:rPr>
      </w:pPr>
    </w:p>
    <w:p>
      <w:pPr>
        <w:jc w:val="both"/>
        <w:ind w:right="100" w:firstLine="420"/>
        <w:spacing w:after="0" w:line="398" w:lineRule="auto"/>
        <w:rPr>
          <w:sz w:val="20"/>
          <w:szCs w:val="20"/>
          <w:color w:val="auto"/>
        </w:rPr>
      </w:pPr>
      <w:r>
        <w:rPr>
          <w:rFonts w:ascii="Times New Roman" w:cs="Times New Roman" w:eastAsia="Times New Roman" w:hAnsi="Times New Roman"/>
          <w:sz w:val="21"/>
          <w:szCs w:val="21"/>
          <w:color w:val="auto"/>
        </w:rPr>
        <w:t>On February 6, 2026, ACMR US reduced its shareholding in ACM Shanghai by 4,801,648 through the Inquiry-Based Transfer, representing 1.00% of ACM Shanghai’s total share capital.</w:t>
      </w:r>
    </w:p>
    <w:p>
      <w:pPr>
        <w:spacing w:after="0" w:line="78" w:lineRule="exact"/>
        <w:rPr>
          <w:sz w:val="20"/>
          <w:szCs w:val="20"/>
          <w:color w:val="auto"/>
        </w:rPr>
      </w:pPr>
    </w:p>
    <w:p>
      <w:pPr>
        <w:jc w:val="both"/>
        <w:ind w:right="100" w:firstLine="420"/>
        <w:spacing w:after="0" w:line="375" w:lineRule="auto"/>
        <w:rPr>
          <w:sz w:val="20"/>
          <w:szCs w:val="20"/>
          <w:color w:val="auto"/>
        </w:rPr>
      </w:pPr>
      <w:r>
        <w:rPr>
          <w:rFonts w:ascii="Times New Roman" w:cs="Times New Roman" w:eastAsia="Times New Roman" w:hAnsi="Times New Roman"/>
          <w:sz w:val="21"/>
          <w:szCs w:val="21"/>
          <w:color w:val="auto"/>
        </w:rPr>
        <w:t>Following this change in equity, the aggregate shareholding percentage of ACMR US and its acting-in-concert parties in ACM Shanghai will decrease from 74.84% to 73.72%. This change in equity will not result in a change in ACM Shanghai’s controlling shareholder or actual controller.</w:t>
      </w:r>
    </w:p>
    <w:p>
      <w:pPr>
        <w:spacing w:after="0" w:line="101" w:lineRule="exact"/>
        <w:rPr>
          <w:sz w:val="20"/>
          <w:szCs w:val="20"/>
          <w:color w:val="auto"/>
        </w:rPr>
      </w:pPr>
    </w:p>
    <w:p>
      <w:pPr>
        <w:jc w:val="both"/>
        <w:ind w:right="100" w:firstLine="420"/>
        <w:spacing w:after="0" w:line="398" w:lineRule="auto"/>
        <w:rPr>
          <w:sz w:val="20"/>
          <w:szCs w:val="20"/>
          <w:color w:val="auto"/>
        </w:rPr>
      </w:pPr>
      <w:r>
        <w:rPr>
          <w:rFonts w:ascii="Times New Roman" w:cs="Times New Roman" w:eastAsia="Times New Roman" w:hAnsi="Times New Roman"/>
          <w:sz w:val="21"/>
          <w:szCs w:val="21"/>
          <w:color w:val="auto"/>
        </w:rPr>
        <w:t>The Transferor, ACMR US, in the Inquiry-Based Transfer, is acting in concert with HUI WANG, ACM Shanghai’s actual controller and Chairman, and Jian Wang, a Director and General Manager of ACM Shanghai.</w:t>
      </w:r>
    </w:p>
    <w:p>
      <w:pPr>
        <w:spacing w:after="0" w:line="78" w:lineRule="exact"/>
        <w:rPr>
          <w:sz w:val="20"/>
          <w:szCs w:val="20"/>
          <w:color w:val="auto"/>
        </w:rPr>
      </w:pPr>
    </w:p>
    <w:p>
      <w:pPr>
        <w:jc w:val="both"/>
        <w:ind w:right="100" w:firstLine="420"/>
        <w:spacing w:after="0" w:line="385" w:lineRule="auto"/>
        <w:rPr>
          <w:sz w:val="20"/>
          <w:szCs w:val="20"/>
          <w:color w:val="auto"/>
        </w:rPr>
      </w:pPr>
      <w:r>
        <w:rPr>
          <w:rFonts w:ascii="Times New Roman" w:cs="Times New Roman" w:eastAsia="Times New Roman" w:hAnsi="Times New Roman"/>
          <w:sz w:val="21"/>
          <w:szCs w:val="21"/>
          <w:color w:val="auto"/>
        </w:rPr>
        <w:t>In summary, the aggregate shareholding percentage of ACMR US and its parties acting in concert decreased from 74.84% to 73.72%, with the change in equity interests held in ACM Shanghai reaching an integer multiple of 1%.</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1. Basic Information</w:t>
      </w:r>
    </w:p>
    <w:p>
      <w:pPr>
        <w:spacing w:after="0" w:line="176" w:lineRule="exact"/>
        <w:rPr>
          <w:sz w:val="20"/>
          <w:szCs w:val="20"/>
          <w:color w:val="auto"/>
        </w:rPr>
      </w:pPr>
    </w:p>
    <w:tbl>
      <w:tblPr>
        <w:tblLayout w:type="fixed"/>
        <w:tblInd w:w="430" w:type="dxa"/>
        <w:tblCellMar>
          <w:top w:w="0" w:type="dxa"/>
          <w:left w:w="0" w:type="dxa"/>
          <w:bottom w:w="0" w:type="dxa"/>
          <w:right w:w="0" w:type="dxa"/>
        </w:tblCellMar>
      </w:tblPr>
      <w:tr>
        <w:trPr>
          <w:trHeight w:val="266"/>
        </w:trPr>
        <w:tc>
          <w:tcPr>
            <w:tcW w:w="2640" w:type="dxa"/>
            <w:vAlign w:val="bottom"/>
            <w:tcBorders>
              <w:top w:val="single" w:sz="8" w:color="1F497D"/>
              <w:left w:val="single" w:sz="8" w:color="auto"/>
              <w:right w:val="single" w:sz="8" w:color="1F497D"/>
            </w:tcBorders>
          </w:tcPr>
          <w:p>
            <w:pPr>
              <w:spacing w:after="0"/>
              <w:rPr>
                <w:sz w:val="23"/>
                <w:szCs w:val="23"/>
                <w:color w:val="auto"/>
              </w:rPr>
            </w:pPr>
          </w:p>
        </w:tc>
        <w:tc>
          <w:tcPr>
            <w:tcW w:w="3120" w:type="dxa"/>
            <w:vAlign w:val="bottom"/>
            <w:tcBorders>
              <w:top w:val="single" w:sz="8" w:color="1F497D"/>
              <w:right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Borders>
              <w:top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ACM RESEARCH, INC.</w:t>
            </w: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6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Basic Information on ACM US</w:t>
            </w:r>
          </w:p>
        </w:tc>
        <w:tc>
          <w:tcPr>
            <w:tcW w:w="3120" w:type="dxa"/>
            <w:vAlign w:val="bottom"/>
            <w:tcBorders>
              <w:right w:val="single" w:sz="8" w:color="1F497D"/>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 Corporation Service Company,251 Little Falls Drive, County of N</w:t>
            </w: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1F497D"/>
            </w:tcBorders>
            <w:vMerge w:val="continue"/>
          </w:tcPr>
          <w:p>
            <w:pPr>
              <w:spacing w:after="0"/>
              <w:rPr>
                <w:sz w:val="11"/>
                <w:szCs w:val="11"/>
                <w:color w:val="auto"/>
              </w:rPr>
            </w:pPr>
          </w:p>
        </w:tc>
        <w:tc>
          <w:tcPr>
            <w:tcW w:w="3120" w:type="dxa"/>
            <w:vAlign w:val="bottom"/>
            <w:tcBorders>
              <w:right w:val="single" w:sz="8" w:color="1F497D"/>
            </w:tcBorders>
            <w:vMerge w:val="continue"/>
          </w:tcPr>
          <w:p>
            <w:pPr>
              <w:spacing w:after="0"/>
              <w:rPr>
                <w:sz w:val="11"/>
                <w:szCs w:val="11"/>
                <w:color w:val="auto"/>
              </w:rPr>
            </w:pPr>
          </w:p>
        </w:tc>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Castle, Wilmington, Delaware 19808</w:t>
            </w:r>
          </w:p>
        </w:tc>
        <w:tc>
          <w:tcPr>
            <w:tcW w:w="0" w:type="dxa"/>
            <w:vAlign w:val="bottom"/>
          </w:tcPr>
          <w:p>
            <w:pPr>
              <w:spacing w:after="0"/>
              <w:rPr>
                <w:sz w:val="1"/>
                <w:szCs w:val="1"/>
                <w:color w:val="auto"/>
              </w:rPr>
            </w:pPr>
          </w:p>
        </w:tc>
      </w:tr>
      <w:tr>
        <w:trPr>
          <w:trHeight w:val="105"/>
        </w:trPr>
        <w:tc>
          <w:tcPr>
            <w:tcW w:w="2640" w:type="dxa"/>
            <w:vAlign w:val="bottom"/>
            <w:tcBorders>
              <w:left w:val="single" w:sz="8" w:color="auto"/>
              <w:right w:val="single" w:sz="8" w:color="1F497D"/>
            </w:tcBorders>
          </w:tcPr>
          <w:p>
            <w:pPr>
              <w:spacing w:after="0"/>
              <w:rPr>
                <w:sz w:val="9"/>
                <w:szCs w:val="9"/>
                <w:color w:val="auto"/>
              </w:rPr>
            </w:pPr>
          </w:p>
        </w:tc>
        <w:tc>
          <w:tcPr>
            <w:tcW w:w="3120" w:type="dxa"/>
            <w:vAlign w:val="bottom"/>
            <w:tcBorders>
              <w:right w:val="single" w:sz="8" w:color="1F497D"/>
            </w:tcBorders>
          </w:tcPr>
          <w:p>
            <w:pPr>
              <w:spacing w:after="0"/>
              <w:rPr>
                <w:sz w:val="9"/>
                <w:szCs w:val="9"/>
                <w:color w:val="auto"/>
              </w:rPr>
            </w:pP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40" w:type="dxa"/>
            <w:vAlign w:val="bottom"/>
            <w:tcBorders>
              <w:left w:val="single" w:sz="8" w:color="auto"/>
              <w:right w:val="single" w:sz="8" w:color="1F497D"/>
            </w:tcBorders>
          </w:tcPr>
          <w:p>
            <w:pPr>
              <w:spacing w:after="0"/>
              <w:rPr>
                <w:sz w:val="11"/>
                <w:szCs w:val="11"/>
                <w:color w:val="auto"/>
              </w:rPr>
            </w:pPr>
          </w:p>
        </w:tc>
        <w:tc>
          <w:tcPr>
            <w:tcW w:w="3120" w:type="dxa"/>
            <w:vAlign w:val="bottom"/>
            <w:tcBorders>
              <w:bottom w:val="single" w:sz="8" w:color="1F497D"/>
              <w:right w:val="single" w:sz="8" w:color="1F497D"/>
            </w:tcBorders>
          </w:tcPr>
          <w:p>
            <w:pPr>
              <w:spacing w:after="0"/>
              <w:rPr>
                <w:sz w:val="11"/>
                <w:szCs w:val="11"/>
                <w:color w:val="auto"/>
              </w:rPr>
            </w:pPr>
          </w:p>
        </w:tc>
        <w:tc>
          <w:tcPr>
            <w:tcW w:w="516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640" w:type="dxa"/>
            <w:vAlign w:val="bottom"/>
            <w:tcBorders>
              <w:left w:val="single" w:sz="8" w:color="auto"/>
              <w:right w:val="single" w:sz="8" w:color="1F497D"/>
            </w:tcBorders>
          </w:tcPr>
          <w:p>
            <w:pPr>
              <w:spacing w:after="0"/>
              <w:rPr>
                <w:sz w:val="20"/>
                <w:szCs w:val="20"/>
                <w:color w:val="auto"/>
              </w:rPr>
            </w:pPr>
          </w:p>
        </w:tc>
        <w:tc>
          <w:tcPr>
            <w:tcW w:w="3120" w:type="dxa"/>
            <w:vAlign w:val="bottom"/>
            <w:tcBorders>
              <w:right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Date of Change in Equity</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2026</w:t>
            </w: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40" w:type="dxa"/>
            <w:vAlign w:val="bottom"/>
            <w:tcBorders>
              <w:left w:val="single" w:sz="8" w:color="auto"/>
              <w:right w:val="single" w:sz="8" w:color="1F497D"/>
            </w:tcBorders>
          </w:tcPr>
          <w:p>
            <w:pPr>
              <w:spacing w:after="0"/>
              <w:rPr>
                <w:sz w:val="20"/>
                <w:szCs w:val="20"/>
                <w:color w:val="auto"/>
              </w:rPr>
            </w:pPr>
          </w:p>
        </w:tc>
        <w:tc>
          <w:tcPr>
            <w:tcW w:w="3120" w:type="dxa"/>
            <w:vAlign w:val="bottom"/>
            <w:tcBorders>
              <w:right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HUI WANG</w:t>
            </w: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Basic Information on HUI WANG</w:t>
            </w:r>
          </w:p>
        </w:tc>
        <w:tc>
          <w:tcPr>
            <w:tcW w:w="3120" w:type="dxa"/>
            <w:vAlign w:val="bottom"/>
            <w:tcBorders>
              <w:right w:val="single" w:sz="8" w:color="1F497D"/>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5, 6, 7, 8, Lane 999, Dangui Road, China (Shanghai) Pilot F</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1F497D"/>
            </w:tcBorders>
            <w:vMerge w:val="continue"/>
          </w:tcPr>
          <w:p>
            <w:pPr>
              <w:spacing w:after="0"/>
              <w:rPr>
                <w:sz w:val="10"/>
                <w:szCs w:val="10"/>
                <w:color w:val="auto"/>
              </w:rPr>
            </w:pPr>
          </w:p>
        </w:tc>
        <w:tc>
          <w:tcPr>
            <w:tcW w:w="3120" w:type="dxa"/>
            <w:vAlign w:val="bottom"/>
            <w:tcBorders>
              <w:right w:val="single" w:sz="8" w:color="1F497D"/>
            </w:tcBorders>
            <w:vMerge w:val="continue"/>
          </w:tcPr>
          <w:p>
            <w:pPr>
              <w:spacing w:after="0"/>
              <w:rPr>
                <w:sz w:val="10"/>
                <w:szCs w:val="10"/>
                <w:color w:val="auto"/>
              </w:rPr>
            </w:pPr>
          </w:p>
        </w:tc>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Trade Zone</w:t>
            </w:r>
          </w:p>
        </w:tc>
        <w:tc>
          <w:tcPr>
            <w:tcW w:w="0" w:type="dxa"/>
            <w:vAlign w:val="bottom"/>
          </w:tcPr>
          <w:p>
            <w:pPr>
              <w:spacing w:after="0"/>
              <w:rPr>
                <w:sz w:val="1"/>
                <w:szCs w:val="1"/>
                <w:color w:val="auto"/>
              </w:rPr>
            </w:pPr>
          </w:p>
        </w:tc>
      </w:tr>
      <w:tr>
        <w:trPr>
          <w:trHeight w:val="118"/>
        </w:trPr>
        <w:tc>
          <w:tcPr>
            <w:tcW w:w="2640" w:type="dxa"/>
            <w:vAlign w:val="bottom"/>
            <w:tcBorders>
              <w:left w:val="single" w:sz="8" w:color="auto"/>
              <w:right w:val="single" w:sz="8" w:color="1F497D"/>
            </w:tcBorders>
          </w:tcPr>
          <w:p>
            <w:pPr>
              <w:spacing w:after="0"/>
              <w:rPr>
                <w:sz w:val="10"/>
                <w:szCs w:val="10"/>
                <w:color w:val="auto"/>
              </w:rPr>
            </w:pPr>
          </w:p>
        </w:tc>
        <w:tc>
          <w:tcPr>
            <w:tcW w:w="3120" w:type="dxa"/>
            <w:vAlign w:val="bottom"/>
            <w:tcBorders>
              <w:right w:val="single" w:sz="8" w:color="1F497D"/>
            </w:tcBorders>
          </w:tcPr>
          <w:p>
            <w:pPr>
              <w:spacing w:after="0"/>
              <w:rPr>
                <w:sz w:val="10"/>
                <w:szCs w:val="10"/>
                <w:color w:val="auto"/>
              </w:rPr>
            </w:pPr>
          </w:p>
        </w:tc>
        <w:tc>
          <w:tcPr>
            <w:tcW w:w="5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40" w:type="dxa"/>
            <w:vAlign w:val="bottom"/>
            <w:tcBorders>
              <w:left w:val="single" w:sz="8" w:color="auto"/>
              <w:right w:val="single" w:sz="8" w:color="1F497D"/>
            </w:tcBorders>
          </w:tcPr>
          <w:p>
            <w:pPr>
              <w:spacing w:after="0"/>
              <w:rPr>
                <w:sz w:val="20"/>
                <w:szCs w:val="20"/>
                <w:color w:val="auto"/>
              </w:rPr>
            </w:pPr>
          </w:p>
        </w:tc>
        <w:tc>
          <w:tcPr>
            <w:tcW w:w="3120" w:type="dxa"/>
            <w:vAlign w:val="bottom"/>
            <w:tcBorders>
              <w:right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Date of Change in Equity</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 2025</w:t>
            </w: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40" w:type="dxa"/>
            <w:vAlign w:val="bottom"/>
            <w:tcBorders>
              <w:left w:val="single" w:sz="8" w:color="auto"/>
              <w:right w:val="single" w:sz="8" w:color="1F497D"/>
            </w:tcBorders>
          </w:tcPr>
          <w:p>
            <w:pPr>
              <w:spacing w:after="0"/>
              <w:rPr>
                <w:sz w:val="20"/>
                <w:szCs w:val="20"/>
                <w:color w:val="auto"/>
              </w:rPr>
            </w:pPr>
          </w:p>
        </w:tc>
        <w:tc>
          <w:tcPr>
            <w:tcW w:w="3120" w:type="dxa"/>
            <w:vAlign w:val="bottom"/>
            <w:tcBorders>
              <w:right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Jian Wang</w:t>
            </w: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Basic Information on Jian Wang</w:t>
            </w:r>
          </w:p>
        </w:tc>
        <w:tc>
          <w:tcPr>
            <w:tcW w:w="3120" w:type="dxa"/>
            <w:vAlign w:val="bottom"/>
            <w:tcBorders>
              <w:right w:val="single" w:sz="8" w:color="1F497D"/>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5, 6, 7, 8, Lane 999, Dangui Road, China (Shanghai) Pilot F</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1F497D"/>
            </w:tcBorders>
            <w:vMerge w:val="continue"/>
          </w:tcPr>
          <w:p>
            <w:pPr>
              <w:spacing w:after="0"/>
              <w:rPr>
                <w:sz w:val="10"/>
                <w:szCs w:val="10"/>
                <w:color w:val="auto"/>
              </w:rPr>
            </w:pPr>
          </w:p>
        </w:tc>
        <w:tc>
          <w:tcPr>
            <w:tcW w:w="3120" w:type="dxa"/>
            <w:vAlign w:val="bottom"/>
            <w:tcBorders>
              <w:right w:val="single" w:sz="8" w:color="1F497D"/>
            </w:tcBorders>
            <w:vMerge w:val="continue"/>
          </w:tcPr>
          <w:p>
            <w:pPr>
              <w:spacing w:after="0"/>
              <w:rPr>
                <w:sz w:val="10"/>
                <w:szCs w:val="10"/>
                <w:color w:val="auto"/>
              </w:rPr>
            </w:pPr>
          </w:p>
        </w:tc>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Trade Zone</w:t>
            </w:r>
          </w:p>
        </w:tc>
        <w:tc>
          <w:tcPr>
            <w:tcW w:w="0" w:type="dxa"/>
            <w:vAlign w:val="bottom"/>
          </w:tcPr>
          <w:p>
            <w:pPr>
              <w:spacing w:after="0"/>
              <w:rPr>
                <w:sz w:val="1"/>
                <w:szCs w:val="1"/>
                <w:color w:val="auto"/>
              </w:rPr>
            </w:pPr>
          </w:p>
        </w:tc>
      </w:tr>
      <w:tr>
        <w:trPr>
          <w:trHeight w:val="118"/>
        </w:trPr>
        <w:tc>
          <w:tcPr>
            <w:tcW w:w="2640" w:type="dxa"/>
            <w:vAlign w:val="bottom"/>
            <w:tcBorders>
              <w:left w:val="single" w:sz="8" w:color="auto"/>
              <w:right w:val="single" w:sz="8" w:color="1F497D"/>
            </w:tcBorders>
          </w:tcPr>
          <w:p>
            <w:pPr>
              <w:spacing w:after="0"/>
              <w:rPr>
                <w:sz w:val="10"/>
                <w:szCs w:val="10"/>
                <w:color w:val="auto"/>
              </w:rPr>
            </w:pPr>
          </w:p>
        </w:tc>
        <w:tc>
          <w:tcPr>
            <w:tcW w:w="3120" w:type="dxa"/>
            <w:vAlign w:val="bottom"/>
            <w:tcBorders>
              <w:right w:val="single" w:sz="8" w:color="1F497D"/>
            </w:tcBorders>
          </w:tcPr>
          <w:p>
            <w:pPr>
              <w:spacing w:after="0"/>
              <w:rPr>
                <w:sz w:val="10"/>
                <w:szCs w:val="10"/>
                <w:color w:val="auto"/>
              </w:rPr>
            </w:pPr>
          </w:p>
        </w:tc>
        <w:tc>
          <w:tcPr>
            <w:tcW w:w="5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640" w:type="dxa"/>
            <w:vAlign w:val="bottom"/>
            <w:tcBorders>
              <w:left w:val="single" w:sz="8" w:color="auto"/>
              <w:right w:val="single" w:sz="8" w:color="1F497D"/>
            </w:tcBorders>
          </w:tcPr>
          <w:p>
            <w:pPr>
              <w:spacing w:after="0"/>
              <w:rPr>
                <w:sz w:val="3"/>
                <w:szCs w:val="3"/>
                <w:color w:val="auto"/>
              </w:rPr>
            </w:pPr>
          </w:p>
        </w:tc>
        <w:tc>
          <w:tcPr>
            <w:tcW w:w="3120" w:type="dxa"/>
            <w:vAlign w:val="bottom"/>
            <w:tcBorders>
              <w:bottom w:val="single" w:sz="8" w:color="1F497D"/>
              <w:right w:val="single" w:sz="8" w:color="1F497D"/>
            </w:tcBorders>
          </w:tcPr>
          <w:p>
            <w:pPr>
              <w:spacing w:after="0"/>
              <w:rPr>
                <w:sz w:val="3"/>
                <w:szCs w:val="3"/>
                <w:color w:val="auto"/>
              </w:rPr>
            </w:pPr>
          </w:p>
        </w:tc>
        <w:tc>
          <w:tcPr>
            <w:tcW w:w="51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640" w:type="dxa"/>
            <w:vAlign w:val="bottom"/>
            <w:tcBorders>
              <w:left w:val="single" w:sz="8" w:color="auto"/>
              <w:right w:val="single" w:sz="8" w:color="1F497D"/>
            </w:tcBorders>
          </w:tcPr>
          <w:p>
            <w:pPr>
              <w:spacing w:after="0"/>
              <w:rPr>
                <w:sz w:val="23"/>
                <w:szCs w:val="23"/>
                <w:color w:val="auto"/>
              </w:rPr>
            </w:pPr>
          </w:p>
        </w:tc>
        <w:tc>
          <w:tcPr>
            <w:tcW w:w="3120" w:type="dxa"/>
            <w:vAlign w:val="bottom"/>
            <w:tcBorders>
              <w:right w:val="single" w:sz="8" w:color="1F497D"/>
            </w:tcBorders>
          </w:tcPr>
          <w:p>
            <w:pPr>
              <w:ind w:left="20"/>
              <w:spacing w:after="0"/>
              <w:rPr>
                <w:sz w:val="20"/>
                <w:szCs w:val="20"/>
                <w:color w:val="auto"/>
              </w:rPr>
            </w:pPr>
            <w:r>
              <w:rPr>
                <w:rFonts w:ascii="Times New Roman" w:cs="Times New Roman" w:eastAsia="Times New Roman" w:hAnsi="Times New Roman"/>
                <w:sz w:val="18"/>
                <w:szCs w:val="18"/>
                <w:color w:val="auto"/>
              </w:rPr>
              <w:t>Date of Change in Equity</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21, 2025</w:t>
            </w:r>
          </w:p>
        </w:tc>
        <w:tc>
          <w:tcPr>
            <w:tcW w:w="0" w:type="dxa"/>
            <w:vAlign w:val="bottom"/>
          </w:tcPr>
          <w:p>
            <w:pPr>
              <w:spacing w:after="0"/>
              <w:rPr>
                <w:sz w:val="1"/>
                <w:szCs w:val="1"/>
                <w:color w:val="auto"/>
              </w:rPr>
            </w:pPr>
          </w:p>
        </w:tc>
      </w:tr>
      <w:tr>
        <w:trPr>
          <w:trHeight w:val="26"/>
        </w:trPr>
        <w:tc>
          <w:tcPr>
            <w:tcW w:w="2640" w:type="dxa"/>
            <w:vAlign w:val="bottom"/>
            <w:tcBorders>
              <w:left w:val="single" w:sz="8" w:color="1F497D"/>
              <w:right w:val="single" w:sz="8" w:color="1F497D"/>
            </w:tcBorders>
            <w:shd w:val="clear" w:color="auto" w:fill="1F497D"/>
          </w:tcPr>
          <w:p>
            <w:pPr>
              <w:spacing w:after="0"/>
              <w:rPr>
                <w:sz w:val="2"/>
                <w:szCs w:val="2"/>
                <w:color w:val="auto"/>
              </w:rPr>
            </w:pPr>
          </w:p>
        </w:tc>
        <w:tc>
          <w:tcPr>
            <w:tcW w:w="3120" w:type="dxa"/>
            <w:vAlign w:val="bottom"/>
            <w:tcBorders>
              <w:right w:val="single" w:sz="8" w:color="1F497D"/>
            </w:tcBorders>
            <w:shd w:val="clear" w:color="auto" w:fill="1F497D"/>
          </w:tcPr>
          <w:p>
            <w:pPr>
              <w:spacing w:after="0"/>
              <w:rPr>
                <w:sz w:val="2"/>
                <w:szCs w:val="2"/>
                <w:color w:val="auto"/>
              </w:rPr>
            </w:pPr>
          </w:p>
        </w:tc>
        <w:tc>
          <w:tcPr>
            <w:tcW w:w="5160" w:type="dxa"/>
            <w:vAlign w:val="bottom"/>
            <w:shd w:val="clear" w:color="auto" w:fill="1F497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2. Specific Details on this Change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340"/>
          </w:cols>
          <w:pgMar w:left="320" w:top="230" w:right="239" w:bottom="1440" w:gutter="0" w:footer="0" w:header="0"/>
        </w:sectPr>
      </w:pPr>
    </w:p>
    <w:bookmarkStart w:id="7" w:name="page8"/>
    <w:bookmarkEnd w:id="7"/>
    <w:p>
      <w:pPr>
        <w:ind w:left="102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30" w:type="dxa"/>
        <w:tblCellMar>
          <w:top w:w="0" w:type="dxa"/>
          <w:left w:w="0" w:type="dxa"/>
          <w:bottom w:w="0" w:type="dxa"/>
          <w:right w:w="0" w:type="dxa"/>
        </w:tblCellMar>
      </w:tblPr>
      <w:tr>
        <w:trPr>
          <w:trHeight w:val="245"/>
        </w:trPr>
        <w:tc>
          <w:tcPr>
            <w:tcW w:w="1800" w:type="dxa"/>
            <w:vAlign w:val="bottom"/>
            <w:tcBorders>
              <w:top w:val="single" w:sz="8" w:color="1F497D"/>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188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Method of Change</w:t>
            </w:r>
          </w:p>
        </w:tc>
        <w:tc>
          <w:tcPr>
            <w:tcW w:w="194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Change</w:t>
            </w:r>
          </w:p>
        </w:tc>
        <w:tc>
          <w:tcPr>
            <w:tcW w:w="192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Type of Equity</w:t>
            </w:r>
          </w:p>
        </w:tc>
        <w:tc>
          <w:tcPr>
            <w:tcW w:w="204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340" w:type="dxa"/>
            <w:vAlign w:val="bottom"/>
            <w:tcBorders>
              <w:top w:val="single" w:sz="8" w:color="1F497D"/>
            </w:tcBorders>
          </w:tcPr>
          <w:p>
            <w:pPr>
              <w:jc w:val="center"/>
              <w:ind w:left="208"/>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05"/>
        </w:trPr>
        <w:tc>
          <w:tcPr>
            <w:tcW w:w="1800" w:type="dxa"/>
            <w:vAlign w:val="bottom"/>
            <w:tcBorders>
              <w:left w:val="single" w:sz="8" w:color="auto"/>
              <w:right w:val="single" w:sz="8" w:color="1F497D"/>
            </w:tcBorders>
            <w:vMerge w:val="continue"/>
          </w:tcPr>
          <w:p>
            <w:pPr>
              <w:spacing w:after="0"/>
              <w:rPr>
                <w:sz w:val="9"/>
                <w:szCs w:val="9"/>
                <w:color w:val="auto"/>
              </w:rPr>
            </w:pPr>
          </w:p>
        </w:tc>
        <w:tc>
          <w:tcPr>
            <w:tcW w:w="1880" w:type="dxa"/>
            <w:vAlign w:val="bottom"/>
            <w:tcBorders>
              <w:right w:val="single" w:sz="8" w:color="1F497D"/>
            </w:tcBorders>
            <w:vMerge w:val="continue"/>
          </w:tcPr>
          <w:p>
            <w:pPr>
              <w:spacing w:after="0"/>
              <w:rPr>
                <w:sz w:val="9"/>
                <w:szCs w:val="9"/>
                <w:color w:val="auto"/>
              </w:rPr>
            </w:pPr>
          </w:p>
        </w:tc>
        <w:tc>
          <w:tcPr>
            <w:tcW w:w="1940" w:type="dxa"/>
            <w:vAlign w:val="bottom"/>
            <w:tcBorders>
              <w:right w:val="single" w:sz="8" w:color="1F497D"/>
            </w:tcBorders>
            <w:vMerge w:val="continue"/>
          </w:tcPr>
          <w:p>
            <w:pPr>
              <w:spacing w:after="0"/>
              <w:rPr>
                <w:sz w:val="9"/>
                <w:szCs w:val="9"/>
                <w:color w:val="auto"/>
              </w:rPr>
            </w:pPr>
          </w:p>
        </w:tc>
        <w:tc>
          <w:tcPr>
            <w:tcW w:w="1920" w:type="dxa"/>
            <w:vAlign w:val="bottom"/>
            <w:tcBorders>
              <w:right w:val="single" w:sz="8" w:color="1F497D"/>
            </w:tcBorders>
            <w:vMerge w:val="continue"/>
          </w:tcPr>
          <w:p>
            <w:pPr>
              <w:spacing w:after="0"/>
              <w:rPr>
                <w:sz w:val="9"/>
                <w:szCs w:val="9"/>
                <w:color w:val="auto"/>
              </w:rPr>
            </w:pPr>
          </w:p>
        </w:tc>
        <w:tc>
          <w:tcPr>
            <w:tcW w:w="2040" w:type="dxa"/>
            <w:vAlign w:val="bottom"/>
            <w:tcBorders>
              <w:right w:val="single" w:sz="8" w:color="1F497D"/>
            </w:tcBorders>
            <w:vMerge w:val="continue"/>
          </w:tcPr>
          <w:p>
            <w:pPr>
              <w:spacing w:after="0"/>
              <w:rPr>
                <w:sz w:val="9"/>
                <w:szCs w:val="9"/>
                <w:color w:val="auto"/>
              </w:rPr>
            </w:pPr>
          </w:p>
        </w:tc>
        <w:tc>
          <w:tcPr>
            <w:tcW w:w="134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18"/>
        </w:trPr>
        <w:tc>
          <w:tcPr>
            <w:tcW w:w="1800" w:type="dxa"/>
            <w:vAlign w:val="bottom"/>
            <w:tcBorders>
              <w:left w:val="single" w:sz="8" w:color="auto"/>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4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0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Reduced (shares)</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0" w:type="dxa"/>
            <w:vAlign w:val="bottom"/>
            <w:tcBorders>
              <w:left w:val="single" w:sz="8" w:color="auto"/>
              <w:right w:val="single" w:sz="8" w:color="1F497D"/>
            </w:tcBorders>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4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040" w:type="dxa"/>
            <w:vAlign w:val="bottom"/>
            <w:tcBorders>
              <w:right w:val="single" w:sz="8" w:color="1F497D"/>
            </w:tcBorders>
            <w:vMerge w:val="continue"/>
          </w:tcPr>
          <w:p>
            <w:pPr>
              <w:spacing w:after="0"/>
              <w:rPr>
                <w:sz w:val="10"/>
                <w:szCs w:val="10"/>
                <w:color w:val="auto"/>
              </w:rPr>
            </w:pPr>
          </w:p>
        </w:tc>
        <w:tc>
          <w:tcPr>
            <w:tcW w:w="134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0" w:type="dxa"/>
            <w:vAlign w:val="bottom"/>
          </w:tcPr>
          <w:p>
            <w:pPr>
              <w:spacing w:after="0"/>
              <w:rPr>
                <w:sz w:val="1"/>
                <w:szCs w:val="1"/>
                <w:color w:val="auto"/>
              </w:rPr>
            </w:pPr>
          </w:p>
        </w:tc>
      </w:tr>
      <w:tr>
        <w:trPr>
          <w:trHeight w:val="118"/>
        </w:trPr>
        <w:tc>
          <w:tcPr>
            <w:tcW w:w="1800" w:type="dxa"/>
            <w:vAlign w:val="bottom"/>
            <w:tcBorders>
              <w:left w:val="single" w:sz="8" w:color="auto"/>
              <w:right w:val="single" w:sz="8" w:color="1F497D"/>
            </w:tcBorders>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4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040" w:type="dxa"/>
            <w:vAlign w:val="bottom"/>
            <w:tcBorders>
              <w:right w:val="single" w:sz="8" w:color="1F497D"/>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80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4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040" w:type="dxa"/>
            <w:vAlign w:val="bottom"/>
            <w:tcBorders>
              <w:bottom w:val="single" w:sz="8" w:color="1F497D"/>
              <w:right w:val="single" w:sz="8" w:color="1F497D"/>
            </w:tcBorders>
          </w:tcPr>
          <w:p>
            <w:pPr>
              <w:spacing w:after="0" w:line="20" w:lineRule="exact"/>
              <w:rPr>
                <w:sz w:val="1"/>
                <w:szCs w:val="1"/>
                <w:color w:val="auto"/>
              </w:rPr>
            </w:pPr>
          </w:p>
        </w:tc>
        <w:tc>
          <w:tcPr>
            <w:tcW w:w="134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1800" w:type="dxa"/>
            <w:vAlign w:val="bottom"/>
            <w:tcBorders>
              <w:left w:val="single" w:sz="8" w:color="auto"/>
              <w:right w:val="single" w:sz="8" w:color="1F497D"/>
            </w:tcBorders>
          </w:tcPr>
          <w:p>
            <w:pPr>
              <w:spacing w:after="0"/>
              <w:rPr>
                <w:sz w:val="24"/>
                <w:szCs w:val="24"/>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Others</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November 7, 2025</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RMB Ordinary Shares</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auto"/>
                <w:w w:val="98"/>
              </w:rPr>
              <w:t>0.04%</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ACMR US</w:t>
            </w:r>
          </w:p>
        </w:tc>
        <w:tc>
          <w:tcPr>
            <w:tcW w:w="1880" w:type="dxa"/>
            <w:vAlign w:val="bottom"/>
            <w:tcBorders>
              <w:bottom w:val="single" w:sz="8" w:color="1F497D"/>
              <w:right w:val="single" w:sz="8" w:color="1F497D"/>
            </w:tcBorders>
          </w:tcPr>
          <w:p>
            <w:pPr>
              <w:spacing w:after="0"/>
              <w:rPr>
                <w:sz w:val="11"/>
                <w:szCs w:val="11"/>
                <w:color w:val="auto"/>
              </w:rPr>
            </w:pPr>
          </w:p>
        </w:tc>
        <w:tc>
          <w:tcPr>
            <w:tcW w:w="194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2040" w:type="dxa"/>
            <w:vAlign w:val="bottom"/>
            <w:tcBorders>
              <w:bottom w:val="single" w:sz="8" w:color="1F497D"/>
              <w:right w:val="single" w:sz="8" w:color="1F497D"/>
            </w:tcBorders>
          </w:tcPr>
          <w:p>
            <w:pPr>
              <w:spacing w:after="0"/>
              <w:rPr>
                <w:sz w:val="11"/>
                <w:szCs w:val="11"/>
                <w:color w:val="auto"/>
              </w:rPr>
            </w:pPr>
          </w:p>
        </w:tc>
        <w:tc>
          <w:tcPr>
            <w:tcW w:w="134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800" w:type="dxa"/>
            <w:vAlign w:val="bottom"/>
            <w:tcBorders>
              <w:left w:val="single" w:sz="8" w:color="auto"/>
              <w:right w:val="single" w:sz="8" w:color="1F497D"/>
            </w:tcBorders>
            <w:vMerge w:val="continue"/>
          </w:tcPr>
          <w:p>
            <w:pPr>
              <w:spacing w:after="0"/>
              <w:rPr>
                <w:sz w:val="24"/>
                <w:szCs w:val="24"/>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Inquiry-Based Transfer</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February 5, 2026</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RMB Ordinary Shares</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4,801,648</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1F497D"/>
            </w:tcBorders>
          </w:tcPr>
          <w:p>
            <w:pPr>
              <w:spacing w:after="0"/>
              <w:rPr>
                <w:sz w:val="11"/>
                <w:szCs w:val="11"/>
                <w:color w:val="auto"/>
              </w:rPr>
            </w:pPr>
          </w:p>
        </w:tc>
        <w:tc>
          <w:tcPr>
            <w:tcW w:w="1880" w:type="dxa"/>
            <w:vAlign w:val="bottom"/>
            <w:tcBorders>
              <w:bottom w:val="single" w:sz="8" w:color="1F497D"/>
              <w:right w:val="single" w:sz="8" w:color="1F497D"/>
            </w:tcBorders>
          </w:tcPr>
          <w:p>
            <w:pPr>
              <w:spacing w:after="0"/>
              <w:rPr>
                <w:sz w:val="11"/>
                <w:szCs w:val="11"/>
                <w:color w:val="auto"/>
              </w:rPr>
            </w:pPr>
          </w:p>
        </w:tc>
        <w:tc>
          <w:tcPr>
            <w:tcW w:w="194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2040" w:type="dxa"/>
            <w:vAlign w:val="bottom"/>
            <w:tcBorders>
              <w:bottom w:val="single" w:sz="8" w:color="1F497D"/>
              <w:right w:val="single" w:sz="8" w:color="1F497D"/>
            </w:tcBorders>
          </w:tcPr>
          <w:p>
            <w:pPr>
              <w:spacing w:after="0"/>
              <w:rPr>
                <w:sz w:val="11"/>
                <w:szCs w:val="11"/>
                <w:color w:val="auto"/>
              </w:rPr>
            </w:pPr>
          </w:p>
        </w:tc>
        <w:tc>
          <w:tcPr>
            <w:tcW w:w="134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800" w:type="dxa"/>
            <w:vAlign w:val="bottom"/>
            <w:tcBorders>
              <w:left w:val="single" w:sz="8" w:color="auto"/>
              <w:right w:val="single" w:sz="8" w:color="1F497D"/>
            </w:tcBorders>
          </w:tcPr>
          <w:p>
            <w:pPr>
              <w:spacing w:after="0"/>
              <w:rPr>
                <w:sz w:val="23"/>
                <w:szCs w:val="23"/>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4,801,648</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75"/>
        </w:trPr>
        <w:tc>
          <w:tcPr>
            <w:tcW w:w="1800" w:type="dxa"/>
            <w:vAlign w:val="bottom"/>
            <w:tcBorders>
              <w:left w:val="single" w:sz="8" w:color="auto"/>
              <w:right w:val="single" w:sz="8" w:color="1F497D"/>
            </w:tcBorders>
          </w:tcPr>
          <w:p>
            <w:pPr>
              <w:spacing w:after="0"/>
              <w:rPr>
                <w:sz w:val="6"/>
                <w:szCs w:val="6"/>
                <w:color w:val="auto"/>
              </w:rPr>
            </w:pPr>
          </w:p>
        </w:tc>
        <w:tc>
          <w:tcPr>
            <w:tcW w:w="1880" w:type="dxa"/>
            <w:vAlign w:val="bottom"/>
            <w:tcBorders>
              <w:bottom w:val="single" w:sz="8" w:color="1F497D"/>
              <w:right w:val="single" w:sz="8" w:color="1F497D"/>
            </w:tcBorders>
          </w:tcPr>
          <w:p>
            <w:pPr>
              <w:spacing w:after="0"/>
              <w:rPr>
                <w:sz w:val="6"/>
                <w:szCs w:val="6"/>
                <w:color w:val="auto"/>
              </w:rPr>
            </w:pPr>
          </w:p>
        </w:tc>
        <w:tc>
          <w:tcPr>
            <w:tcW w:w="1940" w:type="dxa"/>
            <w:vAlign w:val="bottom"/>
            <w:tcBorders>
              <w:bottom w:val="single" w:sz="8" w:color="1F497D"/>
              <w:right w:val="single" w:sz="8" w:color="1F497D"/>
            </w:tcBorders>
          </w:tcPr>
          <w:p>
            <w:pPr>
              <w:spacing w:after="0"/>
              <w:rPr>
                <w:sz w:val="6"/>
                <w:szCs w:val="6"/>
                <w:color w:val="auto"/>
              </w:rPr>
            </w:pPr>
          </w:p>
        </w:tc>
        <w:tc>
          <w:tcPr>
            <w:tcW w:w="1920" w:type="dxa"/>
            <w:vAlign w:val="bottom"/>
            <w:tcBorders>
              <w:bottom w:val="single" w:sz="8" w:color="1F497D"/>
              <w:right w:val="single" w:sz="8" w:color="1F497D"/>
            </w:tcBorders>
          </w:tcPr>
          <w:p>
            <w:pPr>
              <w:spacing w:after="0"/>
              <w:rPr>
                <w:sz w:val="6"/>
                <w:szCs w:val="6"/>
                <w:color w:val="auto"/>
              </w:rPr>
            </w:pPr>
          </w:p>
        </w:tc>
        <w:tc>
          <w:tcPr>
            <w:tcW w:w="2040" w:type="dxa"/>
            <w:vAlign w:val="bottom"/>
            <w:tcBorders>
              <w:bottom w:val="single" w:sz="8" w:color="1F497D"/>
              <w:right w:val="single" w:sz="8" w:color="1F497D"/>
            </w:tcBorders>
          </w:tcPr>
          <w:p>
            <w:pPr>
              <w:spacing w:after="0"/>
              <w:rPr>
                <w:sz w:val="6"/>
                <w:szCs w:val="6"/>
                <w:color w:val="auto"/>
              </w:rPr>
            </w:pPr>
          </w:p>
        </w:tc>
        <w:tc>
          <w:tcPr>
            <w:tcW w:w="1340" w:type="dxa"/>
            <w:vAlign w:val="bottom"/>
            <w:tcBorders>
              <w:bottom w:val="single" w:sz="8" w:color="1F497D"/>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0" w:type="dxa"/>
            <w:vAlign w:val="bottom"/>
            <w:tcBorders>
              <w:left w:val="single" w:sz="8" w:color="auto"/>
              <w:right w:val="single" w:sz="8" w:color="1F497D"/>
            </w:tcBorders>
          </w:tcPr>
          <w:p>
            <w:pPr>
              <w:spacing w:after="0"/>
              <w:rPr>
                <w:sz w:val="24"/>
                <w:szCs w:val="24"/>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Centralized Bidding</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November 4–20, 2025</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RMB Ordinary Shares</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199,794</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auto"/>
                <w:w w:val="98"/>
              </w:rPr>
              <w:t>0.04%</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HUI WANG</w:t>
            </w:r>
          </w:p>
        </w:tc>
        <w:tc>
          <w:tcPr>
            <w:tcW w:w="1880" w:type="dxa"/>
            <w:vAlign w:val="bottom"/>
            <w:tcBorders>
              <w:bottom w:val="single" w:sz="8" w:color="1F497D"/>
              <w:right w:val="single" w:sz="8" w:color="1F497D"/>
            </w:tcBorders>
          </w:tcPr>
          <w:p>
            <w:pPr>
              <w:spacing w:after="0"/>
              <w:rPr>
                <w:sz w:val="11"/>
                <w:szCs w:val="11"/>
                <w:color w:val="auto"/>
              </w:rPr>
            </w:pPr>
          </w:p>
        </w:tc>
        <w:tc>
          <w:tcPr>
            <w:tcW w:w="194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2040" w:type="dxa"/>
            <w:vAlign w:val="bottom"/>
            <w:tcBorders>
              <w:bottom w:val="single" w:sz="8" w:color="1F497D"/>
              <w:right w:val="single" w:sz="8" w:color="1F497D"/>
            </w:tcBorders>
          </w:tcPr>
          <w:p>
            <w:pPr>
              <w:spacing w:after="0"/>
              <w:rPr>
                <w:sz w:val="11"/>
                <w:szCs w:val="11"/>
                <w:color w:val="auto"/>
              </w:rPr>
            </w:pPr>
          </w:p>
        </w:tc>
        <w:tc>
          <w:tcPr>
            <w:tcW w:w="134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1800" w:type="dxa"/>
            <w:vAlign w:val="bottom"/>
            <w:tcBorders>
              <w:left w:val="single" w:sz="8" w:color="auto"/>
              <w:right w:val="single" w:sz="8" w:color="1F497D"/>
            </w:tcBorders>
            <w:vMerge w:val="continue"/>
          </w:tcPr>
          <w:p>
            <w:pPr>
              <w:spacing w:after="0"/>
              <w:rPr>
                <w:sz w:val="22"/>
                <w:szCs w:val="22"/>
                <w:color w:val="auto"/>
              </w:rPr>
            </w:pP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Others</w:t>
            </w:r>
          </w:p>
        </w:tc>
        <w:tc>
          <w:tcPr>
            <w:tcW w:w="19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7, 2025</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RMB Ordinary Shares</w:t>
            </w:r>
          </w:p>
        </w:tc>
        <w:tc>
          <w:tcPr>
            <w:tcW w:w="20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66"/>
        </w:trPr>
        <w:tc>
          <w:tcPr>
            <w:tcW w:w="1800" w:type="dxa"/>
            <w:vAlign w:val="bottom"/>
            <w:tcBorders>
              <w:left w:val="single" w:sz="8" w:color="auto"/>
              <w:right w:val="single" w:sz="8" w:color="1F497D"/>
            </w:tcBorders>
          </w:tcPr>
          <w:p>
            <w:pPr>
              <w:spacing w:after="0"/>
              <w:rPr>
                <w:sz w:val="5"/>
                <w:szCs w:val="5"/>
                <w:color w:val="auto"/>
              </w:rPr>
            </w:pPr>
          </w:p>
        </w:tc>
        <w:tc>
          <w:tcPr>
            <w:tcW w:w="1880" w:type="dxa"/>
            <w:vAlign w:val="bottom"/>
            <w:tcBorders>
              <w:right w:val="single" w:sz="8" w:color="1F497D"/>
            </w:tcBorders>
            <w:vMerge w:val="continue"/>
          </w:tcPr>
          <w:p>
            <w:pPr>
              <w:spacing w:after="0"/>
              <w:rPr>
                <w:sz w:val="5"/>
                <w:szCs w:val="5"/>
                <w:color w:val="auto"/>
              </w:rPr>
            </w:pPr>
          </w:p>
        </w:tc>
        <w:tc>
          <w:tcPr>
            <w:tcW w:w="1940" w:type="dxa"/>
            <w:vAlign w:val="bottom"/>
            <w:tcBorders>
              <w:right w:val="single" w:sz="8" w:color="1F497D"/>
            </w:tcBorders>
            <w:vMerge w:val="continue"/>
          </w:tcPr>
          <w:p>
            <w:pPr>
              <w:spacing w:after="0"/>
              <w:rPr>
                <w:sz w:val="5"/>
                <w:szCs w:val="5"/>
                <w:color w:val="auto"/>
              </w:rPr>
            </w:pPr>
          </w:p>
        </w:tc>
        <w:tc>
          <w:tcPr>
            <w:tcW w:w="1920" w:type="dxa"/>
            <w:vAlign w:val="bottom"/>
            <w:tcBorders>
              <w:right w:val="single" w:sz="8" w:color="1F497D"/>
            </w:tcBorders>
            <w:vMerge w:val="continue"/>
          </w:tcPr>
          <w:p>
            <w:pPr>
              <w:spacing w:after="0"/>
              <w:rPr>
                <w:sz w:val="5"/>
                <w:szCs w:val="5"/>
                <w:color w:val="auto"/>
              </w:rPr>
            </w:pPr>
          </w:p>
        </w:tc>
        <w:tc>
          <w:tcPr>
            <w:tcW w:w="2040" w:type="dxa"/>
            <w:vAlign w:val="bottom"/>
            <w:tcBorders>
              <w:right w:val="single" w:sz="8" w:color="1F497D"/>
            </w:tcBorders>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1F497D"/>
            </w:tcBorders>
          </w:tcPr>
          <w:p>
            <w:pPr>
              <w:spacing w:after="0"/>
              <w:rPr>
                <w:sz w:val="11"/>
                <w:szCs w:val="11"/>
                <w:color w:val="auto"/>
              </w:rPr>
            </w:pPr>
          </w:p>
        </w:tc>
        <w:tc>
          <w:tcPr>
            <w:tcW w:w="1880" w:type="dxa"/>
            <w:vAlign w:val="bottom"/>
            <w:tcBorders>
              <w:bottom w:val="single" w:sz="8" w:color="1F497D"/>
              <w:right w:val="single" w:sz="8" w:color="1F497D"/>
            </w:tcBorders>
          </w:tcPr>
          <w:p>
            <w:pPr>
              <w:spacing w:after="0"/>
              <w:rPr>
                <w:sz w:val="11"/>
                <w:szCs w:val="11"/>
                <w:color w:val="auto"/>
              </w:rPr>
            </w:pPr>
          </w:p>
        </w:tc>
        <w:tc>
          <w:tcPr>
            <w:tcW w:w="194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2040" w:type="dxa"/>
            <w:vAlign w:val="bottom"/>
            <w:tcBorders>
              <w:bottom w:val="single" w:sz="8" w:color="1F497D"/>
              <w:right w:val="single" w:sz="8" w:color="1F497D"/>
            </w:tcBorders>
          </w:tcPr>
          <w:p>
            <w:pPr>
              <w:spacing w:after="0"/>
              <w:rPr>
                <w:sz w:val="11"/>
                <w:szCs w:val="11"/>
                <w:color w:val="auto"/>
              </w:rPr>
            </w:pPr>
          </w:p>
        </w:tc>
        <w:tc>
          <w:tcPr>
            <w:tcW w:w="134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800" w:type="dxa"/>
            <w:vAlign w:val="bottom"/>
            <w:tcBorders>
              <w:left w:val="single" w:sz="8" w:color="auto"/>
              <w:right w:val="single" w:sz="8" w:color="1F497D"/>
            </w:tcBorders>
          </w:tcPr>
          <w:p>
            <w:pPr>
              <w:spacing w:after="0"/>
              <w:rPr>
                <w:sz w:val="23"/>
                <w:szCs w:val="23"/>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75"/>
        </w:trPr>
        <w:tc>
          <w:tcPr>
            <w:tcW w:w="1800" w:type="dxa"/>
            <w:vAlign w:val="bottom"/>
            <w:tcBorders>
              <w:left w:val="single" w:sz="8" w:color="auto"/>
              <w:right w:val="single" w:sz="8" w:color="1F497D"/>
            </w:tcBorders>
          </w:tcPr>
          <w:p>
            <w:pPr>
              <w:spacing w:after="0"/>
              <w:rPr>
                <w:sz w:val="6"/>
                <w:szCs w:val="6"/>
                <w:color w:val="auto"/>
              </w:rPr>
            </w:pPr>
          </w:p>
        </w:tc>
        <w:tc>
          <w:tcPr>
            <w:tcW w:w="1880" w:type="dxa"/>
            <w:vAlign w:val="bottom"/>
            <w:tcBorders>
              <w:bottom w:val="single" w:sz="8" w:color="1F497D"/>
              <w:right w:val="single" w:sz="8" w:color="1F497D"/>
            </w:tcBorders>
          </w:tcPr>
          <w:p>
            <w:pPr>
              <w:spacing w:after="0"/>
              <w:rPr>
                <w:sz w:val="6"/>
                <w:szCs w:val="6"/>
                <w:color w:val="auto"/>
              </w:rPr>
            </w:pPr>
          </w:p>
        </w:tc>
        <w:tc>
          <w:tcPr>
            <w:tcW w:w="1940" w:type="dxa"/>
            <w:vAlign w:val="bottom"/>
            <w:tcBorders>
              <w:bottom w:val="single" w:sz="8" w:color="1F497D"/>
              <w:right w:val="single" w:sz="8" w:color="1F497D"/>
            </w:tcBorders>
          </w:tcPr>
          <w:p>
            <w:pPr>
              <w:spacing w:after="0"/>
              <w:rPr>
                <w:sz w:val="6"/>
                <w:szCs w:val="6"/>
                <w:color w:val="auto"/>
              </w:rPr>
            </w:pPr>
          </w:p>
        </w:tc>
        <w:tc>
          <w:tcPr>
            <w:tcW w:w="1920" w:type="dxa"/>
            <w:vAlign w:val="bottom"/>
            <w:tcBorders>
              <w:bottom w:val="single" w:sz="8" w:color="1F497D"/>
              <w:right w:val="single" w:sz="8" w:color="1F497D"/>
            </w:tcBorders>
          </w:tcPr>
          <w:p>
            <w:pPr>
              <w:spacing w:after="0"/>
              <w:rPr>
                <w:sz w:val="6"/>
                <w:szCs w:val="6"/>
                <w:color w:val="auto"/>
              </w:rPr>
            </w:pPr>
          </w:p>
        </w:tc>
        <w:tc>
          <w:tcPr>
            <w:tcW w:w="2040" w:type="dxa"/>
            <w:vAlign w:val="bottom"/>
            <w:tcBorders>
              <w:bottom w:val="single" w:sz="8" w:color="1F497D"/>
              <w:right w:val="single" w:sz="8" w:color="1F497D"/>
            </w:tcBorders>
          </w:tcPr>
          <w:p>
            <w:pPr>
              <w:spacing w:after="0"/>
              <w:rPr>
                <w:sz w:val="6"/>
                <w:szCs w:val="6"/>
                <w:color w:val="auto"/>
              </w:rPr>
            </w:pPr>
          </w:p>
        </w:tc>
        <w:tc>
          <w:tcPr>
            <w:tcW w:w="1340" w:type="dxa"/>
            <w:vAlign w:val="bottom"/>
            <w:tcBorders>
              <w:bottom w:val="single" w:sz="8" w:color="1F497D"/>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0" w:type="dxa"/>
            <w:vAlign w:val="bottom"/>
            <w:tcBorders>
              <w:left w:val="single" w:sz="8" w:color="auto"/>
              <w:right w:val="single" w:sz="8" w:color="1F497D"/>
            </w:tcBorders>
          </w:tcPr>
          <w:p>
            <w:pPr>
              <w:spacing w:after="0"/>
              <w:rPr>
                <w:sz w:val="24"/>
                <w:szCs w:val="24"/>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Centralized Bidding</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November 5–21, 2025</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RMB Ordinary Shares</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148,104</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auto"/>
                <w:w w:val="98"/>
              </w:rPr>
              <w:t>0.03%</w:t>
            </w: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Jian Wang</w:t>
            </w:r>
          </w:p>
        </w:tc>
        <w:tc>
          <w:tcPr>
            <w:tcW w:w="1880" w:type="dxa"/>
            <w:vAlign w:val="bottom"/>
            <w:tcBorders>
              <w:bottom w:val="single" w:sz="8" w:color="1F497D"/>
              <w:right w:val="single" w:sz="8" w:color="1F497D"/>
            </w:tcBorders>
          </w:tcPr>
          <w:p>
            <w:pPr>
              <w:spacing w:after="0"/>
              <w:rPr>
                <w:sz w:val="11"/>
                <w:szCs w:val="11"/>
                <w:color w:val="auto"/>
              </w:rPr>
            </w:pPr>
          </w:p>
        </w:tc>
        <w:tc>
          <w:tcPr>
            <w:tcW w:w="194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2040" w:type="dxa"/>
            <w:vAlign w:val="bottom"/>
            <w:tcBorders>
              <w:bottom w:val="single" w:sz="8" w:color="1F497D"/>
              <w:right w:val="single" w:sz="8" w:color="1F497D"/>
            </w:tcBorders>
          </w:tcPr>
          <w:p>
            <w:pPr>
              <w:spacing w:after="0"/>
              <w:rPr>
                <w:sz w:val="11"/>
                <w:szCs w:val="11"/>
                <w:color w:val="auto"/>
              </w:rPr>
            </w:pPr>
          </w:p>
        </w:tc>
        <w:tc>
          <w:tcPr>
            <w:tcW w:w="134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800" w:type="dxa"/>
            <w:vAlign w:val="bottom"/>
            <w:tcBorders>
              <w:left w:val="single" w:sz="8" w:color="auto"/>
              <w:right w:val="single" w:sz="8" w:color="1F497D"/>
            </w:tcBorders>
            <w:vMerge w:val="continue"/>
          </w:tcPr>
          <w:p>
            <w:pPr>
              <w:spacing w:after="0"/>
              <w:rPr>
                <w:sz w:val="19"/>
                <w:szCs w:val="19"/>
                <w:color w:val="auto"/>
              </w:rPr>
            </w:pP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Others</w:t>
            </w:r>
          </w:p>
        </w:tc>
        <w:tc>
          <w:tcPr>
            <w:tcW w:w="19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7, 2025</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RMB Ordinary Shares</w:t>
            </w:r>
          </w:p>
        </w:tc>
        <w:tc>
          <w:tcPr>
            <w:tcW w:w="20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105"/>
        </w:trPr>
        <w:tc>
          <w:tcPr>
            <w:tcW w:w="1800" w:type="dxa"/>
            <w:vAlign w:val="bottom"/>
            <w:tcBorders>
              <w:left w:val="single" w:sz="8" w:color="auto"/>
              <w:right w:val="single" w:sz="8" w:color="1F497D"/>
            </w:tcBorders>
          </w:tcPr>
          <w:p>
            <w:pPr>
              <w:spacing w:after="0"/>
              <w:rPr>
                <w:sz w:val="9"/>
                <w:szCs w:val="9"/>
                <w:color w:val="auto"/>
              </w:rPr>
            </w:pPr>
          </w:p>
        </w:tc>
        <w:tc>
          <w:tcPr>
            <w:tcW w:w="1880" w:type="dxa"/>
            <w:vAlign w:val="bottom"/>
            <w:tcBorders>
              <w:right w:val="single" w:sz="8" w:color="1F497D"/>
            </w:tcBorders>
            <w:vMerge w:val="continue"/>
          </w:tcPr>
          <w:p>
            <w:pPr>
              <w:spacing w:after="0"/>
              <w:rPr>
                <w:sz w:val="9"/>
                <w:szCs w:val="9"/>
                <w:color w:val="auto"/>
              </w:rPr>
            </w:pPr>
          </w:p>
        </w:tc>
        <w:tc>
          <w:tcPr>
            <w:tcW w:w="1940" w:type="dxa"/>
            <w:vAlign w:val="bottom"/>
            <w:tcBorders>
              <w:right w:val="single" w:sz="8" w:color="1F497D"/>
            </w:tcBorders>
            <w:vMerge w:val="continue"/>
          </w:tcPr>
          <w:p>
            <w:pPr>
              <w:spacing w:after="0"/>
              <w:rPr>
                <w:sz w:val="9"/>
                <w:szCs w:val="9"/>
                <w:color w:val="auto"/>
              </w:rPr>
            </w:pPr>
          </w:p>
        </w:tc>
        <w:tc>
          <w:tcPr>
            <w:tcW w:w="1920" w:type="dxa"/>
            <w:vAlign w:val="bottom"/>
            <w:tcBorders>
              <w:right w:val="single" w:sz="8" w:color="1F497D"/>
            </w:tcBorders>
            <w:vMerge w:val="continue"/>
          </w:tcPr>
          <w:p>
            <w:pPr>
              <w:spacing w:after="0"/>
              <w:rPr>
                <w:sz w:val="9"/>
                <w:szCs w:val="9"/>
                <w:color w:val="auto"/>
              </w:rPr>
            </w:pPr>
          </w:p>
        </w:tc>
        <w:tc>
          <w:tcPr>
            <w:tcW w:w="2040" w:type="dxa"/>
            <w:vAlign w:val="bottom"/>
            <w:tcBorders>
              <w:right w:val="single" w:sz="8" w:color="1F497D"/>
            </w:tcBorders>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tcBorders>
              <w:left w:val="single" w:sz="8" w:color="auto"/>
              <w:right w:val="single" w:sz="8" w:color="1F497D"/>
            </w:tcBorders>
          </w:tcPr>
          <w:p>
            <w:pPr>
              <w:spacing w:after="0"/>
              <w:rPr>
                <w:sz w:val="11"/>
                <w:szCs w:val="11"/>
                <w:color w:val="auto"/>
              </w:rPr>
            </w:pPr>
          </w:p>
        </w:tc>
        <w:tc>
          <w:tcPr>
            <w:tcW w:w="1880" w:type="dxa"/>
            <w:vAlign w:val="bottom"/>
            <w:tcBorders>
              <w:bottom w:val="single" w:sz="8" w:color="1F497D"/>
              <w:right w:val="single" w:sz="8" w:color="1F497D"/>
            </w:tcBorders>
          </w:tcPr>
          <w:p>
            <w:pPr>
              <w:spacing w:after="0"/>
              <w:rPr>
                <w:sz w:val="11"/>
                <w:szCs w:val="11"/>
                <w:color w:val="auto"/>
              </w:rPr>
            </w:pPr>
          </w:p>
        </w:tc>
        <w:tc>
          <w:tcPr>
            <w:tcW w:w="194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2040" w:type="dxa"/>
            <w:vAlign w:val="bottom"/>
            <w:tcBorders>
              <w:bottom w:val="single" w:sz="8" w:color="1F497D"/>
              <w:right w:val="single" w:sz="8" w:color="1F497D"/>
            </w:tcBorders>
          </w:tcPr>
          <w:p>
            <w:pPr>
              <w:spacing w:after="0"/>
              <w:rPr>
                <w:sz w:val="11"/>
                <w:szCs w:val="11"/>
                <w:color w:val="auto"/>
              </w:rPr>
            </w:pPr>
          </w:p>
        </w:tc>
        <w:tc>
          <w:tcPr>
            <w:tcW w:w="134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800" w:type="dxa"/>
            <w:vAlign w:val="bottom"/>
            <w:tcBorders>
              <w:left w:val="single" w:sz="8" w:color="auto"/>
              <w:right w:val="single" w:sz="8" w:color="1F497D"/>
            </w:tcBorders>
          </w:tcPr>
          <w:p>
            <w:pPr>
              <w:spacing w:after="0"/>
              <w:rPr>
                <w:sz w:val="23"/>
                <w:szCs w:val="23"/>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148,104</w:t>
            </w:r>
          </w:p>
        </w:tc>
        <w:tc>
          <w:tcPr>
            <w:tcW w:w="1340" w:type="dxa"/>
            <w:vAlign w:val="bottom"/>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0.03%</w:t>
            </w:r>
          </w:p>
        </w:tc>
        <w:tc>
          <w:tcPr>
            <w:tcW w:w="0" w:type="dxa"/>
            <w:vAlign w:val="bottom"/>
          </w:tcPr>
          <w:p>
            <w:pPr>
              <w:spacing w:after="0"/>
              <w:rPr>
                <w:sz w:val="1"/>
                <w:szCs w:val="1"/>
                <w:color w:val="auto"/>
              </w:rPr>
            </w:pPr>
          </w:p>
        </w:tc>
      </w:tr>
      <w:tr>
        <w:trPr>
          <w:trHeight w:val="26"/>
        </w:trPr>
        <w:tc>
          <w:tcPr>
            <w:tcW w:w="1800" w:type="dxa"/>
            <w:vAlign w:val="bottom"/>
            <w:tcBorders>
              <w:left w:val="single" w:sz="8" w:color="1F497D"/>
              <w:right w:val="single" w:sz="8" w:color="1F497D"/>
            </w:tcBorders>
            <w:shd w:val="clear" w:color="auto" w:fill="1F497D"/>
          </w:tcPr>
          <w:p>
            <w:pPr>
              <w:spacing w:after="0"/>
              <w:rPr>
                <w:sz w:val="2"/>
                <w:szCs w:val="2"/>
                <w:color w:val="auto"/>
              </w:rPr>
            </w:pPr>
          </w:p>
        </w:tc>
        <w:tc>
          <w:tcPr>
            <w:tcW w:w="1880" w:type="dxa"/>
            <w:vAlign w:val="bottom"/>
            <w:tcBorders>
              <w:right w:val="single" w:sz="8" w:color="1F497D"/>
            </w:tcBorders>
            <w:shd w:val="clear" w:color="auto" w:fill="1F497D"/>
          </w:tcPr>
          <w:p>
            <w:pPr>
              <w:spacing w:after="0"/>
              <w:rPr>
                <w:sz w:val="2"/>
                <w:szCs w:val="2"/>
                <w:color w:val="auto"/>
              </w:rPr>
            </w:pPr>
          </w:p>
        </w:tc>
        <w:tc>
          <w:tcPr>
            <w:tcW w:w="1940" w:type="dxa"/>
            <w:vAlign w:val="bottom"/>
            <w:tcBorders>
              <w:right w:val="single" w:sz="8" w:color="1F497D"/>
            </w:tcBorders>
            <w:shd w:val="clear" w:color="auto" w:fill="1F497D"/>
          </w:tcPr>
          <w:p>
            <w:pPr>
              <w:spacing w:after="0"/>
              <w:rPr>
                <w:sz w:val="2"/>
                <w:szCs w:val="2"/>
                <w:color w:val="auto"/>
              </w:rPr>
            </w:pPr>
          </w:p>
        </w:tc>
        <w:tc>
          <w:tcPr>
            <w:tcW w:w="1920" w:type="dxa"/>
            <w:vAlign w:val="bottom"/>
            <w:tcBorders>
              <w:right w:val="single" w:sz="8" w:color="1F497D"/>
            </w:tcBorders>
            <w:shd w:val="clear" w:color="auto" w:fill="1F497D"/>
          </w:tcPr>
          <w:p>
            <w:pPr>
              <w:spacing w:after="0"/>
              <w:rPr>
                <w:sz w:val="2"/>
                <w:szCs w:val="2"/>
                <w:color w:val="auto"/>
              </w:rPr>
            </w:pPr>
          </w:p>
        </w:tc>
        <w:tc>
          <w:tcPr>
            <w:tcW w:w="2040" w:type="dxa"/>
            <w:vAlign w:val="bottom"/>
            <w:tcBorders>
              <w:right w:val="single" w:sz="8" w:color="1F497D"/>
            </w:tcBorders>
            <w:shd w:val="clear" w:color="auto" w:fill="1F497D"/>
          </w:tcPr>
          <w:p>
            <w:pPr>
              <w:spacing w:after="0"/>
              <w:rPr>
                <w:sz w:val="2"/>
                <w:szCs w:val="2"/>
                <w:color w:val="auto"/>
              </w:rPr>
            </w:pPr>
          </w:p>
        </w:tc>
        <w:tc>
          <w:tcPr>
            <w:tcW w:w="1340" w:type="dxa"/>
            <w:vAlign w:val="bottom"/>
            <w:shd w:val="clear" w:color="auto" w:fill="1F497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Notes: (1) “Others” in the Method of Change refers to the increase in ACM Shanghai’s total share capital and the passive dilution of the shareholding percentage of ACMR US and its acting-in-concert parties, HUI WANG and Jian Wang, due to the completion of share registration for the first batch of vested shares under the first vesting period of the reserved grant portion of ACM Shanghai’s 2023 Restricted Stock Incentive Plan.</w:t>
      </w:r>
    </w:p>
    <w:p>
      <w:pPr>
        <w:spacing w:after="0" w:line="83" w:lineRule="exact"/>
        <w:rPr>
          <w:sz w:val="20"/>
          <w:szCs w:val="20"/>
          <w:color w:val="auto"/>
        </w:rPr>
      </w:pPr>
    </w:p>
    <w:p>
      <w:pPr>
        <w:ind w:right="100" w:firstLine="5"/>
        <w:spacing w:after="0" w:line="296" w:lineRule="auto"/>
        <w:tabs>
          <w:tab w:leader="none" w:pos="2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Shareholding Reduction” is calculated based on ACM Shanghai’s total share capital at the time of the occurrence of the change in equity, and minor discrepancies may result from rounding off.</w:t>
      </w:r>
    </w:p>
    <w:p>
      <w:pPr>
        <w:spacing w:after="0" w:line="87" w:lineRule="exact"/>
        <w:rPr>
          <w:rFonts w:ascii="Times New Roman" w:cs="Times New Roman" w:eastAsia="Times New Roman" w:hAnsi="Times New Roman"/>
          <w:sz w:val="18"/>
          <w:szCs w:val="18"/>
          <w:color w:val="auto"/>
        </w:rPr>
      </w:pPr>
    </w:p>
    <w:p>
      <w:pPr>
        <w:ind w:right="100" w:firstLine="426"/>
        <w:spacing w:after="0" w:line="284" w:lineRule="auto"/>
        <w:tabs>
          <w:tab w:leader="none" w:pos="646" w:val="left"/>
        </w:tabs>
        <w:numPr>
          <w:ilvl w:val="1"/>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Changes in Equity Owned by the Investor and Its Acting-in-Concert Parties in ACM Shanghai before and after this Change in Equity</w:t>
      </w:r>
    </w:p>
    <w:p>
      <w:pPr>
        <w:spacing w:after="0" w:line="96" w:lineRule="exact"/>
        <w:rPr>
          <w:sz w:val="20"/>
          <w:szCs w:val="20"/>
          <w:color w:val="auto"/>
        </w:rPr>
      </w:pPr>
    </w:p>
    <w:tbl>
      <w:tblPr>
        <w:tblLayout w:type="fixed"/>
        <w:tblInd w:w="430" w:type="dxa"/>
        <w:tblCellMar>
          <w:top w:w="0" w:type="dxa"/>
          <w:left w:w="0" w:type="dxa"/>
          <w:bottom w:w="0" w:type="dxa"/>
          <w:right w:w="0" w:type="dxa"/>
        </w:tblCellMar>
      </w:tblPr>
      <w:tr>
        <w:trPr>
          <w:trHeight w:val="344"/>
        </w:trPr>
        <w:tc>
          <w:tcPr>
            <w:tcW w:w="1680" w:type="dxa"/>
            <w:vAlign w:val="bottom"/>
            <w:tcBorders>
              <w:top w:val="single" w:sz="8" w:color="1F497D"/>
              <w:left w:val="single" w:sz="8" w:color="auto"/>
              <w:right w:val="single" w:sz="8" w:color="1F497D"/>
            </w:tcBorders>
          </w:tcPr>
          <w:p>
            <w:pPr>
              <w:spacing w:after="0"/>
              <w:rPr>
                <w:sz w:val="24"/>
                <w:szCs w:val="24"/>
                <w:color w:val="auto"/>
              </w:rPr>
            </w:pPr>
          </w:p>
        </w:tc>
        <w:tc>
          <w:tcPr>
            <w:tcW w:w="2400" w:type="dxa"/>
            <w:vAlign w:val="bottom"/>
            <w:tcBorders>
              <w:top w:val="single" w:sz="8" w:color="1F497D"/>
              <w:right w:val="single" w:sz="8" w:color="1F497D"/>
            </w:tcBorders>
          </w:tcPr>
          <w:p>
            <w:pPr>
              <w:spacing w:after="0"/>
              <w:rPr>
                <w:sz w:val="24"/>
                <w:szCs w:val="24"/>
                <w:color w:val="auto"/>
              </w:rPr>
            </w:pPr>
          </w:p>
        </w:tc>
        <w:tc>
          <w:tcPr>
            <w:tcW w:w="3660" w:type="dxa"/>
            <w:vAlign w:val="bottom"/>
            <w:tcBorders>
              <w:top w:val="single" w:sz="8" w:color="1F497D"/>
              <w:right w:val="single" w:sz="8" w:color="1F497D"/>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Shares Held before this Transfer</w:t>
            </w:r>
          </w:p>
        </w:tc>
        <w:tc>
          <w:tcPr>
            <w:tcW w:w="3180" w:type="dxa"/>
            <w:vAlign w:val="bottom"/>
            <w:tcBorders>
              <w:top w:val="single" w:sz="8" w:color="1F497D"/>
            </w:tcBorders>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Shares Held after this Transfer</w:t>
            </w:r>
          </w:p>
        </w:tc>
        <w:tc>
          <w:tcPr>
            <w:tcW w:w="0" w:type="dxa"/>
            <w:vAlign w:val="bottom"/>
          </w:tcPr>
          <w:p>
            <w:pPr>
              <w:spacing w:after="0"/>
              <w:rPr>
                <w:sz w:val="1"/>
                <w:szCs w:val="1"/>
                <w:color w:val="auto"/>
              </w:rPr>
            </w:pPr>
          </w:p>
        </w:tc>
      </w:tr>
      <w:tr>
        <w:trPr>
          <w:trHeight w:val="128"/>
        </w:trPr>
        <w:tc>
          <w:tcPr>
            <w:tcW w:w="168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4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Nature of Shares</w:t>
            </w:r>
          </w:p>
        </w:tc>
        <w:tc>
          <w:tcPr>
            <w:tcW w:w="2060" w:type="dxa"/>
            <w:vAlign w:val="bottom"/>
            <w:tcBorders>
              <w:bottom w:val="single" w:sz="8" w:color="1F497D"/>
            </w:tcBorders>
          </w:tcPr>
          <w:p>
            <w:pPr>
              <w:spacing w:after="0"/>
              <w:rPr>
                <w:sz w:val="11"/>
                <w:szCs w:val="11"/>
                <w:color w:val="auto"/>
              </w:rPr>
            </w:pPr>
          </w:p>
        </w:tc>
        <w:tc>
          <w:tcPr>
            <w:tcW w:w="160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tcBorders>
          </w:tcPr>
          <w:p>
            <w:pPr>
              <w:spacing w:after="0"/>
              <w:rPr>
                <w:sz w:val="11"/>
                <w:szCs w:val="11"/>
                <w:color w:val="auto"/>
              </w:rPr>
            </w:pPr>
          </w:p>
        </w:tc>
        <w:tc>
          <w:tcPr>
            <w:tcW w:w="126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680" w:type="dxa"/>
            <w:vAlign w:val="bottom"/>
            <w:tcBorders>
              <w:left w:val="single" w:sz="8" w:color="auto"/>
              <w:right w:val="single" w:sz="8" w:color="1F497D"/>
            </w:tcBorders>
            <w:vMerge w:val="continue"/>
          </w:tcPr>
          <w:p>
            <w:pPr>
              <w:spacing w:after="0"/>
              <w:rPr>
                <w:sz w:val="15"/>
                <w:szCs w:val="15"/>
                <w:color w:val="auto"/>
              </w:rPr>
            </w:pPr>
          </w:p>
        </w:tc>
        <w:tc>
          <w:tcPr>
            <w:tcW w:w="2400" w:type="dxa"/>
            <w:vAlign w:val="bottom"/>
            <w:tcBorders>
              <w:right w:val="single" w:sz="8" w:color="1F497D"/>
            </w:tcBorders>
            <w:vMerge w:val="continue"/>
          </w:tcPr>
          <w:p>
            <w:pPr>
              <w:spacing w:after="0"/>
              <w:rPr>
                <w:sz w:val="15"/>
                <w:szCs w:val="15"/>
                <w:color w:val="auto"/>
              </w:rPr>
            </w:pPr>
          </w:p>
        </w:tc>
        <w:tc>
          <w:tcPr>
            <w:tcW w:w="2060" w:type="dxa"/>
            <w:vAlign w:val="bottom"/>
            <w:tcBorders>
              <w:right w:val="single" w:sz="8" w:color="1F497D"/>
            </w:tcBorders>
          </w:tcPr>
          <w:p>
            <w:pPr>
              <w:spacing w:after="0"/>
              <w:rPr>
                <w:sz w:val="15"/>
                <w:szCs w:val="15"/>
                <w:color w:val="auto"/>
              </w:rPr>
            </w:pPr>
          </w:p>
        </w:tc>
        <w:tc>
          <w:tcPr>
            <w:tcW w:w="1600" w:type="dxa"/>
            <w:vAlign w:val="bottom"/>
            <w:tcBorders>
              <w:right w:val="single" w:sz="8" w:color="1F497D"/>
            </w:tcBorders>
          </w:tcPr>
          <w:p>
            <w:pPr>
              <w:spacing w:after="0"/>
              <w:rPr>
                <w:sz w:val="15"/>
                <w:szCs w:val="15"/>
                <w:color w:val="auto"/>
              </w:rPr>
            </w:pPr>
          </w:p>
        </w:tc>
        <w:tc>
          <w:tcPr>
            <w:tcW w:w="1920" w:type="dxa"/>
            <w:vAlign w:val="bottom"/>
            <w:tcBorders>
              <w:right w:val="single" w:sz="8" w:color="1F497D"/>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8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2400" w:type="dxa"/>
            <w:vAlign w:val="bottom"/>
            <w:tcBorders>
              <w:right w:val="single" w:sz="8" w:color="1F497D"/>
            </w:tcBorders>
            <w:vMerge w:val="continue"/>
          </w:tcPr>
          <w:p>
            <w:pPr>
              <w:spacing w:after="0"/>
              <w:rPr>
                <w:sz w:val="10"/>
                <w:szCs w:val="10"/>
                <w:color w:val="auto"/>
              </w:rPr>
            </w:pPr>
          </w:p>
        </w:tc>
        <w:tc>
          <w:tcPr>
            <w:tcW w:w="206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of T</w:t>
            </w:r>
          </w:p>
        </w:tc>
        <w:tc>
          <w:tcPr>
            <w:tcW w:w="0" w:type="dxa"/>
            <w:vAlign w:val="bottom"/>
          </w:tcPr>
          <w:p>
            <w:pPr>
              <w:spacing w:after="0"/>
              <w:rPr>
                <w:sz w:val="1"/>
                <w:szCs w:val="1"/>
                <w:color w:val="auto"/>
              </w:rPr>
            </w:pPr>
          </w:p>
        </w:tc>
      </w:tr>
      <w:tr>
        <w:trPr>
          <w:trHeight w:val="97"/>
        </w:trPr>
        <w:tc>
          <w:tcPr>
            <w:tcW w:w="1680" w:type="dxa"/>
            <w:vAlign w:val="bottom"/>
            <w:tcBorders>
              <w:left w:val="single" w:sz="8" w:color="auto"/>
              <w:right w:val="single" w:sz="8" w:color="1F497D"/>
            </w:tcBorders>
            <w:vMerge w:val="continue"/>
          </w:tcPr>
          <w:p>
            <w:pPr>
              <w:spacing w:after="0"/>
              <w:rPr>
                <w:sz w:val="8"/>
                <w:szCs w:val="8"/>
                <w:color w:val="auto"/>
              </w:rPr>
            </w:pPr>
          </w:p>
        </w:tc>
        <w:tc>
          <w:tcPr>
            <w:tcW w:w="2400" w:type="dxa"/>
            <w:vAlign w:val="bottom"/>
            <w:tcBorders>
              <w:right w:val="single" w:sz="8" w:color="1F497D"/>
            </w:tcBorders>
          </w:tcPr>
          <w:p>
            <w:pPr>
              <w:spacing w:after="0"/>
              <w:rPr>
                <w:sz w:val="8"/>
                <w:szCs w:val="8"/>
                <w:color w:val="auto"/>
              </w:rPr>
            </w:pPr>
          </w:p>
        </w:tc>
        <w:tc>
          <w:tcPr>
            <w:tcW w:w="2060" w:type="dxa"/>
            <w:vAlign w:val="bottom"/>
            <w:tcBorders>
              <w:right w:val="single" w:sz="8" w:color="1F497D"/>
            </w:tcBorders>
            <w:vMerge w:val="continue"/>
          </w:tcPr>
          <w:p>
            <w:pPr>
              <w:spacing w:after="0"/>
              <w:rPr>
                <w:sz w:val="8"/>
                <w:szCs w:val="8"/>
                <w:color w:val="auto"/>
              </w:rPr>
            </w:pPr>
          </w:p>
        </w:tc>
        <w:tc>
          <w:tcPr>
            <w:tcW w:w="1600" w:type="dxa"/>
            <w:vAlign w:val="bottom"/>
            <w:tcBorders>
              <w:right w:val="single" w:sz="8" w:color="1F497D"/>
            </w:tcBorders>
            <w:vMerge w:val="continue"/>
          </w:tcPr>
          <w:p>
            <w:pPr>
              <w:spacing w:after="0"/>
              <w:rPr>
                <w:sz w:val="8"/>
                <w:szCs w:val="8"/>
                <w:color w:val="auto"/>
              </w:rPr>
            </w:pPr>
          </w:p>
        </w:tc>
        <w:tc>
          <w:tcPr>
            <w:tcW w:w="1920" w:type="dxa"/>
            <w:vAlign w:val="bottom"/>
            <w:tcBorders>
              <w:right w:val="single" w:sz="8" w:color="1F497D"/>
            </w:tcBorders>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680" w:type="dxa"/>
            <w:vAlign w:val="bottom"/>
            <w:tcBorders>
              <w:left w:val="single" w:sz="8" w:color="auto"/>
              <w:right w:val="single" w:sz="8" w:color="1F497D"/>
            </w:tcBorders>
          </w:tcPr>
          <w:p>
            <w:pPr>
              <w:spacing w:after="0"/>
              <w:rPr>
                <w:sz w:val="21"/>
                <w:szCs w:val="21"/>
                <w:color w:val="auto"/>
              </w:rPr>
            </w:pPr>
          </w:p>
        </w:tc>
        <w:tc>
          <w:tcPr>
            <w:tcW w:w="2400" w:type="dxa"/>
            <w:vAlign w:val="bottom"/>
            <w:tcBorders>
              <w:right w:val="single" w:sz="8" w:color="1F497D"/>
            </w:tcBorders>
          </w:tcPr>
          <w:p>
            <w:pPr>
              <w:spacing w:after="0"/>
              <w:rPr>
                <w:sz w:val="21"/>
                <w:szCs w:val="21"/>
                <w:color w:val="auto"/>
              </w:rPr>
            </w:pPr>
          </w:p>
        </w:tc>
        <w:tc>
          <w:tcPr>
            <w:tcW w:w="206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w:t>
            </w:r>
          </w:p>
        </w:tc>
        <w:tc>
          <w:tcPr>
            <w:tcW w:w="0" w:type="dxa"/>
            <w:vAlign w:val="bottom"/>
          </w:tcPr>
          <w:p>
            <w:pPr>
              <w:spacing w:after="0"/>
              <w:rPr>
                <w:sz w:val="1"/>
                <w:szCs w:val="1"/>
                <w:color w:val="auto"/>
              </w:rPr>
            </w:pPr>
          </w:p>
        </w:tc>
      </w:tr>
      <w:tr>
        <w:trPr>
          <w:trHeight w:val="232"/>
        </w:trPr>
        <w:tc>
          <w:tcPr>
            <w:tcW w:w="1680" w:type="dxa"/>
            <w:vAlign w:val="bottom"/>
            <w:tcBorders>
              <w:left w:val="single" w:sz="8" w:color="auto"/>
              <w:right w:val="single" w:sz="8" w:color="1F497D"/>
            </w:tcBorders>
          </w:tcPr>
          <w:p>
            <w:pPr>
              <w:spacing w:after="0"/>
              <w:rPr>
                <w:sz w:val="20"/>
                <w:szCs w:val="20"/>
                <w:color w:val="auto"/>
              </w:rPr>
            </w:pPr>
          </w:p>
        </w:tc>
        <w:tc>
          <w:tcPr>
            <w:tcW w:w="2400" w:type="dxa"/>
            <w:vAlign w:val="bottom"/>
            <w:tcBorders>
              <w:bottom w:val="single" w:sz="8" w:color="1F497D"/>
              <w:right w:val="single" w:sz="8" w:color="1F497D"/>
            </w:tcBorders>
          </w:tcPr>
          <w:p>
            <w:pPr>
              <w:spacing w:after="0"/>
              <w:rPr>
                <w:sz w:val="20"/>
                <w:szCs w:val="20"/>
                <w:color w:val="auto"/>
              </w:rPr>
            </w:pPr>
          </w:p>
        </w:tc>
        <w:tc>
          <w:tcPr>
            <w:tcW w:w="2060" w:type="dxa"/>
            <w:vAlign w:val="bottom"/>
            <w:tcBorders>
              <w:bottom w:val="single" w:sz="8" w:color="1F497D"/>
              <w:right w:val="single" w:sz="8" w:color="1F497D"/>
            </w:tcBorders>
          </w:tcPr>
          <w:p>
            <w:pPr>
              <w:spacing w:after="0"/>
              <w:rPr>
                <w:sz w:val="20"/>
                <w:szCs w:val="20"/>
                <w:color w:val="auto"/>
              </w:rPr>
            </w:pPr>
          </w:p>
        </w:tc>
        <w:tc>
          <w:tcPr>
            <w:tcW w:w="1600" w:type="dxa"/>
            <w:vAlign w:val="bottom"/>
            <w:tcBorders>
              <w:bottom w:val="single" w:sz="8" w:color="1F497D"/>
              <w:right w:val="single" w:sz="8" w:color="1F497D"/>
            </w:tcBorders>
          </w:tcPr>
          <w:p>
            <w:pPr>
              <w:spacing w:after="0"/>
              <w:rPr>
                <w:sz w:val="20"/>
                <w:szCs w:val="20"/>
                <w:color w:val="auto"/>
              </w:rPr>
            </w:pPr>
          </w:p>
        </w:tc>
        <w:tc>
          <w:tcPr>
            <w:tcW w:w="1920" w:type="dxa"/>
            <w:vAlign w:val="bottom"/>
            <w:tcBorders>
              <w:bottom w:val="single" w:sz="8" w:color="1F497D"/>
              <w:right w:val="single" w:sz="8" w:color="1F497D"/>
            </w:tcBorders>
          </w:tcPr>
          <w:p>
            <w:pPr>
              <w:spacing w:after="0"/>
              <w:rPr>
                <w:sz w:val="20"/>
                <w:szCs w:val="20"/>
                <w:color w:val="auto"/>
              </w:rPr>
            </w:pPr>
          </w:p>
        </w:tc>
        <w:tc>
          <w:tcPr>
            <w:tcW w:w="1260" w:type="dxa"/>
            <w:vAlign w:val="bottom"/>
            <w:tcBorders>
              <w:bottom w:val="single" w:sz="8" w:color="1F497D"/>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8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ACMR US</w:t>
            </w:r>
          </w:p>
        </w:tc>
        <w:tc>
          <w:tcPr>
            <w:tcW w:w="24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Total Shares Held</w:t>
            </w:r>
          </w:p>
        </w:tc>
        <w:tc>
          <w:tcPr>
            <w:tcW w:w="206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357,692,308</w:t>
            </w:r>
          </w:p>
        </w:tc>
        <w:tc>
          <w:tcPr>
            <w:tcW w:w="16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74.54%</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352,890,660</w:t>
            </w:r>
          </w:p>
        </w:tc>
        <w:tc>
          <w:tcPr>
            <w:tcW w:w="126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36"/>
        </w:trPr>
        <w:tc>
          <w:tcPr>
            <w:tcW w:w="1680" w:type="dxa"/>
            <w:vAlign w:val="bottom"/>
            <w:tcBorders>
              <w:left w:val="single" w:sz="8" w:color="auto"/>
              <w:right w:val="single" w:sz="8" w:color="1F497D"/>
            </w:tcBorders>
            <w:vMerge w:val="continue"/>
          </w:tcPr>
          <w:p>
            <w:pPr>
              <w:spacing w:after="0"/>
              <w:rPr>
                <w:sz w:val="3"/>
                <w:szCs w:val="3"/>
                <w:color w:val="auto"/>
              </w:rPr>
            </w:pPr>
          </w:p>
        </w:tc>
        <w:tc>
          <w:tcPr>
            <w:tcW w:w="2400" w:type="dxa"/>
            <w:vAlign w:val="bottom"/>
            <w:tcBorders>
              <w:bottom w:val="single" w:sz="8" w:color="1F497D"/>
              <w:right w:val="single" w:sz="8" w:color="1F497D"/>
            </w:tcBorders>
          </w:tcPr>
          <w:p>
            <w:pPr>
              <w:spacing w:after="0"/>
              <w:rPr>
                <w:sz w:val="3"/>
                <w:szCs w:val="3"/>
                <w:color w:val="auto"/>
              </w:rPr>
            </w:pPr>
          </w:p>
        </w:tc>
        <w:tc>
          <w:tcPr>
            <w:tcW w:w="2060" w:type="dxa"/>
            <w:vAlign w:val="bottom"/>
            <w:tcBorders>
              <w:bottom w:val="single" w:sz="8" w:color="1F497D"/>
              <w:right w:val="single" w:sz="8" w:color="1F497D"/>
            </w:tcBorders>
          </w:tcPr>
          <w:p>
            <w:pPr>
              <w:spacing w:after="0"/>
              <w:rPr>
                <w:sz w:val="3"/>
                <w:szCs w:val="3"/>
                <w:color w:val="auto"/>
              </w:rPr>
            </w:pPr>
          </w:p>
        </w:tc>
        <w:tc>
          <w:tcPr>
            <w:tcW w:w="160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12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1F497D"/>
            </w:tcBorders>
            <w:vMerge w:val="continue"/>
          </w:tcPr>
          <w:p>
            <w:pPr>
              <w:spacing w:after="0"/>
              <w:rPr>
                <w:sz w:val="14"/>
                <w:szCs w:val="14"/>
                <w:color w:val="auto"/>
              </w:rPr>
            </w:pPr>
          </w:p>
        </w:tc>
        <w:tc>
          <w:tcPr>
            <w:tcW w:w="24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 which: unrestricted shares</w:t>
            </w:r>
          </w:p>
        </w:tc>
        <w:tc>
          <w:tcPr>
            <w:tcW w:w="206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357,692,308</w:t>
            </w:r>
          </w:p>
        </w:tc>
        <w:tc>
          <w:tcPr>
            <w:tcW w:w="16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74.54%</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352,890,660</w:t>
            </w:r>
          </w:p>
        </w:tc>
        <w:tc>
          <w:tcPr>
            <w:tcW w:w="126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157"/>
        </w:trPr>
        <w:tc>
          <w:tcPr>
            <w:tcW w:w="1680" w:type="dxa"/>
            <w:vAlign w:val="bottom"/>
            <w:tcBorders>
              <w:left w:val="single" w:sz="8" w:color="auto"/>
              <w:right w:val="single" w:sz="8" w:color="1F497D"/>
            </w:tcBorders>
          </w:tcPr>
          <w:p>
            <w:pPr>
              <w:spacing w:after="0"/>
              <w:rPr>
                <w:sz w:val="13"/>
                <w:szCs w:val="13"/>
                <w:color w:val="auto"/>
              </w:rPr>
            </w:pPr>
          </w:p>
        </w:tc>
        <w:tc>
          <w:tcPr>
            <w:tcW w:w="2400" w:type="dxa"/>
            <w:vAlign w:val="bottom"/>
            <w:tcBorders>
              <w:right w:val="single" w:sz="8" w:color="1F497D"/>
            </w:tcBorders>
            <w:vMerge w:val="continue"/>
          </w:tcPr>
          <w:p>
            <w:pPr>
              <w:spacing w:after="0"/>
              <w:rPr>
                <w:sz w:val="13"/>
                <w:szCs w:val="13"/>
                <w:color w:val="auto"/>
              </w:rPr>
            </w:pPr>
          </w:p>
        </w:tc>
        <w:tc>
          <w:tcPr>
            <w:tcW w:w="2060" w:type="dxa"/>
            <w:vAlign w:val="bottom"/>
            <w:tcBorders>
              <w:right w:val="single" w:sz="8" w:color="1F497D"/>
            </w:tcBorders>
            <w:vMerge w:val="continue"/>
          </w:tcPr>
          <w:p>
            <w:pPr>
              <w:spacing w:after="0"/>
              <w:rPr>
                <w:sz w:val="13"/>
                <w:szCs w:val="13"/>
                <w:color w:val="auto"/>
              </w:rPr>
            </w:pPr>
          </w:p>
        </w:tc>
        <w:tc>
          <w:tcPr>
            <w:tcW w:w="1600" w:type="dxa"/>
            <w:vAlign w:val="bottom"/>
            <w:tcBorders>
              <w:right w:val="single" w:sz="8" w:color="1F497D"/>
            </w:tcBorders>
            <w:vMerge w:val="continue"/>
          </w:tcPr>
          <w:p>
            <w:pPr>
              <w:spacing w:after="0"/>
              <w:rPr>
                <w:sz w:val="13"/>
                <w:szCs w:val="13"/>
                <w:color w:val="auto"/>
              </w:rPr>
            </w:pPr>
          </w:p>
        </w:tc>
        <w:tc>
          <w:tcPr>
            <w:tcW w:w="1920" w:type="dxa"/>
            <w:vAlign w:val="bottom"/>
            <w:tcBorders>
              <w:right w:val="single" w:sz="8" w:color="1F497D"/>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80" w:type="dxa"/>
            <w:vAlign w:val="bottom"/>
            <w:tcBorders>
              <w:left w:val="single" w:sz="8" w:color="auto"/>
              <w:right w:val="single" w:sz="8" w:color="1F497D"/>
            </w:tcBorders>
          </w:tcPr>
          <w:p>
            <w:pPr>
              <w:spacing w:after="0"/>
              <w:rPr>
                <w:sz w:val="11"/>
                <w:szCs w:val="11"/>
                <w:color w:val="auto"/>
              </w:rPr>
            </w:pPr>
          </w:p>
        </w:tc>
        <w:tc>
          <w:tcPr>
            <w:tcW w:w="2400" w:type="dxa"/>
            <w:vAlign w:val="bottom"/>
            <w:tcBorders>
              <w:bottom w:val="single" w:sz="8" w:color="1F497D"/>
              <w:right w:val="single" w:sz="8" w:color="1F497D"/>
            </w:tcBorders>
          </w:tcPr>
          <w:p>
            <w:pPr>
              <w:spacing w:after="0"/>
              <w:rPr>
                <w:sz w:val="11"/>
                <w:szCs w:val="11"/>
                <w:color w:val="auto"/>
              </w:rPr>
            </w:pPr>
          </w:p>
        </w:tc>
        <w:tc>
          <w:tcPr>
            <w:tcW w:w="2060" w:type="dxa"/>
            <w:vAlign w:val="bottom"/>
            <w:tcBorders>
              <w:bottom w:val="single" w:sz="8" w:color="1F497D"/>
              <w:right w:val="single" w:sz="8" w:color="1F497D"/>
            </w:tcBorders>
          </w:tcPr>
          <w:p>
            <w:pPr>
              <w:spacing w:after="0"/>
              <w:rPr>
                <w:sz w:val="11"/>
                <w:szCs w:val="11"/>
                <w:color w:val="auto"/>
              </w:rPr>
            </w:pPr>
          </w:p>
        </w:tc>
        <w:tc>
          <w:tcPr>
            <w:tcW w:w="160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126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68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HUI WANG</w:t>
            </w:r>
          </w:p>
        </w:tc>
        <w:tc>
          <w:tcPr>
            <w:tcW w:w="24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Total Shares Held</w:t>
            </w:r>
          </w:p>
        </w:tc>
        <w:tc>
          <w:tcPr>
            <w:tcW w:w="206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850,962</w:t>
            </w:r>
          </w:p>
        </w:tc>
        <w:tc>
          <w:tcPr>
            <w:tcW w:w="16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0.18%</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651,168</w:t>
            </w:r>
          </w:p>
        </w:tc>
        <w:tc>
          <w:tcPr>
            <w:tcW w:w="126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auto"/>
                <w:w w:val="98"/>
              </w:rPr>
              <w:t>0.14%</w:t>
            </w:r>
          </w:p>
        </w:tc>
        <w:tc>
          <w:tcPr>
            <w:tcW w:w="0" w:type="dxa"/>
            <w:vAlign w:val="bottom"/>
          </w:tcPr>
          <w:p>
            <w:pPr>
              <w:spacing w:after="0"/>
              <w:rPr>
                <w:sz w:val="1"/>
                <w:szCs w:val="1"/>
                <w:color w:val="auto"/>
              </w:rPr>
            </w:pPr>
          </w:p>
        </w:tc>
      </w:tr>
      <w:tr>
        <w:trPr>
          <w:trHeight w:val="36"/>
        </w:trPr>
        <w:tc>
          <w:tcPr>
            <w:tcW w:w="1680" w:type="dxa"/>
            <w:vAlign w:val="bottom"/>
            <w:tcBorders>
              <w:left w:val="single" w:sz="8" w:color="auto"/>
              <w:right w:val="single" w:sz="8" w:color="1F497D"/>
            </w:tcBorders>
            <w:vMerge w:val="continue"/>
          </w:tcPr>
          <w:p>
            <w:pPr>
              <w:spacing w:after="0"/>
              <w:rPr>
                <w:sz w:val="3"/>
                <w:szCs w:val="3"/>
                <w:color w:val="auto"/>
              </w:rPr>
            </w:pPr>
          </w:p>
        </w:tc>
        <w:tc>
          <w:tcPr>
            <w:tcW w:w="2400" w:type="dxa"/>
            <w:vAlign w:val="bottom"/>
            <w:tcBorders>
              <w:bottom w:val="single" w:sz="8" w:color="1F497D"/>
              <w:right w:val="single" w:sz="8" w:color="1F497D"/>
            </w:tcBorders>
          </w:tcPr>
          <w:p>
            <w:pPr>
              <w:spacing w:after="0"/>
              <w:rPr>
                <w:sz w:val="3"/>
                <w:szCs w:val="3"/>
                <w:color w:val="auto"/>
              </w:rPr>
            </w:pPr>
          </w:p>
        </w:tc>
        <w:tc>
          <w:tcPr>
            <w:tcW w:w="2060" w:type="dxa"/>
            <w:vAlign w:val="bottom"/>
            <w:tcBorders>
              <w:bottom w:val="single" w:sz="8" w:color="1F497D"/>
              <w:right w:val="single" w:sz="8" w:color="1F497D"/>
            </w:tcBorders>
          </w:tcPr>
          <w:p>
            <w:pPr>
              <w:spacing w:after="0"/>
              <w:rPr>
                <w:sz w:val="3"/>
                <w:szCs w:val="3"/>
                <w:color w:val="auto"/>
              </w:rPr>
            </w:pPr>
          </w:p>
        </w:tc>
        <w:tc>
          <w:tcPr>
            <w:tcW w:w="160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12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1F497D"/>
            </w:tcBorders>
            <w:vMerge w:val="continue"/>
          </w:tcPr>
          <w:p>
            <w:pPr>
              <w:spacing w:after="0"/>
              <w:rPr>
                <w:sz w:val="14"/>
                <w:szCs w:val="14"/>
                <w:color w:val="auto"/>
              </w:rPr>
            </w:pPr>
          </w:p>
        </w:tc>
        <w:tc>
          <w:tcPr>
            <w:tcW w:w="24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 which: unrestricted shares</w:t>
            </w:r>
          </w:p>
        </w:tc>
        <w:tc>
          <w:tcPr>
            <w:tcW w:w="206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312,500</w:t>
            </w:r>
          </w:p>
        </w:tc>
        <w:tc>
          <w:tcPr>
            <w:tcW w:w="16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112,706</w:t>
            </w:r>
          </w:p>
        </w:tc>
        <w:tc>
          <w:tcPr>
            <w:tcW w:w="126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color w:val="auto"/>
                <w:w w:val="98"/>
              </w:rPr>
              <w:t>0.02%</w:t>
            </w:r>
          </w:p>
        </w:tc>
        <w:tc>
          <w:tcPr>
            <w:tcW w:w="0" w:type="dxa"/>
            <w:vAlign w:val="bottom"/>
          </w:tcPr>
          <w:p>
            <w:pPr>
              <w:spacing w:after="0"/>
              <w:rPr>
                <w:sz w:val="1"/>
                <w:szCs w:val="1"/>
                <w:color w:val="auto"/>
              </w:rPr>
            </w:pPr>
          </w:p>
        </w:tc>
      </w:tr>
      <w:tr>
        <w:trPr>
          <w:trHeight w:val="157"/>
        </w:trPr>
        <w:tc>
          <w:tcPr>
            <w:tcW w:w="1680" w:type="dxa"/>
            <w:vAlign w:val="bottom"/>
            <w:tcBorders>
              <w:left w:val="single" w:sz="8" w:color="auto"/>
              <w:right w:val="single" w:sz="8" w:color="1F497D"/>
            </w:tcBorders>
          </w:tcPr>
          <w:p>
            <w:pPr>
              <w:spacing w:after="0"/>
              <w:rPr>
                <w:sz w:val="13"/>
                <w:szCs w:val="13"/>
                <w:color w:val="auto"/>
              </w:rPr>
            </w:pPr>
          </w:p>
        </w:tc>
        <w:tc>
          <w:tcPr>
            <w:tcW w:w="2400" w:type="dxa"/>
            <w:vAlign w:val="bottom"/>
            <w:tcBorders>
              <w:right w:val="single" w:sz="8" w:color="1F497D"/>
            </w:tcBorders>
            <w:vMerge w:val="continue"/>
          </w:tcPr>
          <w:p>
            <w:pPr>
              <w:spacing w:after="0"/>
              <w:rPr>
                <w:sz w:val="13"/>
                <w:szCs w:val="13"/>
                <w:color w:val="auto"/>
              </w:rPr>
            </w:pPr>
          </w:p>
        </w:tc>
        <w:tc>
          <w:tcPr>
            <w:tcW w:w="2060" w:type="dxa"/>
            <w:vAlign w:val="bottom"/>
            <w:tcBorders>
              <w:right w:val="single" w:sz="8" w:color="1F497D"/>
            </w:tcBorders>
            <w:vMerge w:val="continue"/>
          </w:tcPr>
          <w:p>
            <w:pPr>
              <w:spacing w:after="0"/>
              <w:rPr>
                <w:sz w:val="13"/>
                <w:szCs w:val="13"/>
                <w:color w:val="auto"/>
              </w:rPr>
            </w:pPr>
          </w:p>
        </w:tc>
        <w:tc>
          <w:tcPr>
            <w:tcW w:w="1600" w:type="dxa"/>
            <w:vAlign w:val="bottom"/>
            <w:tcBorders>
              <w:right w:val="single" w:sz="8" w:color="1F497D"/>
            </w:tcBorders>
            <w:vMerge w:val="continue"/>
          </w:tcPr>
          <w:p>
            <w:pPr>
              <w:spacing w:after="0"/>
              <w:rPr>
                <w:sz w:val="13"/>
                <w:szCs w:val="13"/>
                <w:color w:val="auto"/>
              </w:rPr>
            </w:pPr>
          </w:p>
        </w:tc>
        <w:tc>
          <w:tcPr>
            <w:tcW w:w="1920" w:type="dxa"/>
            <w:vAlign w:val="bottom"/>
            <w:tcBorders>
              <w:right w:val="single" w:sz="8" w:color="1F497D"/>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80" w:type="dxa"/>
            <w:vAlign w:val="bottom"/>
            <w:tcBorders>
              <w:left w:val="single" w:sz="8" w:color="auto"/>
              <w:right w:val="single" w:sz="8" w:color="1F497D"/>
            </w:tcBorders>
          </w:tcPr>
          <w:p>
            <w:pPr>
              <w:spacing w:after="0"/>
              <w:rPr>
                <w:sz w:val="11"/>
                <w:szCs w:val="11"/>
                <w:color w:val="auto"/>
              </w:rPr>
            </w:pPr>
          </w:p>
        </w:tc>
        <w:tc>
          <w:tcPr>
            <w:tcW w:w="2400" w:type="dxa"/>
            <w:vAlign w:val="bottom"/>
            <w:tcBorders>
              <w:bottom w:val="single" w:sz="8" w:color="1F497D"/>
              <w:right w:val="single" w:sz="8" w:color="1F497D"/>
            </w:tcBorders>
          </w:tcPr>
          <w:p>
            <w:pPr>
              <w:spacing w:after="0"/>
              <w:rPr>
                <w:sz w:val="11"/>
                <w:szCs w:val="11"/>
                <w:color w:val="auto"/>
              </w:rPr>
            </w:pPr>
          </w:p>
        </w:tc>
        <w:tc>
          <w:tcPr>
            <w:tcW w:w="2060" w:type="dxa"/>
            <w:vAlign w:val="bottom"/>
            <w:tcBorders>
              <w:bottom w:val="single" w:sz="8" w:color="1F497D"/>
              <w:right w:val="single" w:sz="8" w:color="1F497D"/>
            </w:tcBorders>
          </w:tcPr>
          <w:p>
            <w:pPr>
              <w:spacing w:after="0"/>
              <w:rPr>
                <w:sz w:val="11"/>
                <w:szCs w:val="11"/>
                <w:color w:val="auto"/>
              </w:rPr>
            </w:pPr>
          </w:p>
        </w:tc>
        <w:tc>
          <w:tcPr>
            <w:tcW w:w="160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126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340"/>
          </w:cols>
          <w:pgMar w:left="320" w:top="230" w:right="239" w:bottom="1440" w:gutter="0" w:footer="0" w:header="0"/>
        </w:sectPr>
      </w:pPr>
    </w:p>
    <w:bookmarkStart w:id="8" w:name="page9"/>
    <w:bookmarkEnd w:id="8"/>
    <w:p>
      <w:pPr>
        <w:ind w:left="102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30" w:type="dxa"/>
        <w:tblCellMar>
          <w:top w:w="0" w:type="dxa"/>
          <w:left w:w="0" w:type="dxa"/>
          <w:bottom w:w="0" w:type="dxa"/>
          <w:right w:w="0" w:type="dxa"/>
        </w:tblCellMar>
      </w:tblPr>
      <w:tr>
        <w:trPr>
          <w:trHeight w:val="253"/>
        </w:trPr>
        <w:tc>
          <w:tcPr>
            <w:tcW w:w="168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Jian Wang</w:t>
            </w:r>
          </w:p>
        </w:tc>
        <w:tc>
          <w:tcPr>
            <w:tcW w:w="240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Total Shares Held</w:t>
            </w:r>
          </w:p>
        </w:tc>
        <w:tc>
          <w:tcPr>
            <w:tcW w:w="206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592,755</w:t>
            </w:r>
          </w:p>
        </w:tc>
        <w:tc>
          <w:tcPr>
            <w:tcW w:w="160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0.12%</w:t>
            </w:r>
          </w:p>
        </w:tc>
        <w:tc>
          <w:tcPr>
            <w:tcW w:w="192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444,651</w:t>
            </w:r>
          </w:p>
        </w:tc>
        <w:tc>
          <w:tcPr>
            <w:tcW w:w="1260" w:type="dxa"/>
            <w:vAlign w:val="bottom"/>
            <w:tcBorders>
              <w:top w:val="single" w:sz="8" w:color="1F497D"/>
            </w:tcBorders>
          </w:tcPr>
          <w:p>
            <w:pPr>
              <w:jc w:val="center"/>
              <w:ind w:left="228"/>
              <w:spacing w:after="0"/>
              <w:rPr>
                <w:sz w:val="20"/>
                <w:szCs w:val="20"/>
                <w:color w:val="auto"/>
              </w:rPr>
            </w:pPr>
            <w:r>
              <w:rPr>
                <w:rFonts w:ascii="Times New Roman" w:cs="Times New Roman" w:eastAsia="Times New Roman" w:hAnsi="Times New Roman"/>
                <w:sz w:val="18"/>
                <w:szCs w:val="18"/>
                <w:color w:val="auto"/>
                <w:w w:val="98"/>
              </w:rPr>
              <w:t>0.09%</w:t>
            </w:r>
          </w:p>
        </w:tc>
        <w:tc>
          <w:tcPr>
            <w:tcW w:w="0" w:type="dxa"/>
            <w:vAlign w:val="bottom"/>
          </w:tcPr>
          <w:p>
            <w:pPr>
              <w:spacing w:after="0"/>
              <w:rPr>
                <w:sz w:val="1"/>
                <w:szCs w:val="1"/>
                <w:color w:val="auto"/>
              </w:rPr>
            </w:pPr>
          </w:p>
        </w:tc>
      </w:tr>
      <w:tr>
        <w:trPr>
          <w:trHeight w:val="36"/>
        </w:trPr>
        <w:tc>
          <w:tcPr>
            <w:tcW w:w="1680" w:type="dxa"/>
            <w:vAlign w:val="bottom"/>
            <w:tcBorders>
              <w:left w:val="single" w:sz="8" w:color="auto"/>
              <w:right w:val="single" w:sz="8" w:color="1F497D"/>
            </w:tcBorders>
            <w:vMerge w:val="continue"/>
          </w:tcPr>
          <w:p>
            <w:pPr>
              <w:spacing w:after="0"/>
              <w:rPr>
                <w:sz w:val="3"/>
                <w:szCs w:val="3"/>
                <w:color w:val="auto"/>
              </w:rPr>
            </w:pPr>
          </w:p>
        </w:tc>
        <w:tc>
          <w:tcPr>
            <w:tcW w:w="2400" w:type="dxa"/>
            <w:vAlign w:val="bottom"/>
            <w:tcBorders>
              <w:bottom w:val="single" w:sz="8" w:color="1F497D"/>
              <w:right w:val="single" w:sz="8" w:color="1F497D"/>
            </w:tcBorders>
          </w:tcPr>
          <w:p>
            <w:pPr>
              <w:spacing w:after="0"/>
              <w:rPr>
                <w:sz w:val="3"/>
                <w:szCs w:val="3"/>
                <w:color w:val="auto"/>
              </w:rPr>
            </w:pPr>
          </w:p>
        </w:tc>
        <w:tc>
          <w:tcPr>
            <w:tcW w:w="2060" w:type="dxa"/>
            <w:vAlign w:val="bottom"/>
            <w:tcBorders>
              <w:bottom w:val="single" w:sz="8" w:color="1F497D"/>
              <w:right w:val="single" w:sz="8" w:color="1F497D"/>
            </w:tcBorders>
          </w:tcPr>
          <w:p>
            <w:pPr>
              <w:spacing w:after="0"/>
              <w:rPr>
                <w:sz w:val="3"/>
                <w:szCs w:val="3"/>
                <w:color w:val="auto"/>
              </w:rPr>
            </w:pPr>
          </w:p>
        </w:tc>
        <w:tc>
          <w:tcPr>
            <w:tcW w:w="160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12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1F497D"/>
            </w:tcBorders>
            <w:vMerge w:val="continue"/>
          </w:tcPr>
          <w:p>
            <w:pPr>
              <w:spacing w:after="0"/>
              <w:rPr>
                <w:sz w:val="14"/>
                <w:szCs w:val="14"/>
                <w:color w:val="auto"/>
              </w:rPr>
            </w:pPr>
          </w:p>
        </w:tc>
        <w:tc>
          <w:tcPr>
            <w:tcW w:w="24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 which: unrestricted shares</w:t>
            </w:r>
          </w:p>
        </w:tc>
        <w:tc>
          <w:tcPr>
            <w:tcW w:w="206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294,293</w:t>
            </w:r>
          </w:p>
        </w:tc>
        <w:tc>
          <w:tcPr>
            <w:tcW w:w="16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0.06%</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146,189</w:t>
            </w:r>
          </w:p>
        </w:tc>
        <w:tc>
          <w:tcPr>
            <w:tcW w:w="126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color w:val="auto"/>
                <w:w w:val="98"/>
              </w:rPr>
              <w:t>0.03%</w:t>
            </w:r>
          </w:p>
        </w:tc>
        <w:tc>
          <w:tcPr>
            <w:tcW w:w="0" w:type="dxa"/>
            <w:vAlign w:val="bottom"/>
          </w:tcPr>
          <w:p>
            <w:pPr>
              <w:spacing w:after="0"/>
              <w:rPr>
                <w:sz w:val="1"/>
                <w:szCs w:val="1"/>
                <w:color w:val="auto"/>
              </w:rPr>
            </w:pPr>
          </w:p>
        </w:tc>
      </w:tr>
      <w:tr>
        <w:trPr>
          <w:trHeight w:val="157"/>
        </w:trPr>
        <w:tc>
          <w:tcPr>
            <w:tcW w:w="1680" w:type="dxa"/>
            <w:vAlign w:val="bottom"/>
            <w:tcBorders>
              <w:left w:val="single" w:sz="8" w:color="auto"/>
              <w:right w:val="single" w:sz="8" w:color="1F497D"/>
            </w:tcBorders>
          </w:tcPr>
          <w:p>
            <w:pPr>
              <w:spacing w:after="0"/>
              <w:rPr>
                <w:sz w:val="13"/>
                <w:szCs w:val="13"/>
                <w:color w:val="auto"/>
              </w:rPr>
            </w:pPr>
          </w:p>
        </w:tc>
        <w:tc>
          <w:tcPr>
            <w:tcW w:w="2400" w:type="dxa"/>
            <w:vAlign w:val="bottom"/>
            <w:tcBorders>
              <w:right w:val="single" w:sz="8" w:color="1F497D"/>
            </w:tcBorders>
            <w:vMerge w:val="continue"/>
          </w:tcPr>
          <w:p>
            <w:pPr>
              <w:spacing w:after="0"/>
              <w:rPr>
                <w:sz w:val="13"/>
                <w:szCs w:val="13"/>
                <w:color w:val="auto"/>
              </w:rPr>
            </w:pPr>
          </w:p>
        </w:tc>
        <w:tc>
          <w:tcPr>
            <w:tcW w:w="2060" w:type="dxa"/>
            <w:vAlign w:val="bottom"/>
            <w:tcBorders>
              <w:right w:val="single" w:sz="8" w:color="1F497D"/>
            </w:tcBorders>
            <w:vMerge w:val="continue"/>
          </w:tcPr>
          <w:p>
            <w:pPr>
              <w:spacing w:after="0"/>
              <w:rPr>
                <w:sz w:val="13"/>
                <w:szCs w:val="13"/>
                <w:color w:val="auto"/>
              </w:rPr>
            </w:pPr>
          </w:p>
        </w:tc>
        <w:tc>
          <w:tcPr>
            <w:tcW w:w="1600" w:type="dxa"/>
            <w:vAlign w:val="bottom"/>
            <w:tcBorders>
              <w:right w:val="single" w:sz="8" w:color="1F497D"/>
            </w:tcBorders>
            <w:vMerge w:val="continue"/>
          </w:tcPr>
          <w:p>
            <w:pPr>
              <w:spacing w:after="0"/>
              <w:rPr>
                <w:sz w:val="13"/>
                <w:szCs w:val="13"/>
                <w:color w:val="auto"/>
              </w:rPr>
            </w:pPr>
          </w:p>
        </w:tc>
        <w:tc>
          <w:tcPr>
            <w:tcW w:w="1920" w:type="dxa"/>
            <w:vAlign w:val="bottom"/>
            <w:tcBorders>
              <w:right w:val="single" w:sz="8" w:color="1F497D"/>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80" w:type="dxa"/>
            <w:vAlign w:val="bottom"/>
            <w:tcBorders>
              <w:left w:val="single" w:sz="8" w:color="auto"/>
              <w:right w:val="single" w:sz="8" w:color="1F497D"/>
            </w:tcBorders>
          </w:tcPr>
          <w:p>
            <w:pPr>
              <w:spacing w:after="0"/>
              <w:rPr>
                <w:sz w:val="11"/>
                <w:szCs w:val="11"/>
                <w:color w:val="auto"/>
              </w:rPr>
            </w:pPr>
          </w:p>
        </w:tc>
        <w:tc>
          <w:tcPr>
            <w:tcW w:w="2400" w:type="dxa"/>
            <w:vAlign w:val="bottom"/>
            <w:tcBorders>
              <w:bottom w:val="single" w:sz="8" w:color="1F497D"/>
              <w:right w:val="single" w:sz="8" w:color="1F497D"/>
            </w:tcBorders>
          </w:tcPr>
          <w:p>
            <w:pPr>
              <w:spacing w:after="0"/>
              <w:rPr>
                <w:sz w:val="11"/>
                <w:szCs w:val="11"/>
                <w:color w:val="auto"/>
              </w:rPr>
            </w:pPr>
          </w:p>
        </w:tc>
        <w:tc>
          <w:tcPr>
            <w:tcW w:w="2060" w:type="dxa"/>
            <w:vAlign w:val="bottom"/>
            <w:tcBorders>
              <w:bottom w:val="single" w:sz="8" w:color="1F497D"/>
              <w:right w:val="single" w:sz="8" w:color="1F497D"/>
            </w:tcBorders>
          </w:tcPr>
          <w:p>
            <w:pPr>
              <w:spacing w:after="0"/>
              <w:rPr>
                <w:sz w:val="11"/>
                <w:szCs w:val="11"/>
                <w:color w:val="auto"/>
              </w:rPr>
            </w:pPr>
          </w:p>
        </w:tc>
        <w:tc>
          <w:tcPr>
            <w:tcW w:w="1600" w:type="dxa"/>
            <w:vAlign w:val="bottom"/>
            <w:tcBorders>
              <w:bottom w:val="single" w:sz="8" w:color="1F497D"/>
              <w:right w:val="single" w:sz="8" w:color="1F497D"/>
            </w:tcBorders>
          </w:tcPr>
          <w:p>
            <w:pPr>
              <w:spacing w:after="0"/>
              <w:rPr>
                <w:sz w:val="11"/>
                <w:szCs w:val="11"/>
                <w:color w:val="auto"/>
              </w:rPr>
            </w:pPr>
          </w:p>
        </w:tc>
        <w:tc>
          <w:tcPr>
            <w:tcW w:w="1920" w:type="dxa"/>
            <w:vAlign w:val="bottom"/>
            <w:tcBorders>
              <w:bottom w:val="single" w:sz="8" w:color="1F497D"/>
              <w:right w:val="single" w:sz="8" w:color="1F497D"/>
            </w:tcBorders>
          </w:tcPr>
          <w:p>
            <w:pPr>
              <w:spacing w:after="0"/>
              <w:rPr>
                <w:sz w:val="11"/>
                <w:szCs w:val="11"/>
                <w:color w:val="auto"/>
              </w:rPr>
            </w:pPr>
          </w:p>
        </w:tc>
        <w:tc>
          <w:tcPr>
            <w:tcW w:w="1260" w:type="dxa"/>
            <w:vAlign w:val="bottom"/>
            <w:tcBorders>
              <w:bottom w:val="single" w:sz="8" w:color="1F497D"/>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right w:val="single" w:sz="8" w:color="1F497D"/>
            </w:tcBorders>
          </w:tcPr>
          <w:p>
            <w:pPr>
              <w:spacing w:after="0"/>
              <w:rPr>
                <w:sz w:val="20"/>
                <w:szCs w:val="20"/>
                <w:color w:val="auto"/>
              </w:rPr>
            </w:pPr>
          </w:p>
        </w:tc>
        <w:tc>
          <w:tcPr>
            <w:tcW w:w="24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 Held</w:t>
            </w:r>
          </w:p>
        </w:tc>
        <w:tc>
          <w:tcPr>
            <w:tcW w:w="206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359,136,025</w:t>
            </w:r>
          </w:p>
        </w:tc>
        <w:tc>
          <w:tcPr>
            <w:tcW w:w="160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74.84%</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353,986,479</w:t>
            </w:r>
          </w:p>
        </w:tc>
        <w:tc>
          <w:tcPr>
            <w:tcW w:w="1260" w:type="dxa"/>
            <w:vAlign w:val="bottom"/>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0" w:type="dxa"/>
            <w:vAlign w:val="bottom"/>
          </w:tcPr>
          <w:p>
            <w:pPr>
              <w:spacing w:after="0"/>
              <w:rPr>
                <w:sz w:val="1"/>
                <w:szCs w:val="1"/>
                <w:color w:val="auto"/>
              </w:rPr>
            </w:pPr>
          </w:p>
        </w:tc>
      </w:tr>
      <w:tr>
        <w:trPr>
          <w:trHeight w:val="32"/>
        </w:trPr>
        <w:tc>
          <w:tcPr>
            <w:tcW w:w="168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0" w:type="dxa"/>
            <w:vAlign w:val="bottom"/>
            <w:tcBorders>
              <w:bottom w:val="single" w:sz="8" w:color="1F497D"/>
              <w:right w:val="single" w:sz="8" w:color="1F497D"/>
            </w:tcBorders>
          </w:tcPr>
          <w:p>
            <w:pPr>
              <w:spacing w:after="0"/>
              <w:rPr>
                <w:sz w:val="2"/>
                <w:szCs w:val="2"/>
                <w:color w:val="auto"/>
              </w:rPr>
            </w:pPr>
          </w:p>
        </w:tc>
        <w:tc>
          <w:tcPr>
            <w:tcW w:w="2060" w:type="dxa"/>
            <w:vAlign w:val="bottom"/>
            <w:tcBorders>
              <w:bottom w:val="single" w:sz="8" w:color="1F497D"/>
              <w:right w:val="single" w:sz="8" w:color="1F497D"/>
            </w:tcBorders>
          </w:tcPr>
          <w:p>
            <w:pPr>
              <w:spacing w:after="0"/>
              <w:rPr>
                <w:sz w:val="2"/>
                <w:szCs w:val="2"/>
                <w:color w:val="auto"/>
              </w:rPr>
            </w:pPr>
          </w:p>
        </w:tc>
        <w:tc>
          <w:tcPr>
            <w:tcW w:w="1600" w:type="dxa"/>
            <w:vAlign w:val="bottom"/>
            <w:tcBorders>
              <w:bottom w:val="single" w:sz="8" w:color="1F497D"/>
              <w:right w:val="single" w:sz="8" w:color="1F497D"/>
            </w:tcBorders>
          </w:tcPr>
          <w:p>
            <w:pPr>
              <w:spacing w:after="0"/>
              <w:rPr>
                <w:sz w:val="2"/>
                <w:szCs w:val="2"/>
                <w:color w:val="auto"/>
              </w:rPr>
            </w:pPr>
          </w:p>
        </w:tc>
        <w:tc>
          <w:tcPr>
            <w:tcW w:w="1920" w:type="dxa"/>
            <w:vAlign w:val="bottom"/>
            <w:tcBorders>
              <w:bottom w:val="single" w:sz="8" w:color="1F497D"/>
              <w:right w:val="single" w:sz="8" w:color="1F497D"/>
            </w:tcBorders>
          </w:tcPr>
          <w:p>
            <w:pPr>
              <w:spacing w:after="0"/>
              <w:rPr>
                <w:sz w:val="2"/>
                <w:szCs w:val="2"/>
                <w:color w:val="auto"/>
              </w:rPr>
            </w:pPr>
          </w:p>
        </w:tc>
        <w:tc>
          <w:tcPr>
            <w:tcW w:w="1260" w:type="dxa"/>
            <w:vAlign w:val="bottom"/>
            <w:tcBorders>
              <w:bottom w:val="single" w:sz="8" w:color="1F497D"/>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1F497D"/>
            </w:tcBorders>
            <w:vMerge w:val="continue"/>
          </w:tcPr>
          <w:p>
            <w:pPr>
              <w:spacing w:after="0"/>
              <w:rPr>
                <w:sz w:val="23"/>
                <w:szCs w:val="23"/>
                <w:color w:val="auto"/>
              </w:rPr>
            </w:pPr>
          </w:p>
        </w:tc>
        <w:tc>
          <w:tcPr>
            <w:tcW w:w="24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 which: unrestricted shares</w:t>
            </w:r>
          </w:p>
        </w:tc>
        <w:tc>
          <w:tcPr>
            <w:tcW w:w="206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358,299,101</w:t>
            </w:r>
          </w:p>
        </w:tc>
        <w:tc>
          <w:tcPr>
            <w:tcW w:w="160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74.66%</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353,149,555</w:t>
            </w:r>
          </w:p>
        </w:tc>
        <w:tc>
          <w:tcPr>
            <w:tcW w:w="126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w w:val="99"/>
              </w:rPr>
              <w:t>73.55%</w:t>
            </w:r>
          </w:p>
        </w:tc>
        <w:tc>
          <w:tcPr>
            <w:tcW w:w="0" w:type="dxa"/>
            <w:vAlign w:val="bottom"/>
          </w:tcPr>
          <w:p>
            <w:pPr>
              <w:spacing w:after="0"/>
              <w:rPr>
                <w:sz w:val="1"/>
                <w:szCs w:val="1"/>
                <w:color w:val="auto"/>
              </w:rPr>
            </w:pPr>
          </w:p>
        </w:tc>
      </w:tr>
      <w:tr>
        <w:trPr>
          <w:trHeight w:val="144"/>
        </w:trPr>
        <w:tc>
          <w:tcPr>
            <w:tcW w:w="1680" w:type="dxa"/>
            <w:vAlign w:val="bottom"/>
            <w:tcBorders>
              <w:left w:val="single" w:sz="8" w:color="auto"/>
              <w:right w:val="single" w:sz="8" w:color="1F497D"/>
            </w:tcBorders>
          </w:tcPr>
          <w:p>
            <w:pPr>
              <w:spacing w:after="0"/>
              <w:rPr>
                <w:sz w:val="12"/>
                <w:szCs w:val="12"/>
                <w:color w:val="auto"/>
              </w:rPr>
            </w:pPr>
          </w:p>
        </w:tc>
        <w:tc>
          <w:tcPr>
            <w:tcW w:w="2400" w:type="dxa"/>
            <w:vAlign w:val="bottom"/>
            <w:tcBorders>
              <w:right w:val="single" w:sz="8" w:color="1F497D"/>
            </w:tcBorders>
            <w:vMerge w:val="continue"/>
          </w:tcPr>
          <w:p>
            <w:pPr>
              <w:spacing w:after="0"/>
              <w:rPr>
                <w:sz w:val="12"/>
                <w:szCs w:val="12"/>
                <w:color w:val="auto"/>
              </w:rPr>
            </w:pPr>
          </w:p>
        </w:tc>
        <w:tc>
          <w:tcPr>
            <w:tcW w:w="2060" w:type="dxa"/>
            <w:vAlign w:val="bottom"/>
            <w:tcBorders>
              <w:right w:val="single" w:sz="8" w:color="1F497D"/>
            </w:tcBorders>
            <w:vMerge w:val="continue"/>
          </w:tcPr>
          <w:p>
            <w:pPr>
              <w:spacing w:after="0"/>
              <w:rPr>
                <w:sz w:val="12"/>
                <w:szCs w:val="12"/>
                <w:color w:val="auto"/>
              </w:rPr>
            </w:pPr>
          </w:p>
        </w:tc>
        <w:tc>
          <w:tcPr>
            <w:tcW w:w="1600" w:type="dxa"/>
            <w:vAlign w:val="bottom"/>
            <w:tcBorders>
              <w:right w:val="single" w:sz="8" w:color="1F497D"/>
            </w:tcBorders>
            <w:vMerge w:val="continue"/>
          </w:tcPr>
          <w:p>
            <w:pPr>
              <w:spacing w:after="0"/>
              <w:rPr>
                <w:sz w:val="12"/>
                <w:szCs w:val="12"/>
                <w:color w:val="auto"/>
              </w:rPr>
            </w:pPr>
          </w:p>
        </w:tc>
        <w:tc>
          <w:tcPr>
            <w:tcW w:w="1920" w:type="dxa"/>
            <w:vAlign w:val="bottom"/>
            <w:tcBorders>
              <w:right w:val="single" w:sz="8" w:color="1F497D"/>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bottom w:val="single" w:sz="8" w:color="1F497D"/>
              <w:right w:val="single" w:sz="8" w:color="1F497D"/>
            </w:tcBorders>
          </w:tcPr>
          <w:p>
            <w:pPr>
              <w:spacing w:after="0"/>
              <w:rPr>
                <w:sz w:val="20"/>
                <w:szCs w:val="20"/>
                <w:color w:val="auto"/>
              </w:rPr>
            </w:pPr>
          </w:p>
        </w:tc>
        <w:tc>
          <w:tcPr>
            <w:tcW w:w="2400" w:type="dxa"/>
            <w:vAlign w:val="bottom"/>
            <w:tcBorders>
              <w:bottom w:val="single" w:sz="8" w:color="1F497D"/>
              <w:right w:val="single" w:sz="8" w:color="1F497D"/>
            </w:tcBorders>
          </w:tcPr>
          <w:p>
            <w:pPr>
              <w:spacing w:after="0"/>
              <w:rPr>
                <w:sz w:val="20"/>
                <w:szCs w:val="20"/>
                <w:color w:val="auto"/>
              </w:rPr>
            </w:pPr>
          </w:p>
        </w:tc>
        <w:tc>
          <w:tcPr>
            <w:tcW w:w="2060" w:type="dxa"/>
            <w:vAlign w:val="bottom"/>
            <w:tcBorders>
              <w:bottom w:val="single" w:sz="8" w:color="1F497D"/>
              <w:right w:val="single" w:sz="8" w:color="1F497D"/>
            </w:tcBorders>
          </w:tcPr>
          <w:p>
            <w:pPr>
              <w:spacing w:after="0"/>
              <w:rPr>
                <w:sz w:val="20"/>
                <w:szCs w:val="20"/>
                <w:color w:val="auto"/>
              </w:rPr>
            </w:pPr>
          </w:p>
        </w:tc>
        <w:tc>
          <w:tcPr>
            <w:tcW w:w="1600" w:type="dxa"/>
            <w:vAlign w:val="bottom"/>
            <w:tcBorders>
              <w:bottom w:val="single" w:sz="8" w:color="1F497D"/>
              <w:right w:val="single" w:sz="8" w:color="1F497D"/>
            </w:tcBorders>
          </w:tcPr>
          <w:p>
            <w:pPr>
              <w:spacing w:after="0"/>
              <w:rPr>
                <w:sz w:val="20"/>
                <w:szCs w:val="20"/>
                <w:color w:val="auto"/>
              </w:rPr>
            </w:pPr>
          </w:p>
        </w:tc>
        <w:tc>
          <w:tcPr>
            <w:tcW w:w="1920" w:type="dxa"/>
            <w:vAlign w:val="bottom"/>
            <w:tcBorders>
              <w:bottom w:val="single" w:sz="8" w:color="1F497D"/>
              <w:right w:val="single" w:sz="8" w:color="1F497D"/>
            </w:tcBorders>
          </w:tcPr>
          <w:p>
            <w:pPr>
              <w:spacing w:after="0"/>
              <w:rPr>
                <w:sz w:val="20"/>
                <w:szCs w:val="20"/>
                <w:color w:val="auto"/>
              </w:rPr>
            </w:pPr>
          </w:p>
        </w:tc>
        <w:tc>
          <w:tcPr>
            <w:tcW w:w="1260" w:type="dxa"/>
            <w:vAlign w:val="bottom"/>
            <w:tcBorders>
              <w:bottom w:val="single" w:sz="8" w:color="1F497D"/>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100" w:firstLine="367"/>
        <w:spacing w:after="0" w:line="277" w:lineRule="auto"/>
        <w:rPr>
          <w:sz w:val="20"/>
          <w:szCs w:val="20"/>
          <w:color w:val="auto"/>
        </w:rPr>
      </w:pPr>
      <w:r>
        <w:rPr>
          <w:rFonts w:ascii="Times New Roman" w:cs="Times New Roman" w:eastAsia="Times New Roman" w:hAnsi="Times New Roman"/>
          <w:sz w:val="18"/>
          <w:szCs w:val="18"/>
          <w:color w:val="auto"/>
        </w:rPr>
        <w:t>Note: The term “before this Transfer” refers to the period before this change in equity, specifically after the completion of registration for the new shares issued by ACM Shanghai to specific investors for the year of 2024 on September 26, 2025; and the term “after this Transfer” refers to the period after this change in equity, specifically after the completion of this Inquiry-Based Transfer.</w:t>
      </w:r>
    </w:p>
    <w:p>
      <w:pPr>
        <w:spacing w:after="0" w:line="91" w:lineRule="exact"/>
        <w:rPr>
          <w:sz w:val="20"/>
          <w:szCs w:val="20"/>
          <w:color w:val="auto"/>
        </w:rPr>
      </w:pPr>
    </w:p>
    <w:p>
      <w:pPr>
        <w:ind w:left="780" w:hanging="357"/>
        <w:spacing w:after="0"/>
        <w:tabs>
          <w:tab w:leader="none" w:pos="780" w:val="left"/>
        </w:tabs>
        <w:numPr>
          <w:ilvl w:val="1"/>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Details on the Transferees</w:t>
      </w:r>
    </w:p>
    <w:p>
      <w:pPr>
        <w:spacing w:after="0" w:line="151" w:lineRule="exact"/>
        <w:rPr>
          <w:rFonts w:ascii="Times New Roman" w:cs="Times New Roman" w:eastAsia="Times New Roman" w:hAnsi="Times New Roman"/>
          <w:sz w:val="21"/>
          <w:szCs w:val="21"/>
          <w:b w:val="1"/>
          <w:bCs w:val="1"/>
          <w:color w:val="auto"/>
        </w:rPr>
      </w:pPr>
    </w:p>
    <w:p>
      <w:pPr>
        <w:ind w:left="640" w:hanging="268"/>
        <w:spacing w:after="0"/>
        <w:tabs>
          <w:tab w:leader="none" w:pos="64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Information on the Transfer</w:t>
      </w:r>
    </w:p>
    <w:p>
      <w:pPr>
        <w:spacing w:after="0" w:line="176" w:lineRule="exact"/>
        <w:rPr>
          <w:sz w:val="20"/>
          <w:szCs w:val="20"/>
          <w:color w:val="auto"/>
        </w:rPr>
      </w:pPr>
    </w:p>
    <w:tbl>
      <w:tblPr>
        <w:tblLayout w:type="fixed"/>
        <w:tblInd w:w="430" w:type="dxa"/>
        <w:tblCellMar>
          <w:top w:w="0" w:type="dxa"/>
          <w:left w:w="0" w:type="dxa"/>
          <w:bottom w:w="0" w:type="dxa"/>
          <w:right w:w="0" w:type="dxa"/>
        </w:tblCellMar>
      </w:tblPr>
      <w:tr>
        <w:trPr>
          <w:trHeight w:val="258"/>
        </w:trPr>
        <w:tc>
          <w:tcPr>
            <w:tcW w:w="740" w:type="dxa"/>
            <w:vAlign w:val="bottom"/>
            <w:tcBorders>
              <w:top w:val="single" w:sz="8" w:color="1F497D"/>
              <w:left w:val="single" w:sz="8" w:color="auto"/>
              <w:right w:val="single" w:sz="8" w:color="1F497D"/>
            </w:tcBorders>
          </w:tcPr>
          <w:p>
            <w:pPr>
              <w:spacing w:after="0"/>
              <w:rPr>
                <w:sz w:val="22"/>
                <w:szCs w:val="22"/>
                <w:color w:val="auto"/>
              </w:rPr>
            </w:pPr>
          </w:p>
        </w:tc>
        <w:tc>
          <w:tcPr>
            <w:tcW w:w="2540" w:type="dxa"/>
            <w:vAlign w:val="bottom"/>
            <w:tcBorders>
              <w:top w:val="single" w:sz="8" w:color="1F497D"/>
              <w:right w:val="single" w:sz="8" w:color="1F497D"/>
            </w:tcBorders>
          </w:tcPr>
          <w:p>
            <w:pPr>
              <w:spacing w:after="0"/>
              <w:rPr>
                <w:sz w:val="22"/>
                <w:szCs w:val="22"/>
                <w:color w:val="auto"/>
              </w:rPr>
            </w:pPr>
          </w:p>
        </w:tc>
        <w:tc>
          <w:tcPr>
            <w:tcW w:w="1880" w:type="dxa"/>
            <w:vAlign w:val="bottom"/>
            <w:tcBorders>
              <w:top w:val="single" w:sz="8" w:color="1F497D"/>
              <w:right w:val="single" w:sz="8" w:color="1F497D"/>
            </w:tcBorders>
          </w:tcPr>
          <w:p>
            <w:pPr>
              <w:spacing w:after="0"/>
              <w:rPr>
                <w:sz w:val="22"/>
                <w:szCs w:val="22"/>
                <w:color w:val="auto"/>
              </w:rPr>
            </w:pPr>
          </w:p>
        </w:tc>
        <w:tc>
          <w:tcPr>
            <w:tcW w:w="192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38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60" w:type="dxa"/>
            <w:vAlign w:val="bottom"/>
            <w:tcBorders>
              <w:top w:val="single" w:sz="8" w:color="1F497D"/>
            </w:tcBorders>
            <w:vMerge w:val="restart"/>
          </w:tcPr>
          <w:p>
            <w:pPr>
              <w:jc w:val="center"/>
              <w:ind w:left="188"/>
              <w:spacing w:after="0"/>
              <w:rPr>
                <w:sz w:val="20"/>
                <w:szCs w:val="20"/>
                <w:color w:val="auto"/>
              </w:rPr>
            </w:pPr>
            <w:r>
              <w:rPr>
                <w:rFonts w:ascii="Times New Roman" w:cs="Times New Roman" w:eastAsia="Times New Roman" w:hAnsi="Times New Roman"/>
                <w:sz w:val="18"/>
                <w:szCs w:val="18"/>
                <w:b w:val="1"/>
                <w:bCs w:val="1"/>
                <w:color w:val="auto"/>
                <w:w w:val="97"/>
              </w:rPr>
              <w:t>Lock-up Period</w:t>
            </w:r>
          </w:p>
        </w:tc>
        <w:tc>
          <w:tcPr>
            <w:tcW w:w="0" w:type="dxa"/>
            <w:vAlign w:val="bottom"/>
          </w:tcPr>
          <w:p>
            <w:pPr>
              <w:spacing w:after="0"/>
              <w:rPr>
                <w:sz w:val="1"/>
                <w:szCs w:val="1"/>
                <w:color w:val="auto"/>
              </w:rPr>
            </w:pPr>
          </w:p>
        </w:tc>
      </w:tr>
      <w:tr>
        <w:trPr>
          <w:trHeight w:val="105"/>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S.N.</w:t>
            </w: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Transferee</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Type of Investor</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Actually Transferred</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Transferred as a Percentage</w:t>
            </w: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restart"/>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126"/>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 Total Share Capital</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1F497D"/>
            </w:tcBorders>
          </w:tcPr>
          <w:p>
            <w:pPr>
              <w:spacing w:after="0"/>
              <w:rPr>
                <w:sz w:val="12"/>
                <w:szCs w:val="12"/>
                <w:color w:val="auto"/>
              </w:rPr>
            </w:pPr>
          </w:p>
        </w:tc>
        <w:tc>
          <w:tcPr>
            <w:tcW w:w="2540" w:type="dxa"/>
            <w:vAlign w:val="bottom"/>
            <w:tcBorders>
              <w:right w:val="single" w:sz="8" w:color="1F497D"/>
            </w:tcBorders>
          </w:tcPr>
          <w:p>
            <w:pPr>
              <w:spacing w:after="0"/>
              <w:rPr>
                <w:sz w:val="12"/>
                <w:szCs w:val="12"/>
                <w:color w:val="auto"/>
              </w:rPr>
            </w:pPr>
          </w:p>
        </w:tc>
        <w:tc>
          <w:tcPr>
            <w:tcW w:w="1880" w:type="dxa"/>
            <w:vAlign w:val="bottom"/>
            <w:tcBorders>
              <w:right w:val="single" w:sz="8" w:color="1F497D"/>
            </w:tcBorders>
          </w:tcPr>
          <w:p>
            <w:pPr>
              <w:spacing w:after="0"/>
              <w:rPr>
                <w:sz w:val="12"/>
                <w:szCs w:val="12"/>
                <w:color w:val="auto"/>
              </w:rPr>
            </w:pPr>
          </w:p>
        </w:tc>
        <w:tc>
          <w:tcPr>
            <w:tcW w:w="1920" w:type="dxa"/>
            <w:vAlign w:val="bottom"/>
            <w:tcBorders>
              <w:right w:val="single" w:sz="8" w:color="1F497D"/>
            </w:tcBorders>
            <w:vMerge w:val="continue"/>
          </w:tcPr>
          <w:p>
            <w:pPr>
              <w:spacing w:after="0"/>
              <w:rPr>
                <w:sz w:val="12"/>
                <w:szCs w:val="12"/>
                <w:color w:val="auto"/>
              </w:rPr>
            </w:pPr>
          </w:p>
        </w:tc>
        <w:tc>
          <w:tcPr>
            <w:tcW w:w="2380" w:type="dxa"/>
            <w:vAlign w:val="bottom"/>
            <w:tcBorders>
              <w:right w:val="single" w:sz="8" w:color="1F497D"/>
            </w:tcBorders>
            <w:vMerge w:val="continue"/>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China Asset Management Co.,</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1,370,000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0.29%</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540" w:type="dxa"/>
            <w:vAlign w:val="bottom"/>
            <w:tcBorders>
              <w:right w:val="single" w:sz="8" w:color="1F497D"/>
            </w:tcBorders>
          </w:tcPr>
          <w:p>
            <w:pPr>
              <w:jc w:val="center"/>
              <w:ind w:left="247"/>
              <w:spacing w:after="0"/>
              <w:rPr>
                <w:sz w:val="20"/>
                <w:szCs w:val="20"/>
                <w:color w:val="auto"/>
              </w:rPr>
            </w:pPr>
            <w:r>
              <w:rPr>
                <w:rFonts w:ascii="Times New Roman" w:cs="Times New Roman" w:eastAsia="Times New Roman" w:hAnsi="Times New Roman"/>
                <w:sz w:val="18"/>
                <w:szCs w:val="18"/>
                <w:color w:val="auto"/>
              </w:rPr>
              <w:t>Nuode Fund Management</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735,500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540" w:type="dxa"/>
            <w:vAlign w:val="bottom"/>
            <w:tcBorders>
              <w:right w:val="single" w:sz="8" w:color="1F497D"/>
            </w:tcBorders>
          </w:tcPr>
          <w:p>
            <w:pPr>
              <w:ind w:left="940"/>
              <w:spacing w:after="0"/>
              <w:rPr>
                <w:sz w:val="20"/>
                <w:szCs w:val="20"/>
                <w:color w:val="auto"/>
              </w:rPr>
            </w:pPr>
            <w:r>
              <w:rPr>
                <w:rFonts w:ascii="Times New Roman" w:cs="Times New Roman" w:eastAsia="Times New Roman" w:hAnsi="Times New Roman"/>
                <w:sz w:val="21"/>
                <w:szCs w:val="21"/>
                <w:color w:val="auto"/>
              </w:rPr>
              <w:t>Guotai Fund</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415,148</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0.09%</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Management Co., 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0" w:type="dxa"/>
            <w:vAlign w:val="bottom"/>
            <w:tcBorders>
              <w:left w:val="single" w:sz="8" w:color="auto"/>
              <w:bottom w:val="single" w:sz="8" w:color="1F497D"/>
              <w:right w:val="single" w:sz="8" w:color="1F497D"/>
            </w:tcBorders>
          </w:tcPr>
          <w:p>
            <w:pPr>
              <w:spacing w:after="0"/>
              <w:rPr>
                <w:sz w:val="15"/>
                <w:szCs w:val="15"/>
                <w:color w:val="auto"/>
              </w:rPr>
            </w:pPr>
          </w:p>
        </w:tc>
        <w:tc>
          <w:tcPr>
            <w:tcW w:w="2540" w:type="dxa"/>
            <w:vAlign w:val="bottom"/>
            <w:tcBorders>
              <w:bottom w:val="single" w:sz="8" w:color="1F497D"/>
              <w:right w:val="single" w:sz="8" w:color="1F497D"/>
            </w:tcBorders>
            <w:vMerge w:val="continue"/>
          </w:tcPr>
          <w:p>
            <w:pPr>
              <w:spacing w:after="0"/>
              <w:rPr>
                <w:sz w:val="15"/>
                <w:szCs w:val="15"/>
                <w:color w:val="auto"/>
              </w:rPr>
            </w:pPr>
          </w:p>
        </w:tc>
        <w:tc>
          <w:tcPr>
            <w:tcW w:w="1880" w:type="dxa"/>
            <w:vAlign w:val="bottom"/>
            <w:tcBorders>
              <w:bottom w:val="single" w:sz="8" w:color="1F497D"/>
              <w:right w:val="single" w:sz="8" w:color="1F497D"/>
            </w:tcBorders>
            <w:vMerge w:val="continue"/>
          </w:tcPr>
          <w:p>
            <w:pPr>
              <w:spacing w:after="0"/>
              <w:rPr>
                <w:sz w:val="15"/>
                <w:szCs w:val="15"/>
                <w:color w:val="auto"/>
              </w:rPr>
            </w:pPr>
          </w:p>
        </w:tc>
        <w:tc>
          <w:tcPr>
            <w:tcW w:w="1920" w:type="dxa"/>
            <w:vAlign w:val="bottom"/>
            <w:tcBorders>
              <w:bottom w:val="single" w:sz="8" w:color="1F497D"/>
              <w:right w:val="single" w:sz="8" w:color="1F497D"/>
            </w:tcBorders>
          </w:tcPr>
          <w:p>
            <w:pPr>
              <w:spacing w:after="0"/>
              <w:rPr>
                <w:sz w:val="15"/>
                <w:szCs w:val="15"/>
                <w:color w:val="auto"/>
              </w:rPr>
            </w:pPr>
          </w:p>
        </w:tc>
        <w:tc>
          <w:tcPr>
            <w:tcW w:w="2380" w:type="dxa"/>
            <w:vAlign w:val="bottom"/>
            <w:tcBorders>
              <w:bottom w:val="single" w:sz="8" w:color="1F497D"/>
              <w:right w:val="single" w:sz="8" w:color="1F497D"/>
            </w:tcBorders>
          </w:tcPr>
          <w:p>
            <w:pPr>
              <w:spacing w:after="0"/>
              <w:rPr>
                <w:sz w:val="15"/>
                <w:szCs w:val="15"/>
                <w:color w:val="auto"/>
              </w:rPr>
            </w:pPr>
          </w:p>
        </w:tc>
        <w:tc>
          <w:tcPr>
            <w:tcW w:w="1460" w:type="dxa"/>
            <w:vAlign w:val="bottom"/>
            <w:tcBorders>
              <w:bottom w:val="single" w:sz="8" w:color="1F497D"/>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540" w:type="dxa"/>
            <w:vAlign w:val="bottom"/>
            <w:tcBorders>
              <w:right w:val="single" w:sz="8" w:color="1F497D"/>
            </w:tcBorders>
          </w:tcPr>
          <w:p>
            <w:pPr>
              <w:jc w:val="center"/>
              <w:ind w:left="267"/>
              <w:spacing w:after="0"/>
              <w:rPr>
                <w:sz w:val="20"/>
                <w:szCs w:val="20"/>
                <w:color w:val="auto"/>
              </w:rPr>
            </w:pPr>
            <w:r>
              <w:rPr>
                <w:rFonts w:ascii="Times New Roman" w:cs="Times New Roman" w:eastAsia="Times New Roman" w:hAnsi="Times New Roman"/>
                <w:sz w:val="18"/>
                <w:szCs w:val="18"/>
                <w:color w:val="auto"/>
              </w:rPr>
              <w:t>Caitong Fund Management</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330,500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540" w:type="dxa"/>
            <w:vAlign w:val="bottom"/>
            <w:tcBorders>
              <w:right w:val="single" w:sz="8" w:color="1F497D"/>
            </w:tcBorders>
          </w:tcPr>
          <w:p>
            <w:pPr>
              <w:jc w:val="center"/>
              <w:ind w:left="247"/>
              <w:spacing w:after="0"/>
              <w:rPr>
                <w:sz w:val="20"/>
                <w:szCs w:val="20"/>
                <w:color w:val="auto"/>
              </w:rPr>
            </w:pPr>
            <w:r>
              <w:rPr>
                <w:rFonts w:ascii="Times New Roman" w:cs="Times New Roman" w:eastAsia="Times New Roman" w:hAnsi="Times New Roman"/>
                <w:sz w:val="18"/>
                <w:szCs w:val="18"/>
                <w:color w:val="auto"/>
              </w:rPr>
              <w:t>Huian Fund Management</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288,000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0.06%</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UBS AG</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Qualified Foreign</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249,000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vMerge w:val="continue"/>
          </w:tcPr>
          <w:p>
            <w:pPr>
              <w:spacing w:after="0"/>
              <w:rPr>
                <w:sz w:val="19"/>
                <w:szCs w:val="19"/>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Institutional Investor</w:t>
            </w: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spacing w:after="0"/>
              <w:rPr>
                <w:sz w:val="20"/>
                <w:szCs w:val="20"/>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(QFII)</w:t>
            </w: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Shenwan Hongyuan Securities</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Securities Company</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180,000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 Fund Management Co., Ltd.</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161,000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Shanghai Zhinan Xingyuan</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vMerge w:val="restart"/>
          </w:tcPr>
          <w:p>
            <w:pPr>
              <w:jc w:val="center"/>
              <w:ind w:left="248"/>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Private Fund Management Co.,</w:t>
            </w:r>
          </w:p>
        </w:tc>
        <w:tc>
          <w:tcPr>
            <w:tcW w:w="1880" w:type="dxa"/>
            <w:vAlign w:val="bottom"/>
            <w:tcBorders>
              <w:right w:val="single" w:sz="8" w:color="1F497D"/>
            </w:tcBorders>
            <w:vMerge w:val="continue"/>
          </w:tcPr>
          <w:p>
            <w:pPr>
              <w:spacing w:after="0"/>
              <w:rPr>
                <w:sz w:val="19"/>
                <w:szCs w:val="19"/>
                <w:color w:val="auto"/>
              </w:rPr>
            </w:pP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1880" w:type="dxa"/>
            <w:vAlign w:val="bottom"/>
            <w:tcBorders>
              <w:right w:val="single" w:sz="8" w:color="1F497D"/>
            </w:tcBorders>
          </w:tcPr>
          <w:p>
            <w:pPr>
              <w:spacing w:after="0"/>
              <w:rPr>
                <w:sz w:val="20"/>
                <w:szCs w:val="20"/>
                <w:color w:val="auto"/>
              </w:rPr>
            </w:pP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340"/>
          </w:cols>
          <w:pgMar w:left="320" w:top="230" w:right="239" w:bottom="1440" w:gutter="0" w:footer="0" w:header="0"/>
        </w:sectPr>
      </w:pPr>
    </w:p>
    <w:bookmarkStart w:id="9" w:name="page10"/>
    <w:bookmarkEnd w:id="9"/>
    <w:p>
      <w:pPr>
        <w:ind w:left="978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740" w:type="dxa"/>
            <w:vAlign w:val="bottom"/>
            <w:tcBorders>
              <w:top w:val="single" w:sz="8" w:color="1F497D"/>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10</w:t>
            </w:r>
          </w:p>
        </w:tc>
        <w:tc>
          <w:tcPr>
            <w:tcW w:w="254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Shangrong Capital Management</w:t>
            </w:r>
          </w:p>
        </w:tc>
        <w:tc>
          <w:tcPr>
            <w:tcW w:w="188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top w:val="single" w:sz="8" w:color="1F497D"/>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80,000</w:t>
            </w:r>
          </w:p>
        </w:tc>
        <w:tc>
          <w:tcPr>
            <w:tcW w:w="2380" w:type="dxa"/>
            <w:vAlign w:val="bottom"/>
            <w:tcBorders>
              <w:top w:val="single" w:sz="8" w:color="1F497D"/>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tcBorders>
              <w:top w:val="single" w:sz="8" w:color="1F497D"/>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11</w:t>
            </w: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Morgan Stanley International</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Qualified Foreign</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74,000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05"/>
        </w:trPr>
        <w:tc>
          <w:tcPr>
            <w:tcW w:w="740" w:type="dxa"/>
            <w:vAlign w:val="bottom"/>
            <w:tcBorders>
              <w:left w:val="single" w:sz="8" w:color="auto"/>
              <w:right w:val="single" w:sz="8" w:color="1F497D"/>
            </w:tcBorders>
            <w:vMerge w:val="continue"/>
          </w:tcPr>
          <w:p>
            <w:pPr>
              <w:spacing w:after="0"/>
              <w:rPr>
                <w:sz w:val="9"/>
                <w:szCs w:val="9"/>
                <w:color w:val="auto"/>
              </w:rPr>
            </w:pPr>
          </w:p>
        </w:tc>
        <w:tc>
          <w:tcPr>
            <w:tcW w:w="2540" w:type="dxa"/>
            <w:vAlign w:val="bottom"/>
            <w:tcBorders>
              <w:right w:val="single" w:sz="8" w:color="1F497D"/>
            </w:tcBorders>
            <w:vMerge w:val="continue"/>
          </w:tcPr>
          <w:p>
            <w:pPr>
              <w:spacing w:after="0"/>
              <w:rPr>
                <w:sz w:val="9"/>
                <w:szCs w:val="9"/>
                <w:color w:val="auto"/>
              </w:rPr>
            </w:pP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Institutional Investor</w:t>
            </w:r>
          </w:p>
        </w:tc>
        <w:tc>
          <w:tcPr>
            <w:tcW w:w="1920" w:type="dxa"/>
            <w:vAlign w:val="bottom"/>
            <w:tcBorders>
              <w:right w:val="single" w:sz="8" w:color="1F497D"/>
            </w:tcBorders>
            <w:vMerge w:val="continue"/>
          </w:tcPr>
          <w:p>
            <w:pPr>
              <w:spacing w:after="0"/>
              <w:rPr>
                <w:sz w:val="9"/>
                <w:szCs w:val="9"/>
                <w:color w:val="auto"/>
              </w:rPr>
            </w:pPr>
          </w:p>
        </w:tc>
        <w:tc>
          <w:tcPr>
            <w:tcW w:w="2380" w:type="dxa"/>
            <w:vAlign w:val="bottom"/>
            <w:tcBorders>
              <w:right w:val="single" w:sz="8" w:color="1F497D"/>
            </w:tcBorders>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Holdings Inc.</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(QFII)</w:t>
            </w: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12</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Shenzhen Commander Capital</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Private Equity Fund</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65,000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Manager</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13</w:t>
            </w:r>
          </w:p>
        </w:tc>
        <w:tc>
          <w:tcPr>
            <w:tcW w:w="2540" w:type="dxa"/>
            <w:vAlign w:val="bottom"/>
            <w:tcBorders>
              <w:right w:val="single" w:sz="8" w:color="1F497D"/>
            </w:tcBorders>
          </w:tcPr>
          <w:p>
            <w:pPr>
              <w:spacing w:after="0"/>
              <w:rPr>
                <w:sz w:val="18"/>
                <w:szCs w:val="18"/>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Qualified Foreign</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62,000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J.P. Morgan Securities plc</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Institutional Investor</w:t>
            </w: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spacing w:after="0"/>
              <w:rPr>
                <w:sz w:val="20"/>
                <w:szCs w:val="20"/>
                <w:color w:val="auto"/>
              </w:rPr>
            </w:pP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(QFII)</w:t>
            </w: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14</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Sichuan Development Securities</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62,000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Investment Fund Management</w:t>
            </w:r>
          </w:p>
        </w:tc>
        <w:tc>
          <w:tcPr>
            <w:tcW w:w="1880" w:type="dxa"/>
            <w:vAlign w:val="bottom"/>
            <w:tcBorders>
              <w:right w:val="single" w:sz="8" w:color="1F497D"/>
            </w:tcBorders>
            <w:vMerge w:val="continue"/>
          </w:tcPr>
          <w:p>
            <w:pPr>
              <w:spacing w:after="0"/>
              <w:rPr>
                <w:sz w:val="19"/>
                <w:szCs w:val="19"/>
                <w:color w:val="auto"/>
              </w:rPr>
            </w:pP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tcPr>
          <w:p>
            <w:pPr>
              <w:spacing w:after="0"/>
              <w:rPr>
                <w:sz w:val="20"/>
                <w:szCs w:val="20"/>
                <w:color w:val="auto"/>
              </w:rPr>
            </w:pP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15</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Yuhui Capital Management</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62,000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(Beijing)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16</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Shanghai Jinde Private Fund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62,000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17</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Qingdao Luxiu Investment</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60,000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18</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Guolian Securities Asset</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Securities Company</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52,000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19</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Bodao Fund Management Co.,</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52,000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20</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Yuekai Innovation Investment</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31,500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21</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Huatai-PineBridge Fund</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Fund Management</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22</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Shenzhen Junzi Qianqian Private</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right"/>
              <w:ind w:right="628"/>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vMerge w:val="restart"/>
          </w:tcPr>
          <w:p>
            <w:pPr>
              <w:jc w:val="right"/>
              <w:ind w:right="868"/>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Securities Investment Fund</w:t>
            </w:r>
          </w:p>
        </w:tc>
        <w:tc>
          <w:tcPr>
            <w:tcW w:w="1880" w:type="dxa"/>
            <w:vAlign w:val="bottom"/>
            <w:tcBorders>
              <w:right w:val="single" w:sz="8" w:color="1F497D"/>
            </w:tcBorders>
            <w:vMerge w:val="continue"/>
          </w:tcPr>
          <w:p>
            <w:pPr>
              <w:spacing w:after="0"/>
              <w:rPr>
                <w:sz w:val="19"/>
                <w:szCs w:val="19"/>
                <w:color w:val="auto"/>
              </w:rPr>
            </w:pP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tcPr>
          <w:p>
            <w:pPr>
              <w:spacing w:after="0"/>
              <w:rPr>
                <w:sz w:val="20"/>
                <w:szCs w:val="20"/>
                <w:color w:val="auto"/>
              </w:rPr>
            </w:pP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20"/>
          </w:cols>
          <w:pgMar w:left="740" w:top="230" w:right="239" w:bottom="1440" w:gutter="0" w:footer="0" w:header="0"/>
        </w:sectPr>
      </w:pPr>
    </w:p>
    <w:bookmarkStart w:id="10" w:name="page11"/>
    <w:bookmarkEnd w:id="10"/>
    <w:p>
      <w:pPr>
        <w:ind w:left="102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30" w:type="dxa"/>
        <w:tblCellMar>
          <w:top w:w="0" w:type="dxa"/>
          <w:left w:w="0" w:type="dxa"/>
          <w:bottom w:w="0" w:type="dxa"/>
          <w:right w:w="0" w:type="dxa"/>
        </w:tblCellMar>
      </w:tblPr>
      <w:tr>
        <w:trPr>
          <w:trHeight w:val="236"/>
        </w:trPr>
        <w:tc>
          <w:tcPr>
            <w:tcW w:w="740" w:type="dxa"/>
            <w:vAlign w:val="bottom"/>
            <w:tcBorders>
              <w:top w:val="single" w:sz="8" w:color="1F497D"/>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23</w:t>
            </w:r>
          </w:p>
        </w:tc>
        <w:tc>
          <w:tcPr>
            <w:tcW w:w="2540" w:type="dxa"/>
            <w:vAlign w:val="bottom"/>
            <w:tcBorders>
              <w:top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Zhejiang Ruijiu Equity</w:t>
            </w:r>
          </w:p>
        </w:tc>
        <w:tc>
          <w:tcPr>
            <w:tcW w:w="188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top w:val="single" w:sz="8" w:color="1F497D"/>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Borders>
              <w:top w:val="single" w:sz="8" w:color="1F497D"/>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Investment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24</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Shanghai Muxin Private Fund</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740" w:type="dxa"/>
            <w:vAlign w:val="bottom"/>
            <w:tcBorders>
              <w:left w:val="single" w:sz="8" w:color="auto"/>
              <w:right w:val="single" w:sz="8" w:color="1F497D"/>
            </w:tcBorders>
          </w:tcPr>
          <w:p>
            <w:pPr>
              <w:jc w:val="right"/>
              <w:ind w:right="188"/>
              <w:spacing w:after="0"/>
              <w:rPr>
                <w:sz w:val="20"/>
                <w:szCs w:val="20"/>
                <w:color w:val="auto"/>
              </w:rPr>
            </w:pPr>
            <w:r>
              <w:rPr>
                <w:rFonts w:ascii="Times New Roman" w:cs="Times New Roman" w:eastAsia="Times New Roman" w:hAnsi="Times New Roman"/>
                <w:sz w:val="18"/>
                <w:szCs w:val="18"/>
                <w:color w:val="auto"/>
              </w:rPr>
              <w:t>25</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Shanghai Chengzhou Investment</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10"/>
        </w:trPr>
        <w:tc>
          <w:tcPr>
            <w:tcW w:w="740" w:type="dxa"/>
            <w:vAlign w:val="bottom"/>
            <w:tcBorders>
              <w:left w:val="single" w:sz="8" w:color="auto"/>
              <w:bottom w:val="single" w:sz="8" w:color="1F497D"/>
              <w:right w:val="single" w:sz="8" w:color="1F497D"/>
            </w:tcBorders>
          </w:tcPr>
          <w:p>
            <w:pPr>
              <w:spacing w:after="0"/>
              <w:rPr>
                <w:sz w:val="18"/>
                <w:szCs w:val="18"/>
                <w:color w:val="auto"/>
              </w:rPr>
            </w:pPr>
          </w:p>
        </w:tc>
        <w:tc>
          <w:tcPr>
            <w:tcW w:w="2540" w:type="dxa"/>
            <w:vAlign w:val="bottom"/>
            <w:tcBorders>
              <w:bottom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bottom w:val="single" w:sz="8" w:color="1F497D"/>
              <w:right w:val="single" w:sz="8" w:color="1F497D"/>
            </w:tcBorders>
          </w:tcPr>
          <w:p>
            <w:pPr>
              <w:spacing w:after="0"/>
              <w:rPr>
                <w:sz w:val="18"/>
                <w:szCs w:val="18"/>
                <w:color w:val="auto"/>
              </w:rPr>
            </w:pPr>
          </w:p>
        </w:tc>
        <w:tc>
          <w:tcPr>
            <w:tcW w:w="1920" w:type="dxa"/>
            <w:vAlign w:val="bottom"/>
            <w:tcBorders>
              <w:bottom w:val="single" w:sz="8" w:color="1F497D"/>
              <w:right w:val="single" w:sz="8" w:color="1F497D"/>
            </w:tcBorders>
          </w:tcPr>
          <w:p>
            <w:pPr>
              <w:spacing w:after="0"/>
              <w:rPr>
                <w:sz w:val="18"/>
                <w:szCs w:val="18"/>
                <w:color w:val="auto"/>
              </w:rPr>
            </w:pPr>
          </w:p>
        </w:tc>
        <w:tc>
          <w:tcPr>
            <w:tcW w:w="2380" w:type="dxa"/>
            <w:vAlign w:val="bottom"/>
            <w:tcBorders>
              <w:bottom w:val="single" w:sz="8" w:color="1F497D"/>
              <w:right w:val="single" w:sz="8" w:color="1F497D"/>
            </w:tcBorders>
          </w:tcPr>
          <w:p>
            <w:pPr>
              <w:spacing w:after="0"/>
              <w:rPr>
                <w:sz w:val="18"/>
                <w:szCs w:val="18"/>
                <w:color w:val="auto"/>
              </w:rPr>
            </w:pPr>
          </w:p>
        </w:tc>
        <w:tc>
          <w:tcPr>
            <w:tcW w:w="1460" w:type="dxa"/>
            <w:vAlign w:val="bottom"/>
            <w:tcBorders>
              <w:bottom w:val="single" w:sz="8" w:color="1F497D"/>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0" w:type="dxa"/>
            <w:vAlign w:val="bottom"/>
            <w:tcBorders>
              <w:left w:val="single" w:sz="8" w:color="auto"/>
              <w:right w:val="single" w:sz="8" w:color="1F497D"/>
            </w:tcBorders>
          </w:tcPr>
          <w:p>
            <w:pPr>
              <w:jc w:val="right"/>
              <w:ind w:right="188"/>
              <w:spacing w:after="0"/>
              <w:rPr>
                <w:sz w:val="20"/>
                <w:szCs w:val="20"/>
                <w:color w:val="auto"/>
              </w:rPr>
            </w:pPr>
            <w:r>
              <w:rPr>
                <w:rFonts w:ascii="Times New Roman" w:cs="Times New Roman" w:eastAsia="Times New Roman" w:hAnsi="Times New Roman"/>
                <w:sz w:val="18"/>
                <w:szCs w:val="18"/>
                <w:color w:val="auto"/>
              </w:rPr>
              <w:t>26</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Guohai Securities Co., Ltd.</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Securities Company</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740" w:type="dxa"/>
            <w:vAlign w:val="bottom"/>
            <w:tcBorders>
              <w:left w:val="single" w:sz="8" w:color="auto"/>
              <w:right w:val="single" w:sz="8" w:color="1F497D"/>
            </w:tcBorders>
          </w:tcPr>
          <w:p>
            <w:pPr>
              <w:jc w:val="right"/>
              <w:ind w:right="188"/>
              <w:spacing w:after="0"/>
              <w:rPr>
                <w:sz w:val="20"/>
                <w:szCs w:val="20"/>
                <w:color w:val="auto"/>
              </w:rPr>
            </w:pPr>
            <w:r>
              <w:rPr>
                <w:rFonts w:ascii="Times New Roman" w:cs="Times New Roman" w:eastAsia="Times New Roman" w:hAnsi="Times New Roman"/>
                <w:sz w:val="18"/>
                <w:szCs w:val="18"/>
                <w:color w:val="auto"/>
              </w:rPr>
              <w:t>27</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Shanghai Kunyang Private Fund</w:t>
            </w:r>
          </w:p>
        </w:tc>
        <w:tc>
          <w:tcPr>
            <w:tcW w:w="18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10"/>
        </w:trPr>
        <w:tc>
          <w:tcPr>
            <w:tcW w:w="740" w:type="dxa"/>
            <w:vAlign w:val="bottom"/>
            <w:tcBorders>
              <w:left w:val="single" w:sz="8" w:color="auto"/>
              <w:bottom w:val="single" w:sz="8" w:color="1F497D"/>
              <w:right w:val="single" w:sz="8" w:color="1F497D"/>
            </w:tcBorders>
          </w:tcPr>
          <w:p>
            <w:pPr>
              <w:spacing w:after="0"/>
              <w:rPr>
                <w:sz w:val="18"/>
                <w:szCs w:val="18"/>
                <w:color w:val="auto"/>
              </w:rPr>
            </w:pPr>
          </w:p>
        </w:tc>
        <w:tc>
          <w:tcPr>
            <w:tcW w:w="2540" w:type="dxa"/>
            <w:vAlign w:val="bottom"/>
            <w:tcBorders>
              <w:bottom w:val="single" w:sz="8" w:color="1F497D"/>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Management Co., Ltd.</w:t>
            </w:r>
          </w:p>
        </w:tc>
        <w:tc>
          <w:tcPr>
            <w:tcW w:w="1880" w:type="dxa"/>
            <w:vAlign w:val="bottom"/>
            <w:tcBorders>
              <w:bottom w:val="single" w:sz="8" w:color="1F497D"/>
              <w:right w:val="single" w:sz="8" w:color="1F497D"/>
            </w:tcBorders>
          </w:tcPr>
          <w:p>
            <w:pPr>
              <w:spacing w:after="0"/>
              <w:rPr>
                <w:sz w:val="18"/>
                <w:szCs w:val="18"/>
                <w:color w:val="auto"/>
              </w:rPr>
            </w:pPr>
          </w:p>
        </w:tc>
        <w:tc>
          <w:tcPr>
            <w:tcW w:w="1920" w:type="dxa"/>
            <w:vAlign w:val="bottom"/>
            <w:tcBorders>
              <w:bottom w:val="single" w:sz="8" w:color="1F497D"/>
              <w:right w:val="single" w:sz="8" w:color="1F497D"/>
            </w:tcBorders>
          </w:tcPr>
          <w:p>
            <w:pPr>
              <w:spacing w:after="0"/>
              <w:rPr>
                <w:sz w:val="18"/>
                <w:szCs w:val="18"/>
                <w:color w:val="auto"/>
              </w:rPr>
            </w:pPr>
          </w:p>
        </w:tc>
        <w:tc>
          <w:tcPr>
            <w:tcW w:w="2380" w:type="dxa"/>
            <w:vAlign w:val="bottom"/>
            <w:tcBorders>
              <w:bottom w:val="single" w:sz="8" w:color="1F497D"/>
              <w:right w:val="single" w:sz="8" w:color="1F497D"/>
            </w:tcBorders>
          </w:tcPr>
          <w:p>
            <w:pPr>
              <w:spacing w:after="0"/>
              <w:rPr>
                <w:sz w:val="18"/>
                <w:szCs w:val="18"/>
                <w:color w:val="auto"/>
              </w:rPr>
            </w:pPr>
          </w:p>
        </w:tc>
        <w:tc>
          <w:tcPr>
            <w:tcW w:w="1460" w:type="dxa"/>
            <w:vAlign w:val="bottom"/>
            <w:tcBorders>
              <w:bottom w:val="single" w:sz="8" w:color="1F497D"/>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28</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Ningbo Ningju Asset</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Management Center (Limited</w:t>
            </w:r>
          </w:p>
        </w:tc>
        <w:tc>
          <w:tcPr>
            <w:tcW w:w="1880" w:type="dxa"/>
            <w:vAlign w:val="bottom"/>
            <w:tcBorders>
              <w:right w:val="single" w:sz="8" w:color="1F497D"/>
            </w:tcBorders>
            <w:vMerge w:val="continue"/>
          </w:tcPr>
          <w:p>
            <w:pPr>
              <w:spacing w:after="0"/>
              <w:rPr>
                <w:sz w:val="19"/>
                <w:szCs w:val="19"/>
                <w:color w:val="auto"/>
              </w:rPr>
            </w:pP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Partnership)</w:t>
            </w:r>
          </w:p>
        </w:tc>
        <w:tc>
          <w:tcPr>
            <w:tcW w:w="1880" w:type="dxa"/>
            <w:vAlign w:val="bottom"/>
            <w:tcBorders>
              <w:right w:val="single" w:sz="8" w:color="1F497D"/>
            </w:tcBorders>
          </w:tcPr>
          <w:p>
            <w:pPr>
              <w:spacing w:after="0"/>
              <w:rPr>
                <w:sz w:val="20"/>
                <w:szCs w:val="20"/>
                <w:color w:val="auto"/>
              </w:rPr>
            </w:pP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29</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“Hangzhou Zhongda Junyue</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1F497D"/>
            </w:tcBorders>
            <w:vMerge w:val="continue"/>
          </w:tcPr>
          <w:p>
            <w:pPr>
              <w:spacing w:after="0"/>
              <w:rPr>
                <w:sz w:val="10"/>
                <w:szCs w:val="10"/>
                <w:color w:val="auto"/>
              </w:rPr>
            </w:pPr>
          </w:p>
        </w:tc>
        <w:tc>
          <w:tcPr>
            <w:tcW w:w="254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Investment Co., Ltd.</w:t>
            </w:r>
          </w:p>
        </w:tc>
        <w:tc>
          <w:tcPr>
            <w:tcW w:w="1880" w:type="dxa"/>
            <w:vAlign w:val="bottom"/>
            <w:tcBorders>
              <w:right w:val="single" w:sz="8" w:color="1F497D"/>
            </w:tcBorders>
            <w:vMerge w:val="continue"/>
          </w:tcPr>
          <w:p>
            <w:pPr>
              <w:spacing w:after="0"/>
              <w:rPr>
                <w:sz w:val="10"/>
                <w:szCs w:val="10"/>
                <w:color w:val="auto"/>
              </w:rPr>
            </w:pPr>
          </w:p>
        </w:tc>
        <w:tc>
          <w:tcPr>
            <w:tcW w:w="1920" w:type="dxa"/>
            <w:vAlign w:val="bottom"/>
            <w:tcBorders>
              <w:right w:val="single" w:sz="8" w:color="1F497D"/>
            </w:tcBorders>
            <w:vMerge w:val="continue"/>
          </w:tcPr>
          <w:p>
            <w:pPr>
              <w:spacing w:after="0"/>
              <w:rPr>
                <w:sz w:val="10"/>
                <w:szCs w:val="10"/>
                <w:color w:val="auto"/>
              </w:rPr>
            </w:pPr>
          </w:p>
        </w:tc>
        <w:tc>
          <w:tcPr>
            <w:tcW w:w="2380" w:type="dxa"/>
            <w:vAlign w:val="bottom"/>
            <w:tcBorders>
              <w:right w:val="single" w:sz="8" w:color="1F497D"/>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Borders>
              <w:left w:val="single" w:sz="8" w:color="auto"/>
              <w:right w:val="single" w:sz="8" w:color="1F497D"/>
            </w:tcBorders>
          </w:tcPr>
          <w:p>
            <w:pPr>
              <w:spacing w:after="0"/>
              <w:rPr>
                <w:sz w:val="10"/>
                <w:szCs w:val="10"/>
                <w:color w:val="auto"/>
              </w:rPr>
            </w:pPr>
          </w:p>
        </w:tc>
        <w:tc>
          <w:tcPr>
            <w:tcW w:w="2540" w:type="dxa"/>
            <w:vAlign w:val="bottom"/>
            <w:tcBorders>
              <w:right w:val="single" w:sz="8" w:color="1F497D"/>
            </w:tcBorders>
            <w:vMerge w:val="continue"/>
          </w:tcPr>
          <w:p>
            <w:pPr>
              <w:spacing w:after="0"/>
              <w:rPr>
                <w:sz w:val="10"/>
                <w:szCs w:val="10"/>
                <w:color w:val="auto"/>
              </w:rPr>
            </w:pPr>
          </w:p>
        </w:tc>
        <w:tc>
          <w:tcPr>
            <w:tcW w:w="1880" w:type="dxa"/>
            <w:vAlign w:val="bottom"/>
            <w:tcBorders>
              <w:right w:val="single" w:sz="8" w:color="1F497D"/>
            </w:tcBorders>
          </w:tcPr>
          <w:p>
            <w:pPr>
              <w:spacing w:after="0"/>
              <w:rPr>
                <w:sz w:val="10"/>
                <w:szCs w:val="10"/>
                <w:color w:val="auto"/>
              </w:rPr>
            </w:pPr>
          </w:p>
        </w:tc>
        <w:tc>
          <w:tcPr>
            <w:tcW w:w="1920" w:type="dxa"/>
            <w:vAlign w:val="bottom"/>
            <w:tcBorders>
              <w:right w:val="single" w:sz="8" w:color="1F497D"/>
            </w:tcBorders>
          </w:tcPr>
          <w:p>
            <w:pPr>
              <w:spacing w:after="0"/>
              <w:rPr>
                <w:sz w:val="10"/>
                <w:szCs w:val="10"/>
                <w:color w:val="auto"/>
              </w:rPr>
            </w:pPr>
          </w:p>
        </w:tc>
        <w:tc>
          <w:tcPr>
            <w:tcW w:w="2380" w:type="dxa"/>
            <w:vAlign w:val="bottom"/>
            <w:tcBorders>
              <w:right w:val="single" w:sz="8" w:color="1F497D"/>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tcBorders>
              <w:left w:val="single" w:sz="8" w:color="auto"/>
              <w:bottom w:val="single" w:sz="8" w:color="1F497D"/>
              <w:right w:val="single" w:sz="8" w:color="1F497D"/>
            </w:tcBorders>
          </w:tcPr>
          <w:p>
            <w:pPr>
              <w:spacing w:after="0"/>
              <w:rPr>
                <w:sz w:val="3"/>
                <w:szCs w:val="3"/>
                <w:color w:val="auto"/>
              </w:rPr>
            </w:pPr>
          </w:p>
        </w:tc>
        <w:tc>
          <w:tcPr>
            <w:tcW w:w="2540" w:type="dxa"/>
            <w:vAlign w:val="bottom"/>
            <w:tcBorders>
              <w:bottom w:val="single" w:sz="8" w:color="1F497D"/>
              <w:right w:val="single" w:sz="8" w:color="1F497D"/>
            </w:tcBorders>
          </w:tcPr>
          <w:p>
            <w:pPr>
              <w:spacing w:after="0"/>
              <w:rPr>
                <w:sz w:val="3"/>
                <w:szCs w:val="3"/>
                <w:color w:val="auto"/>
              </w:rPr>
            </w:pPr>
          </w:p>
        </w:tc>
        <w:tc>
          <w:tcPr>
            <w:tcW w:w="1880" w:type="dxa"/>
            <w:vAlign w:val="bottom"/>
            <w:tcBorders>
              <w:bottom w:val="single" w:sz="8" w:color="1F497D"/>
              <w:right w:val="single" w:sz="8" w:color="1F497D"/>
            </w:tcBorders>
          </w:tcPr>
          <w:p>
            <w:pPr>
              <w:spacing w:after="0"/>
              <w:rPr>
                <w:sz w:val="3"/>
                <w:szCs w:val="3"/>
                <w:color w:val="auto"/>
              </w:rPr>
            </w:pPr>
          </w:p>
        </w:tc>
        <w:tc>
          <w:tcPr>
            <w:tcW w:w="1920" w:type="dxa"/>
            <w:vAlign w:val="bottom"/>
            <w:tcBorders>
              <w:bottom w:val="single" w:sz="8" w:color="1F497D"/>
              <w:right w:val="single" w:sz="8" w:color="1F497D"/>
            </w:tcBorders>
          </w:tcPr>
          <w:p>
            <w:pPr>
              <w:spacing w:after="0"/>
              <w:rPr>
                <w:sz w:val="3"/>
                <w:szCs w:val="3"/>
                <w:color w:val="auto"/>
              </w:rPr>
            </w:pPr>
          </w:p>
        </w:tc>
        <w:tc>
          <w:tcPr>
            <w:tcW w:w="2380" w:type="dxa"/>
            <w:vAlign w:val="bottom"/>
            <w:tcBorders>
              <w:bottom w:val="single" w:sz="8" w:color="1F497D"/>
              <w:right w:val="single" w:sz="8" w:color="1F497D"/>
            </w:tcBorders>
          </w:tcPr>
          <w:p>
            <w:pPr>
              <w:spacing w:after="0"/>
              <w:rPr>
                <w:sz w:val="3"/>
                <w:szCs w:val="3"/>
                <w:color w:val="auto"/>
              </w:rPr>
            </w:pPr>
          </w:p>
        </w:tc>
        <w:tc>
          <w:tcPr>
            <w:tcW w:w="1460" w:type="dxa"/>
            <w:vAlign w:val="bottom"/>
            <w:tcBorders>
              <w:bottom w:val="single" w:sz="8" w:color="1F497D"/>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auto"/>
              <w:right w:val="single" w:sz="8" w:color="1F497D"/>
            </w:tcBorders>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30</w:t>
            </w: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“Zhijian (Shaoxing Keqiao)</w:t>
            </w:r>
          </w:p>
        </w:tc>
        <w:tc>
          <w:tcPr>
            <w:tcW w:w="18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Fund Manager</w:t>
            </w:r>
          </w:p>
        </w:tc>
        <w:tc>
          <w:tcPr>
            <w:tcW w:w="192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2380" w:type="dxa"/>
            <w:vAlign w:val="bottom"/>
            <w:tcBorders>
              <w:right w:val="single" w:sz="8" w:color="1F497D"/>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6 months</w:t>
            </w:r>
          </w:p>
        </w:tc>
        <w:tc>
          <w:tcPr>
            <w:tcW w:w="0" w:type="dxa"/>
            <w:vAlign w:val="bottom"/>
          </w:tcPr>
          <w:p>
            <w:pPr>
              <w:spacing w:after="0"/>
              <w:rPr>
                <w:sz w:val="1"/>
                <w:szCs w:val="1"/>
                <w:color w:val="auto"/>
              </w:rPr>
            </w:pPr>
          </w:p>
        </w:tc>
      </w:tr>
      <w:tr>
        <w:trPr>
          <w:trHeight w:val="223"/>
        </w:trPr>
        <w:tc>
          <w:tcPr>
            <w:tcW w:w="740" w:type="dxa"/>
            <w:vAlign w:val="bottom"/>
            <w:tcBorders>
              <w:left w:val="single" w:sz="8" w:color="auto"/>
              <w:right w:val="single" w:sz="8" w:color="1F497D"/>
            </w:tcBorders>
            <w:vMerge w:val="continue"/>
          </w:tcPr>
          <w:p>
            <w:pPr>
              <w:spacing w:after="0"/>
              <w:rPr>
                <w:sz w:val="19"/>
                <w:szCs w:val="19"/>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Private Fund Management Co.,</w:t>
            </w:r>
          </w:p>
        </w:tc>
        <w:tc>
          <w:tcPr>
            <w:tcW w:w="1880" w:type="dxa"/>
            <w:vAlign w:val="bottom"/>
            <w:tcBorders>
              <w:right w:val="single" w:sz="8" w:color="1F497D"/>
            </w:tcBorders>
            <w:vMerge w:val="continue"/>
          </w:tcPr>
          <w:p>
            <w:pPr>
              <w:spacing w:after="0"/>
              <w:rPr>
                <w:sz w:val="19"/>
                <w:szCs w:val="19"/>
                <w:color w:val="auto"/>
              </w:rPr>
            </w:pPr>
          </w:p>
        </w:tc>
        <w:tc>
          <w:tcPr>
            <w:tcW w:w="1920" w:type="dxa"/>
            <w:vAlign w:val="bottom"/>
            <w:tcBorders>
              <w:right w:val="single" w:sz="8" w:color="1F497D"/>
            </w:tcBorders>
            <w:vMerge w:val="continue"/>
          </w:tcPr>
          <w:p>
            <w:pPr>
              <w:spacing w:after="0"/>
              <w:rPr>
                <w:sz w:val="19"/>
                <w:szCs w:val="19"/>
                <w:color w:val="auto"/>
              </w:rPr>
            </w:pPr>
          </w:p>
        </w:tc>
        <w:tc>
          <w:tcPr>
            <w:tcW w:w="2380" w:type="dxa"/>
            <w:vAlign w:val="bottom"/>
            <w:tcBorders>
              <w:right w:val="single" w:sz="8" w:color="1F497D"/>
            </w:tcBorders>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Borders>
              <w:left w:val="single" w:sz="8" w:color="auto"/>
              <w:right w:val="single" w:sz="8" w:color="1F497D"/>
            </w:tcBorders>
          </w:tcPr>
          <w:p>
            <w:pPr>
              <w:spacing w:after="0"/>
              <w:rPr>
                <w:sz w:val="20"/>
                <w:szCs w:val="20"/>
                <w:color w:val="auto"/>
              </w:rPr>
            </w:pPr>
          </w:p>
        </w:tc>
        <w:tc>
          <w:tcPr>
            <w:tcW w:w="254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1880" w:type="dxa"/>
            <w:vAlign w:val="bottom"/>
            <w:tcBorders>
              <w:right w:val="single" w:sz="8" w:color="1F497D"/>
            </w:tcBorders>
          </w:tcPr>
          <w:p>
            <w:pPr>
              <w:spacing w:after="0"/>
              <w:rPr>
                <w:sz w:val="20"/>
                <w:szCs w:val="20"/>
                <w:color w:val="auto"/>
              </w:rPr>
            </w:pPr>
          </w:p>
        </w:tc>
        <w:tc>
          <w:tcPr>
            <w:tcW w:w="1920" w:type="dxa"/>
            <w:vAlign w:val="bottom"/>
            <w:tcBorders>
              <w:right w:val="single" w:sz="8" w:color="1F497D"/>
            </w:tcBorders>
          </w:tcPr>
          <w:p>
            <w:pPr>
              <w:spacing w:after="0"/>
              <w:rPr>
                <w:sz w:val="20"/>
                <w:szCs w:val="20"/>
                <w:color w:val="auto"/>
              </w:rPr>
            </w:pPr>
          </w:p>
        </w:tc>
        <w:tc>
          <w:tcPr>
            <w:tcW w:w="2380" w:type="dxa"/>
            <w:vAlign w:val="bottom"/>
            <w:tcBorders>
              <w:right w:val="single" w:sz="8" w:color="1F497D"/>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1F497D"/>
              <w:right w:val="single" w:sz="8" w:color="1F497D"/>
            </w:tcBorders>
          </w:tcPr>
          <w:p>
            <w:pPr>
              <w:spacing w:after="0" w:line="20" w:lineRule="exact"/>
              <w:rPr>
                <w:sz w:val="1"/>
                <w:szCs w:val="1"/>
                <w:color w:val="auto"/>
              </w:rPr>
            </w:pPr>
          </w:p>
        </w:tc>
        <w:tc>
          <w:tcPr>
            <w:tcW w:w="2540" w:type="dxa"/>
            <w:vAlign w:val="bottom"/>
            <w:tcBorders>
              <w:bottom w:val="single" w:sz="8" w:color="1F497D"/>
              <w:right w:val="single" w:sz="8" w:color="1F497D"/>
            </w:tcBorders>
          </w:tcPr>
          <w:p>
            <w:pPr>
              <w:spacing w:after="0" w:line="20" w:lineRule="exact"/>
              <w:rPr>
                <w:sz w:val="1"/>
                <w:szCs w:val="1"/>
                <w:color w:val="auto"/>
              </w:rPr>
            </w:pPr>
          </w:p>
        </w:tc>
        <w:tc>
          <w:tcPr>
            <w:tcW w:w="1880" w:type="dxa"/>
            <w:vAlign w:val="bottom"/>
            <w:tcBorders>
              <w:bottom w:val="single" w:sz="8" w:color="1F497D"/>
              <w:right w:val="single" w:sz="8" w:color="1F497D"/>
            </w:tcBorders>
          </w:tcPr>
          <w:p>
            <w:pPr>
              <w:spacing w:after="0" w:line="20" w:lineRule="exact"/>
              <w:rPr>
                <w:sz w:val="1"/>
                <w:szCs w:val="1"/>
                <w:color w:val="auto"/>
              </w:rPr>
            </w:pPr>
          </w:p>
        </w:tc>
        <w:tc>
          <w:tcPr>
            <w:tcW w:w="1920" w:type="dxa"/>
            <w:vAlign w:val="bottom"/>
            <w:tcBorders>
              <w:bottom w:val="single" w:sz="8" w:color="1F497D"/>
              <w:right w:val="single" w:sz="8" w:color="1F497D"/>
            </w:tcBorders>
          </w:tcPr>
          <w:p>
            <w:pPr>
              <w:spacing w:after="0" w:line="20" w:lineRule="exact"/>
              <w:rPr>
                <w:sz w:val="1"/>
                <w:szCs w:val="1"/>
                <w:color w:val="auto"/>
              </w:rPr>
            </w:pPr>
          </w:p>
        </w:tc>
        <w:tc>
          <w:tcPr>
            <w:tcW w:w="2380" w:type="dxa"/>
            <w:vAlign w:val="bottom"/>
            <w:tcBorders>
              <w:bottom w:val="single" w:sz="8" w:color="1F497D"/>
              <w:right w:val="single" w:sz="8" w:color="1F497D"/>
            </w:tcBorders>
          </w:tcPr>
          <w:p>
            <w:pPr>
              <w:spacing w:after="0" w:line="20" w:lineRule="exact"/>
              <w:rPr>
                <w:sz w:val="1"/>
                <w:szCs w:val="1"/>
                <w:color w:val="auto"/>
              </w:rPr>
            </w:pPr>
          </w:p>
        </w:tc>
        <w:tc>
          <w:tcPr>
            <w:tcW w:w="146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740" w:type="dxa"/>
            <w:vAlign w:val="bottom"/>
            <w:tcBorders>
              <w:left w:val="single" w:sz="8" w:color="auto"/>
            </w:tcBorders>
          </w:tcPr>
          <w:p>
            <w:pPr>
              <w:spacing w:after="0"/>
              <w:rPr>
                <w:sz w:val="23"/>
                <w:szCs w:val="23"/>
                <w:color w:val="auto"/>
              </w:rPr>
            </w:pPr>
          </w:p>
        </w:tc>
        <w:tc>
          <w:tcPr>
            <w:tcW w:w="25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right w:val="single" w:sz="8" w:color="1F497D"/>
            </w:tcBorders>
          </w:tcPr>
          <w:p>
            <w:pPr>
              <w:spacing w:after="0"/>
              <w:rPr>
                <w:sz w:val="23"/>
                <w:szCs w:val="23"/>
                <w:color w:val="auto"/>
              </w:rPr>
            </w:pPr>
          </w:p>
        </w:tc>
        <w:tc>
          <w:tcPr>
            <w:tcW w:w="192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4,801,648</w:t>
            </w:r>
          </w:p>
        </w:tc>
        <w:tc>
          <w:tcPr>
            <w:tcW w:w="2380" w:type="dxa"/>
            <w:vAlign w:val="bottom"/>
            <w:tcBorders>
              <w:right w:val="single" w:sz="8" w:color="1F497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740" w:type="dxa"/>
            <w:vAlign w:val="bottom"/>
            <w:tcBorders>
              <w:left w:val="single" w:sz="8" w:color="1F497D"/>
              <w:right w:val="single" w:sz="8" w:color="1F497D"/>
            </w:tcBorders>
            <w:shd w:val="clear" w:color="auto" w:fill="1F497D"/>
          </w:tcPr>
          <w:p>
            <w:pPr>
              <w:spacing w:after="0"/>
              <w:rPr>
                <w:sz w:val="2"/>
                <w:szCs w:val="2"/>
                <w:color w:val="auto"/>
              </w:rPr>
            </w:pPr>
          </w:p>
        </w:tc>
        <w:tc>
          <w:tcPr>
            <w:tcW w:w="2540" w:type="dxa"/>
            <w:vAlign w:val="bottom"/>
            <w:tcBorders>
              <w:right w:val="single" w:sz="8" w:color="1F497D"/>
            </w:tcBorders>
            <w:shd w:val="clear" w:color="auto" w:fill="1F497D"/>
          </w:tcPr>
          <w:p>
            <w:pPr>
              <w:spacing w:after="0"/>
              <w:rPr>
                <w:sz w:val="2"/>
                <w:szCs w:val="2"/>
                <w:color w:val="auto"/>
              </w:rPr>
            </w:pPr>
          </w:p>
        </w:tc>
        <w:tc>
          <w:tcPr>
            <w:tcW w:w="1880" w:type="dxa"/>
            <w:vAlign w:val="bottom"/>
            <w:tcBorders>
              <w:right w:val="single" w:sz="8" w:color="1F497D"/>
            </w:tcBorders>
            <w:shd w:val="clear" w:color="auto" w:fill="1F497D"/>
          </w:tcPr>
          <w:p>
            <w:pPr>
              <w:spacing w:after="0"/>
              <w:rPr>
                <w:sz w:val="2"/>
                <w:szCs w:val="2"/>
                <w:color w:val="auto"/>
              </w:rPr>
            </w:pPr>
          </w:p>
        </w:tc>
        <w:tc>
          <w:tcPr>
            <w:tcW w:w="1920" w:type="dxa"/>
            <w:vAlign w:val="bottom"/>
            <w:tcBorders>
              <w:right w:val="single" w:sz="8" w:color="1F497D"/>
            </w:tcBorders>
            <w:shd w:val="clear" w:color="auto" w:fill="1F497D"/>
          </w:tcPr>
          <w:p>
            <w:pPr>
              <w:spacing w:after="0"/>
              <w:rPr>
                <w:sz w:val="2"/>
                <w:szCs w:val="2"/>
                <w:color w:val="auto"/>
              </w:rPr>
            </w:pPr>
          </w:p>
        </w:tc>
        <w:tc>
          <w:tcPr>
            <w:tcW w:w="2380" w:type="dxa"/>
            <w:vAlign w:val="bottom"/>
            <w:tcBorders>
              <w:right w:val="single" w:sz="8" w:color="1F497D"/>
            </w:tcBorders>
            <w:shd w:val="clear" w:color="auto" w:fill="1F497D"/>
          </w:tcPr>
          <w:p>
            <w:pPr>
              <w:spacing w:after="0"/>
              <w:rPr>
                <w:sz w:val="2"/>
                <w:szCs w:val="2"/>
                <w:color w:val="auto"/>
              </w:rPr>
            </w:pPr>
          </w:p>
        </w:tc>
        <w:tc>
          <w:tcPr>
            <w:tcW w:w="1460" w:type="dxa"/>
            <w:vAlign w:val="bottom"/>
            <w:shd w:val="clear" w:color="auto" w:fill="1F497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100"/>
        <w:spacing w:after="0" w:line="280" w:lineRule="auto"/>
        <w:rPr>
          <w:sz w:val="20"/>
          <w:szCs w:val="20"/>
          <w:color w:val="auto"/>
        </w:rPr>
      </w:pPr>
      <w:r>
        <w:rPr>
          <w:rFonts w:ascii="Times New Roman" w:cs="Times New Roman" w:eastAsia="Times New Roman" w:hAnsi="Times New Roman"/>
          <w:sz w:val="21"/>
          <w:szCs w:val="21"/>
          <w:color w:val="auto"/>
        </w:rPr>
        <w:t>Note: Any discrepancies in mantissa between the total value and the sum of individual values in the table above are caused by rounding off.</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b w:val="1"/>
          <w:bCs w:val="1"/>
          <w:color w:val="auto"/>
        </w:rPr>
        <w:t>(II) Inquiry Process of the Inquiry-Based Transfer</w:t>
      </w:r>
    </w:p>
    <w:p>
      <w:pPr>
        <w:spacing w:after="0" w:line="274" w:lineRule="exact"/>
        <w:rPr>
          <w:sz w:val="20"/>
          <w:szCs w:val="20"/>
          <w:color w:val="auto"/>
        </w:rPr>
      </w:pPr>
    </w:p>
    <w:p>
      <w:pPr>
        <w:jc w:val="both"/>
        <w:ind w:right="100" w:firstLine="420"/>
        <w:spacing w:after="0" w:line="368" w:lineRule="auto"/>
        <w:rPr>
          <w:sz w:val="20"/>
          <w:szCs w:val="20"/>
          <w:color w:val="auto"/>
        </w:rPr>
      </w:pPr>
      <w:r>
        <w:rPr>
          <w:rFonts w:ascii="Times New Roman" w:cs="Times New Roman" w:eastAsia="Times New Roman" w:hAnsi="Times New Roman"/>
          <w:sz w:val="21"/>
          <w:szCs w:val="21"/>
          <w:color w:val="auto"/>
        </w:rPr>
        <w:t>The Transferor and Guotai Haitong Securities Co., Ltd. (hereinafter referred to as the “Organizing Securities Company”) have jointly determined the floor price for the Inquiry-Based Transfer through consultation, taking into account factors such as the shareholder’s own capital needs, and the floor price for the Inquiry-Based Transfer shall not be lower than 70% of the average trading price of ACM Shanghai’s shares over the 20 trading days preceding the date of issuance of the Subscription Invitation Letter (i.e., January 30, 2026, inclusive) (the average trading price of the shares over the 20 trading days preceding the date of issuance of the Subscription Invitation Letter = total value of shares traded over the 20 trading days preceding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340"/>
          </w:cols>
          <w:pgMar w:left="320" w:top="230"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21"/>
          <w:szCs w:val="21"/>
          <w:color w:val="auto"/>
        </w:rPr>
        <w:t>of the Subscription Invitation Letter / total volume of shares traded over the 20 trading days preceding the date of issuance of the Subscription Invitation Letter).</w:t>
      </w:r>
    </w:p>
    <w:p>
      <w:pPr>
        <w:spacing w:after="0" w:line="65" w:lineRule="exact"/>
        <w:rPr>
          <w:sz w:val="20"/>
          <w:szCs w:val="20"/>
          <w:color w:val="auto"/>
        </w:rPr>
      </w:pPr>
    </w:p>
    <w:p>
      <w:pPr>
        <w:jc w:val="both"/>
        <w:ind w:firstLine="420"/>
        <w:spacing w:after="0" w:line="381" w:lineRule="auto"/>
        <w:rPr>
          <w:sz w:val="20"/>
          <w:szCs w:val="20"/>
          <w:color w:val="auto"/>
        </w:rPr>
      </w:pPr>
      <w:r>
        <w:rPr>
          <w:rFonts w:ascii="Times New Roman" w:cs="Times New Roman" w:eastAsia="Times New Roman" w:hAnsi="Times New Roman"/>
          <w:sz w:val="21"/>
          <w:szCs w:val="21"/>
          <w:color w:val="auto"/>
        </w:rPr>
        <w:t>The Subscription Invitation Letter for the Inquiry-Based Transfer has been delivered to 274 institutional investors in total, specifically including: 73 fund management companies, 57 securities companies, 28 insurance companies, 11 qualified foreign investors, 99 private fund managers, 3 bank wealth management institutions,2 trust companies, and 1 futures company.</w:t>
      </w:r>
    </w:p>
    <w:p>
      <w:pPr>
        <w:spacing w:after="0" w:line="96" w:lineRule="exact"/>
        <w:rPr>
          <w:sz w:val="20"/>
          <w:szCs w:val="20"/>
          <w:color w:val="auto"/>
        </w:rPr>
      </w:pPr>
    </w:p>
    <w:p>
      <w:pPr>
        <w:jc w:val="both"/>
        <w:ind w:firstLine="420"/>
        <w:spacing w:after="0" w:line="371" w:lineRule="auto"/>
        <w:rPr>
          <w:sz w:val="20"/>
          <w:szCs w:val="20"/>
          <w:color w:val="auto"/>
        </w:rPr>
      </w:pPr>
      <w:r>
        <w:rPr>
          <w:rFonts w:ascii="Times New Roman" w:cs="Times New Roman" w:eastAsia="Times New Roman" w:hAnsi="Times New Roman"/>
          <w:sz w:val="21"/>
          <w:szCs w:val="21"/>
          <w:color w:val="auto"/>
        </w:rPr>
        <w:t>Within the valid application period set forth in the Subscription Invitation Letter, i.e., from 7:15:00 to 9:15:59 on February 2, 2026, the Organizing Broker received a total of 46 Subscription Quotation Forms from 38 institutional investors, in which, 45 quotations were valid and 1 quotation was invalid. All investors participating in the application have submitted their relevant application documents in a timely manner.</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b w:val="1"/>
          <w:bCs w:val="1"/>
          <w:color w:val="auto"/>
        </w:rPr>
        <w:t>(III) Results of Inquiry</w:t>
      </w:r>
    </w:p>
    <w:p>
      <w:pPr>
        <w:spacing w:after="0" w:line="274" w:lineRule="exact"/>
        <w:rPr>
          <w:sz w:val="20"/>
          <w:szCs w:val="20"/>
          <w:color w:val="auto"/>
        </w:rPr>
      </w:pPr>
    </w:p>
    <w:p>
      <w:pPr>
        <w:jc w:val="both"/>
        <w:ind w:firstLine="365"/>
        <w:spacing w:after="0" w:line="371" w:lineRule="auto"/>
        <w:rPr>
          <w:sz w:val="20"/>
          <w:szCs w:val="20"/>
          <w:color w:val="auto"/>
        </w:rPr>
      </w:pPr>
      <w:r>
        <w:rPr>
          <w:rFonts w:ascii="Times New Roman" w:cs="Times New Roman" w:eastAsia="Times New Roman" w:hAnsi="Times New Roman"/>
          <w:sz w:val="21"/>
          <w:szCs w:val="21"/>
          <w:color w:val="auto"/>
        </w:rPr>
        <w:t>The Organizing Broker received a total of 46 Subscription Quotation Forms from 38 institutional investors, in which, 45 quotations were valid. Pursuant to the pricing principles set forth in the Subscription Invitation Letter, shares were ultimately allocated to 30 investors, and the finally confirmed price for the Inquiry-Based Transfer was RMB 160.00 per share, with a total of 4,801,648 shares being transferred.</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b w:val="1"/>
          <w:bCs w:val="1"/>
          <w:color w:val="auto"/>
        </w:rPr>
        <w:t>(IV) Whether the Transfer will Results in a Change of Control of ACM Shanghai</w:t>
      </w: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 Applicable √ Not applicable</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b w:val="1"/>
          <w:bCs w:val="1"/>
          <w:color w:val="auto"/>
        </w:rPr>
        <w:t>(V) Failure of the Transferees to Subscribe for Shares</w:t>
      </w: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 Applicable √ Not applicable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IV. Details on the Changes in Equity of the Transferees</w:t>
      </w:r>
    </w:p>
    <w:p>
      <w:pPr>
        <w:spacing w:after="0" w:line="261" w:lineRule="exact"/>
        <w:rPr>
          <w:sz w:val="20"/>
          <w:szCs w:val="20"/>
          <w:color w:val="auto"/>
        </w:rPr>
      </w:pPr>
    </w:p>
    <w:p>
      <w:pPr>
        <w:ind w:left="600" w:hanging="175"/>
        <w:spacing w:after="0"/>
        <w:tabs>
          <w:tab w:leader="none" w:pos="6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 √ Not applicable</w:t>
      </w:r>
    </w:p>
    <w:p>
      <w:pPr>
        <w:spacing w:after="0" w:line="265" w:lineRule="exact"/>
        <w:rPr>
          <w:rFonts w:ascii="Times New Roman" w:cs="Times New Roman" w:eastAsia="Times New Roman" w:hAnsi="Times New Roman"/>
          <w:sz w:val="21"/>
          <w:szCs w:val="21"/>
          <w:color w:val="auto"/>
        </w:rPr>
      </w:pPr>
    </w:p>
    <w:p>
      <w:pPr>
        <w:ind w:left="4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 Verification Process and Opinion of the Intermediary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23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15"/>
        <w:spacing w:after="0" w:line="360" w:lineRule="auto"/>
        <w:rPr>
          <w:sz w:val="20"/>
          <w:szCs w:val="20"/>
          <w:color w:val="auto"/>
        </w:rPr>
      </w:pPr>
      <w:r>
        <w:rPr>
          <w:rFonts w:ascii="Times New Roman" w:cs="Times New Roman" w:eastAsia="Times New Roman" w:hAnsi="Times New Roman"/>
          <w:sz w:val="21"/>
          <w:szCs w:val="21"/>
          <w:color w:val="auto"/>
        </w:rPr>
        <w:t>Guotai Haitong Securities Co., Ltd. has conducted prudent verification of the Transferor, transferees, qualifications of inquiry participants to subscribe for shares, and the scope of distributing the Subscription Invitation Letter for the Inquiry-Based Transfer, etc., and it is of the opinion that:</w:t>
      </w:r>
    </w:p>
    <w:p>
      <w:pPr>
        <w:spacing w:after="0" w:line="2" w:lineRule="exact"/>
        <w:rPr>
          <w:sz w:val="20"/>
          <w:szCs w:val="20"/>
          <w:color w:val="auto"/>
        </w:rPr>
      </w:pPr>
    </w:p>
    <w:p>
      <w:pPr>
        <w:jc w:val="both"/>
        <w:ind w:firstLine="415"/>
        <w:spacing w:after="0" w:line="367" w:lineRule="auto"/>
        <w:rPr>
          <w:sz w:val="20"/>
          <w:szCs w:val="20"/>
          <w:color w:val="auto"/>
        </w:rPr>
      </w:pPr>
      <w:r>
        <w:rPr>
          <w:rFonts w:ascii="Times New Roman" w:cs="Times New Roman" w:eastAsia="Times New Roman" w:hAnsi="Times New Roman"/>
          <w:sz w:val="21"/>
          <w:szCs w:val="21"/>
          <w:color w:val="auto"/>
        </w:rPr>
        <w:t xml:space="preserve">The process of the Inquiry-Based Transfer complies with the principles of fairness and impartiality, and is in accordance with the prevailing regulatory requirements in the securities market. The final price for the share transfer was determined through the inquiry-based method. The entire Inquiry-Based Transfer process is in compliance with the relevant provisions of the </w:t>
      </w:r>
      <w:r>
        <w:rPr>
          <w:rFonts w:ascii="Times New Roman" w:cs="Times New Roman" w:eastAsia="Times New Roman" w:hAnsi="Times New Roman"/>
          <w:sz w:val="21"/>
          <w:szCs w:val="21"/>
          <w:i w:val="1"/>
          <w:iCs w:val="1"/>
          <w:color w:val="auto"/>
        </w:rPr>
        <w:t>Company Law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of the People’s Republic of China</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Securities Law of the People’s Republic of China</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Implementation Opinions on Establishing the STAR Market and Piloting Registration System in Shanghai Stock Exchange</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Measures for Continuous Supervision on Companies Listed on the STAR Market (for Trial Implementation)</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Rules Governing the Listing of Stocks on the STAR Market of the Shanghai Stock Exchange (Revised April 2025</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i w:val="1"/>
          <w:iCs w:val="1"/>
          <w:color w:val="auto"/>
        </w:rPr>
        <w:t xml:space="preserve"> Guidelines No. 4 of the Shanghai Stock Exchange for Self-Regulation of Listed Companies on the STAR Market —Inquiry-Based Transfer and Placement (Revised March 2025)</w:t>
      </w:r>
      <w:r>
        <w:rPr>
          <w:rFonts w:ascii="Times New Roman" w:cs="Times New Roman" w:eastAsia="Times New Roman" w:hAnsi="Times New Roman"/>
          <w:sz w:val="21"/>
          <w:szCs w:val="21"/>
          <w:color w:val="auto"/>
        </w:rPr>
        <w:t>,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laws and regulations, departmental rules and normative documents.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VI. Attachment to Online Announcement</w:t>
      </w:r>
    </w:p>
    <w:p>
      <w:pPr>
        <w:spacing w:after="0" w:line="259" w:lineRule="exact"/>
        <w:rPr>
          <w:sz w:val="20"/>
          <w:szCs w:val="20"/>
          <w:color w:val="auto"/>
        </w:rPr>
      </w:pPr>
    </w:p>
    <w:p>
      <w:pPr>
        <w:jc w:val="both"/>
        <w:ind w:firstLine="415"/>
        <w:spacing w:after="0" w:line="400" w:lineRule="auto"/>
        <w:rPr>
          <w:sz w:val="20"/>
          <w:szCs w:val="20"/>
          <w:color w:val="auto"/>
        </w:rPr>
      </w:pPr>
      <w:r>
        <w:rPr>
          <w:rFonts w:ascii="Times New Roman" w:cs="Times New Roman" w:eastAsia="Times New Roman" w:hAnsi="Times New Roman"/>
          <w:sz w:val="21"/>
          <w:szCs w:val="21"/>
          <w:i w:val="1"/>
          <w:iCs w:val="1"/>
          <w:color w:val="auto"/>
        </w:rPr>
        <w:t>Verification Report of Guotai Haitong Securities Co., Ltd. on the Inquiry-Based Transfer of Shares by Shareholders of ACM Research (Shanghai), Inc. to Specific Institutional Investors</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This Announcement is hereby issued.</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ACM Research (Shanghai), Inc.</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Board of Directors</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10</w:t>
      </w:r>
    </w:p>
    <w:sectPr>
      <w:pgSz w:w="11900" w:h="16838" w:orient="portrait"/>
      <w:cols w:equalWidth="0" w:num="1">
        <w:col w:w="11240"/>
      </w:cols>
      <w:pgMar w:left="320" w:top="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2"/>
    </w:lvl>
    <w:lvl w:ilvl="1">
      <w:lvlJc w:val="left"/>
      <w:lvlText w:val="%2."/>
      <w:numFmt w:val="decimal"/>
      <w:start w:val="3"/>
    </w:lvl>
  </w:abstractNum>
  <w:abstractNum w:abstractNumId="2">
    <w:nsid w:val="625558EC"/>
    <w:multiLevelType w:val="hybridMultilevel"/>
    <w:lvl w:ilvl="0">
      <w:lvlJc w:val="left"/>
      <w:lvlText w:val="%1"/>
      <w:numFmt w:val="upperLetter"/>
      <w:start w:val="1"/>
    </w:lvl>
    <w:lvl w:ilvl="1">
      <w:lvlJc w:val="left"/>
      <w:lvlText w:val="%2."/>
      <w:numFmt w:val="upperLetter"/>
      <w:start w:val="61"/>
    </w:lvl>
  </w:abstractNum>
  <w:abstractNum w:abstractNumId="3">
    <w:nsid w:val="238E1F29"/>
    <w:multiLevelType w:val="hybridMultilevel"/>
    <w:lvl w:ilvl="0">
      <w:lvlJc w:val="left"/>
      <w:lvlText w:val="(%1)"/>
      <w:numFmt w:val="upperLetter"/>
      <w:start w:val="9"/>
    </w:lvl>
    <w:lvl w:ilvl="1">
      <w:lvlJc w:val="left"/>
      <w:lvlText w:val="%2"/>
      <w:numFmt w:val="upperLetter"/>
      <w:start w:val="1"/>
    </w:lvl>
  </w:abstractNum>
  <w:abstractNum w:abstractNumId="4">
    <w:nsid w:val="46E87CCD"/>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2026-02-06T07:18:55Z</dcterms:created>
  <dcterms:modified xsi:type="dcterms:W3CDTF">2026-02-06T07:18:55Z</dcterms:modified>
</cp:coreProperties>
</file>