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FF0000"/>
        </w:rPr>
        <w:t>As filed with the Securities and Exchange Commission on July 23, 2019</w:t>
      </w:r>
    </w:p>
    <w:p>
      <w:pPr>
        <w:spacing w:after="0" w:line="21" w:lineRule="exact"/>
        <w:rPr>
          <w:sz w:val="24"/>
          <w:szCs w:val="24"/>
          <w:color w:val="auto"/>
        </w:rPr>
      </w:pPr>
    </w:p>
    <w:p>
      <w:pPr>
        <w:ind w:left="9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101600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101600</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8" w:lineRule="exact"/>
        <w:rPr>
          <w:sz w:val="24"/>
          <w:szCs w:val="24"/>
          <w:color w:val="auto"/>
        </w:rPr>
      </w:pPr>
    </w:p>
    <w:tbl>
      <w:tblPr>
        <w:tblLayout w:type="fixed"/>
        <w:tblInd w:w="980" w:type="dxa"/>
        <w:tblCellMar>
          <w:top w:w="0" w:type="dxa"/>
          <w:left w:w="0" w:type="dxa"/>
          <w:bottom w:w="0" w:type="dxa"/>
          <w:right w:w="0" w:type="dxa"/>
        </w:tblCellMar>
      </w:tblPr>
      <w:tr>
        <w:trPr>
          <w:trHeight w:val="397"/>
        </w:trPr>
        <w:tc>
          <w:tcPr>
            <w:tcW w:w="2820" w:type="dxa"/>
            <w:vAlign w:val="bottom"/>
          </w:tcPr>
          <w:p>
            <w:pPr>
              <w:spacing w:after="0"/>
              <w:rPr>
                <w:sz w:val="24"/>
                <w:szCs w:val="24"/>
                <w:color w:val="auto"/>
              </w:rPr>
            </w:pPr>
          </w:p>
        </w:tc>
        <w:tc>
          <w:tcPr>
            <w:tcW w:w="6460" w:type="dxa"/>
            <w:vAlign w:val="bottom"/>
            <w:gridSpan w:val="3"/>
          </w:tcPr>
          <w:p>
            <w:pPr>
              <w:jc w:val="center"/>
              <w:ind w:right="2552"/>
              <w:spacing w:after="0"/>
              <w:rPr>
                <w:sz w:val="20"/>
                <w:szCs w:val="20"/>
                <w:color w:val="auto"/>
              </w:rPr>
            </w:pPr>
            <w:r>
              <w:rPr>
                <w:rFonts w:ascii="Arial" w:cs="Arial" w:eastAsia="Arial" w:hAnsi="Arial"/>
                <w:sz w:val="32"/>
                <w:szCs w:val="32"/>
                <w:b w:val="1"/>
                <w:bCs w:val="1"/>
                <w:color w:val="auto"/>
              </w:rPr>
              <w:t>ACM RESEARCH, INC.</w:t>
            </w:r>
          </w:p>
        </w:tc>
      </w:tr>
      <w:tr>
        <w:trPr>
          <w:trHeight w:val="222"/>
        </w:trPr>
        <w:tc>
          <w:tcPr>
            <w:tcW w:w="2820" w:type="dxa"/>
            <w:vAlign w:val="bottom"/>
          </w:tcPr>
          <w:p>
            <w:pPr>
              <w:spacing w:after="0"/>
              <w:rPr>
                <w:sz w:val="19"/>
                <w:szCs w:val="19"/>
                <w:color w:val="auto"/>
              </w:rPr>
            </w:pPr>
          </w:p>
        </w:tc>
        <w:tc>
          <w:tcPr>
            <w:tcW w:w="6460" w:type="dxa"/>
            <w:vAlign w:val="bottom"/>
            <w:gridSpan w:val="3"/>
          </w:tcPr>
          <w:p>
            <w:pPr>
              <w:jc w:val="center"/>
              <w:ind w:right="255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358"/>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646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94-3290283</w:t>
            </w:r>
          </w:p>
        </w:tc>
      </w:tr>
      <w:tr>
        <w:trPr>
          <w:trHeight w:val="216"/>
        </w:trPr>
        <w:tc>
          <w:tcPr>
            <w:tcW w:w="2820" w:type="dxa"/>
            <w:vAlign w:val="bottom"/>
          </w:tcPr>
          <w:p>
            <w:pPr>
              <w:jc w:val="center"/>
              <w:spacing w:after="0"/>
              <w:rPr>
                <w:sz w:val="20"/>
                <w:szCs w:val="20"/>
                <w:color w:val="auto"/>
              </w:rPr>
            </w:pPr>
            <w:r>
              <w:rPr>
                <w:rFonts w:ascii="Arial" w:cs="Arial" w:eastAsia="Arial" w:hAnsi="Arial"/>
                <w:sz w:val="18"/>
                <w:szCs w:val="18"/>
                <w:i w:val="1"/>
                <w:iCs w:val="1"/>
                <w:color w:val="auto"/>
                <w:w w:val="91"/>
              </w:rPr>
              <w:t>(State or other jurisdiction of</w:t>
            </w:r>
          </w:p>
        </w:tc>
        <w:tc>
          <w:tcPr>
            <w:tcW w:w="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20" w:type="dxa"/>
            <w:vAlign w:val="bottom"/>
          </w:tcPr>
          <w:p>
            <w:pPr>
              <w:jc w:val="center"/>
              <w:ind w:left="107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22"/>
        </w:trPr>
        <w:tc>
          <w:tcPr>
            <w:tcW w:w="2820" w:type="dxa"/>
            <w:vAlign w:val="bottom"/>
          </w:tcPr>
          <w:p>
            <w:pPr>
              <w:jc w:val="center"/>
              <w:spacing w:after="0"/>
              <w:rPr>
                <w:sz w:val="20"/>
                <w:szCs w:val="20"/>
                <w:color w:val="auto"/>
              </w:rPr>
            </w:pPr>
            <w:r>
              <w:rPr>
                <w:rFonts w:ascii="Arial" w:cs="Arial" w:eastAsia="Arial" w:hAnsi="Arial"/>
                <w:sz w:val="18"/>
                <w:szCs w:val="18"/>
                <w:i w:val="1"/>
                <w:iCs w:val="1"/>
                <w:color w:val="auto"/>
                <w:w w:val="92"/>
              </w:rPr>
              <w:t>Incorporation or organization)</w:t>
            </w:r>
          </w:p>
        </w:tc>
        <w:tc>
          <w:tcPr>
            <w:tcW w:w="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0"/>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6"/>
              </w:rPr>
              <w:t>42307 Osgood Road, Suite I</w:t>
            </w: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22"/>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Fremont, California</w:t>
            </w:r>
          </w:p>
        </w:tc>
        <w:tc>
          <w:tcPr>
            <w:tcW w:w="646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rPr>
              <w:t>94539</w:t>
            </w:r>
          </w:p>
        </w:tc>
      </w:tr>
      <w:tr>
        <w:trPr>
          <w:trHeight w:val="222"/>
        </w:trPr>
        <w:tc>
          <w:tcPr>
            <w:tcW w:w="2820" w:type="dxa"/>
            <w:vAlign w:val="bottom"/>
          </w:tcPr>
          <w:p>
            <w:pPr>
              <w:jc w:val="center"/>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20" w:type="dxa"/>
            <w:vAlign w:val="bottom"/>
          </w:tcPr>
          <w:p>
            <w:pPr>
              <w:jc w:val="center"/>
              <w:ind w:left="1072"/>
              <w:spacing w:after="0"/>
              <w:rPr>
                <w:sz w:val="20"/>
                <w:szCs w:val="20"/>
                <w:color w:val="auto"/>
              </w:rPr>
            </w:pPr>
            <w:r>
              <w:rPr>
                <w:rFonts w:ascii="Arial" w:cs="Arial" w:eastAsia="Arial" w:hAnsi="Arial"/>
                <w:sz w:val="18"/>
                <w:szCs w:val="18"/>
                <w:i w:val="1"/>
                <w:iCs w:val="1"/>
                <w:color w:val="auto"/>
                <w:w w:val="91"/>
              </w:rPr>
              <w:t>(Zip code)</w:t>
            </w:r>
          </w:p>
        </w:tc>
      </w:tr>
      <w:tr>
        <w:trPr>
          <w:trHeight w:val="218"/>
        </w:trPr>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r>
      <w:tr>
        <w:trPr>
          <w:trHeight w:val="417"/>
        </w:trPr>
        <w:tc>
          <w:tcPr>
            <w:tcW w:w="2820" w:type="dxa"/>
            <w:vAlign w:val="bottom"/>
          </w:tcPr>
          <w:p>
            <w:pPr>
              <w:spacing w:after="0"/>
              <w:rPr>
                <w:sz w:val="24"/>
                <w:szCs w:val="24"/>
                <w:color w:val="auto"/>
              </w:rPr>
            </w:pPr>
          </w:p>
        </w:tc>
        <w:tc>
          <w:tcPr>
            <w:tcW w:w="6460" w:type="dxa"/>
            <w:vAlign w:val="bottom"/>
            <w:gridSpan w:val="3"/>
          </w:tcPr>
          <w:p>
            <w:pPr>
              <w:jc w:val="center"/>
              <w:ind w:right="2552"/>
              <w:spacing w:after="0"/>
              <w:rPr>
                <w:sz w:val="20"/>
                <w:szCs w:val="20"/>
                <w:color w:val="auto"/>
              </w:rPr>
            </w:pPr>
            <w:r>
              <w:rPr>
                <w:rFonts w:ascii="Arial" w:cs="Arial" w:eastAsia="Arial" w:hAnsi="Arial"/>
                <w:sz w:val="18"/>
                <w:szCs w:val="18"/>
                <w:b w:val="1"/>
                <w:bCs w:val="1"/>
                <w:color w:val="auto"/>
                <w:w w:val="89"/>
              </w:rPr>
              <w:t>2016 Omnibus Incentive Plan</w:t>
            </w:r>
          </w:p>
        </w:tc>
      </w:tr>
      <w:tr>
        <w:trPr>
          <w:trHeight w:val="222"/>
        </w:trPr>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60" w:type="dxa"/>
            <w:vAlign w:val="bottom"/>
            <w:gridSpan w:val="2"/>
          </w:tcPr>
          <w:p>
            <w:pPr>
              <w:jc w:val="center"/>
              <w:ind w:right="3432"/>
              <w:spacing w:after="0"/>
              <w:rPr>
                <w:sz w:val="20"/>
                <w:szCs w:val="20"/>
                <w:color w:val="auto"/>
              </w:rPr>
            </w:pPr>
            <w:r>
              <w:rPr>
                <w:rFonts w:ascii="Arial" w:cs="Arial" w:eastAsia="Arial" w:hAnsi="Arial"/>
                <w:sz w:val="18"/>
                <w:szCs w:val="18"/>
                <w:i w:val="1"/>
                <w:iCs w:val="1"/>
                <w:color w:val="auto"/>
                <w:w w:val="93"/>
              </w:rPr>
              <w:t>(Full title of the plan)</w:t>
            </w:r>
          </w:p>
        </w:tc>
      </w:tr>
      <w:tr>
        <w:trPr>
          <w:trHeight w:val="151"/>
        </w:trPr>
        <w:tc>
          <w:tcPr>
            <w:tcW w:w="2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3620" w:type="dxa"/>
            <w:vAlign w:val="bottom"/>
          </w:tcPr>
          <w:p>
            <w:pPr>
              <w:spacing w:after="0"/>
              <w:rPr>
                <w:sz w:val="13"/>
                <w:szCs w:val="13"/>
                <w:color w:val="auto"/>
              </w:rPr>
            </w:pP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H. Wang</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ACM Research,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42307 Osgood Road, Suit I</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California 94539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(510) 445-3700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With a copy to:</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Mark L. Johnson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K&amp;L Gates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Lincoln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02111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261-3260</w:t>
      </w:r>
    </w:p>
    <w:p>
      <w:pPr>
        <w:spacing w:after="0" w:line="1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ind w:right="3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3133090</wp:posOffset>
            </wp:positionH>
            <wp:positionV relativeFrom="page">
              <wp:posOffset>380365</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t>CALCULATION OF REGISTRATION FEE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3"/>
              <w:spacing w:after="0"/>
              <w:rPr>
                <w:sz w:val="20"/>
                <w:szCs w:val="20"/>
                <w:color w:val="auto"/>
              </w:rPr>
            </w:pPr>
            <w:r>
              <w:rPr>
                <w:rFonts w:ascii="Arial" w:cs="Arial" w:eastAsia="Arial" w:hAnsi="Arial"/>
                <w:sz w:val="15"/>
                <w:szCs w:val="15"/>
                <w:b w:val="1"/>
                <w:bCs w:val="1"/>
                <w:color w:val="auto"/>
                <w:w w:val="83"/>
              </w:rPr>
              <w:t>Proposed</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83"/>
              </w:rPr>
              <w:t>Proposed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63"/>
              <w:spacing w:after="0" w:line="162" w:lineRule="exact"/>
              <w:rPr>
                <w:sz w:val="20"/>
                <w:szCs w:val="20"/>
                <w:color w:val="auto"/>
              </w:rPr>
            </w:pPr>
            <w:r>
              <w:rPr>
                <w:rFonts w:ascii="Arial" w:cs="Arial" w:eastAsia="Arial" w:hAnsi="Arial"/>
                <w:sz w:val="15"/>
                <w:szCs w:val="15"/>
                <w:b w:val="1"/>
                <w:bCs w:val="1"/>
                <w:color w:val="auto"/>
                <w:w w:val="94"/>
              </w:rPr>
              <w:t>maximum</w:t>
            </w:r>
          </w:p>
        </w:tc>
        <w:tc>
          <w:tcPr>
            <w:tcW w:w="13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maximum</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80" w:type="dxa"/>
            <w:vAlign w:val="bottom"/>
          </w:tcPr>
          <w:p>
            <w:pPr>
              <w:jc w:val="center"/>
              <w:ind w:left="741"/>
              <w:spacing w:after="0" w:line="162" w:lineRule="exact"/>
              <w:rPr>
                <w:sz w:val="20"/>
                <w:szCs w:val="20"/>
                <w:color w:val="auto"/>
              </w:rPr>
            </w:pPr>
            <w:r>
              <w:rPr>
                <w:rFonts w:ascii="Arial" w:cs="Arial" w:eastAsia="Arial" w:hAnsi="Arial"/>
                <w:sz w:val="15"/>
                <w:szCs w:val="15"/>
                <w:b w:val="1"/>
                <w:bCs w:val="1"/>
                <w:color w:val="auto"/>
                <w:w w:val="90"/>
              </w:rPr>
              <w:t>Amount to be</w:t>
            </w:r>
          </w:p>
        </w:tc>
        <w:tc>
          <w:tcPr>
            <w:tcW w:w="240" w:type="dxa"/>
            <w:vAlign w:val="bottom"/>
          </w:tcPr>
          <w:p>
            <w:pPr>
              <w:spacing w:after="0"/>
              <w:rPr>
                <w:sz w:val="14"/>
                <w:szCs w:val="14"/>
                <w:color w:val="auto"/>
              </w:rPr>
            </w:pPr>
          </w:p>
        </w:tc>
        <w:tc>
          <w:tcPr>
            <w:tcW w:w="1140" w:type="dxa"/>
            <w:vAlign w:val="bottom"/>
          </w:tcPr>
          <w:p>
            <w:pPr>
              <w:jc w:val="center"/>
              <w:ind w:right="163"/>
              <w:spacing w:after="0" w:line="162" w:lineRule="exact"/>
              <w:rPr>
                <w:sz w:val="20"/>
                <w:szCs w:val="20"/>
                <w:color w:val="auto"/>
              </w:rPr>
            </w:pPr>
            <w:r>
              <w:rPr>
                <w:rFonts w:ascii="Arial" w:cs="Arial" w:eastAsia="Arial" w:hAnsi="Arial"/>
                <w:sz w:val="15"/>
                <w:szCs w:val="15"/>
                <w:b w:val="1"/>
                <w:bCs w:val="1"/>
                <w:color w:val="auto"/>
                <w:w w:val="89"/>
              </w:rPr>
              <w:t>offering price</w:t>
            </w:r>
          </w:p>
        </w:tc>
        <w:tc>
          <w:tcPr>
            <w:tcW w:w="1380" w:type="dxa"/>
            <w:vAlign w:val="bottom"/>
          </w:tcPr>
          <w:p>
            <w:pPr>
              <w:ind w:left="120"/>
              <w:spacing w:after="0" w:line="162" w:lineRule="exact"/>
              <w:rPr>
                <w:sz w:val="20"/>
                <w:szCs w:val="20"/>
                <w:color w:val="auto"/>
              </w:rPr>
            </w:pPr>
            <w:r>
              <w:rPr>
                <w:rFonts w:ascii="Arial" w:cs="Arial" w:eastAsia="Arial" w:hAnsi="Arial"/>
                <w:sz w:val="15"/>
                <w:szCs w:val="15"/>
                <w:b w:val="1"/>
                <w:bCs w:val="1"/>
                <w:color w:val="auto"/>
                <w:w w:val="94"/>
              </w:rPr>
              <w:t>aggregate offering</w:t>
            </w:r>
          </w:p>
        </w:tc>
        <w:tc>
          <w:tcPr>
            <w:tcW w:w="260" w:type="dxa"/>
            <w:vAlign w:val="bottom"/>
          </w:tcPr>
          <w:p>
            <w:pPr>
              <w:spacing w:after="0"/>
              <w:rPr>
                <w:sz w:val="14"/>
                <w:szCs w:val="14"/>
                <w:color w:val="auto"/>
              </w:rPr>
            </w:pPr>
          </w:p>
        </w:tc>
        <w:tc>
          <w:tcPr>
            <w:tcW w:w="1080" w:type="dxa"/>
            <w:vAlign w:val="bottom"/>
          </w:tcPr>
          <w:p>
            <w:pPr>
              <w:jc w:val="center"/>
              <w:ind w:right="199"/>
              <w:spacing w:after="0" w:line="162" w:lineRule="exact"/>
              <w:rPr>
                <w:sz w:val="20"/>
                <w:szCs w:val="20"/>
                <w:color w:val="auto"/>
              </w:rPr>
            </w:pPr>
            <w:r>
              <w:rPr>
                <w:rFonts w:ascii="Arial" w:cs="Arial" w:eastAsia="Arial" w:hAnsi="Arial"/>
                <w:sz w:val="15"/>
                <w:szCs w:val="15"/>
                <w:b w:val="1"/>
                <w:bCs w:val="1"/>
                <w:color w:val="auto"/>
                <w:w w:val="90"/>
              </w:rPr>
              <w:t>Amount of</w:t>
            </w:r>
          </w:p>
        </w:tc>
      </w:tr>
      <w:tr>
        <w:trPr>
          <w:trHeight w:val="182"/>
        </w:trPr>
        <w:tc>
          <w:tcPr>
            <w:tcW w:w="20" w:type="dxa"/>
            <w:vAlign w:val="bottom"/>
          </w:tcPr>
          <w:p>
            <w:pPr>
              <w:spacing w:after="0"/>
              <w:rPr>
                <w:sz w:val="15"/>
                <w:szCs w:val="15"/>
                <w:color w:val="auto"/>
              </w:rPr>
            </w:pPr>
          </w:p>
        </w:tc>
        <w:tc>
          <w:tcPr>
            <w:tcW w:w="5120" w:type="dxa"/>
            <w:vAlign w:val="bottom"/>
            <w:tcBorders>
              <w:bottom w:val="single" w:sz="8" w:color="auto"/>
            </w:tcBorders>
          </w:tcPr>
          <w:p>
            <w:pPr>
              <w:ind w:left="1880"/>
              <w:spacing w:after="0"/>
              <w:rPr>
                <w:sz w:val="20"/>
                <w:szCs w:val="20"/>
                <w:color w:val="auto"/>
              </w:rPr>
            </w:pPr>
            <w:r>
              <w:rPr>
                <w:rFonts w:ascii="Arial" w:cs="Arial" w:eastAsia="Arial" w:hAnsi="Arial"/>
                <w:sz w:val="15"/>
                <w:szCs w:val="15"/>
                <w:b w:val="1"/>
                <w:bCs w:val="1"/>
                <w:color w:val="auto"/>
              </w:rPr>
              <w:t>Title of Securities to be Registered</w:t>
            </w:r>
          </w:p>
        </w:tc>
        <w:tc>
          <w:tcPr>
            <w:tcW w:w="2180" w:type="dxa"/>
            <w:vAlign w:val="bottom"/>
            <w:tcBorders>
              <w:bottom w:val="single" w:sz="8" w:color="auto"/>
            </w:tcBorders>
          </w:tcPr>
          <w:p>
            <w:pPr>
              <w:jc w:val="center"/>
              <w:ind w:left="741"/>
              <w:spacing w:after="0"/>
              <w:rPr>
                <w:sz w:val="20"/>
                <w:szCs w:val="20"/>
                <w:color w:val="auto"/>
              </w:rPr>
            </w:pPr>
            <w:r>
              <w:rPr>
                <w:rFonts w:ascii="Arial" w:cs="Arial" w:eastAsia="Arial" w:hAnsi="Arial"/>
                <w:sz w:val="15"/>
                <w:szCs w:val="15"/>
                <w:b w:val="1"/>
                <w:bCs w:val="1"/>
                <w:color w:val="auto"/>
                <w:w w:val="87"/>
              </w:rPr>
              <w:t>registered(1)</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w w:val="90"/>
              </w:rPr>
              <w:t>per share(2)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price(2)</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registration fee</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$0.0001 par value per share</w:t>
            </w:r>
          </w:p>
        </w:tc>
        <w:tc>
          <w:tcPr>
            <w:tcW w:w="21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640,149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16.82</w:t>
            </w:r>
          </w:p>
        </w:tc>
        <w:tc>
          <w:tcPr>
            <w:tcW w:w="138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w w:val="95"/>
              </w:rPr>
              <w:t>$10,769,706.74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1,305.29</w:t>
            </w:r>
          </w:p>
        </w:tc>
      </w:tr>
    </w:tbl>
    <w:p>
      <w:pPr>
        <w:jc w:val="both"/>
        <w:ind w:left="340" w:hanging="332"/>
        <w:spacing w:after="0" w:line="280"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additional shares available for issuance under the registrant’s 2016 Omnibus Incentive Plan as the result of an annual increase effective as of January 1, 2019. 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p>
      <w:pPr>
        <w:spacing w:after="0" w:line="2" w:lineRule="exact"/>
        <w:rPr>
          <w:rFonts w:ascii="Arial" w:cs="Arial" w:eastAsia="Arial" w:hAnsi="Arial"/>
          <w:sz w:val="16"/>
          <w:szCs w:val="16"/>
          <w:color w:val="auto"/>
        </w:rPr>
      </w:pPr>
    </w:p>
    <w:p>
      <w:pPr>
        <w:ind w:left="340" w:right="20" w:hanging="332"/>
        <w:spacing w:after="0" w:line="32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(h) under the Securities Act of 1933 and based upon the average of the high and low prices of the registrant’s Class A common stock as reported on The NASDAQ Global Market on July 17, 2019.</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STATEMENT OF INCORPORATION BY REFERENCE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jc w:val="center"/>
              <w:ind w:right="1392"/>
              <w:spacing w:after="0"/>
              <w:rPr>
                <w:sz w:val="20"/>
                <w:szCs w:val="20"/>
                <w:color w:val="auto"/>
              </w:rPr>
            </w:pPr>
            <w:r>
              <w:rPr>
                <w:rFonts w:ascii="Arial" w:cs="Arial" w:eastAsia="Arial" w:hAnsi="Arial"/>
                <w:sz w:val="18"/>
                <w:szCs w:val="18"/>
                <w:b w:val="1"/>
                <w:bCs w:val="1"/>
                <w:color w:val="auto"/>
                <w:w w:val="99"/>
              </w:rPr>
              <w:t>PART II</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jc w:val="center"/>
              <w:ind w:right="1412"/>
              <w:spacing w:after="0"/>
              <w:rPr>
                <w:sz w:val="20"/>
                <w:szCs w:val="20"/>
                <w:color w:val="auto"/>
              </w:rPr>
            </w:pPr>
            <w:r>
              <w:rPr>
                <w:rFonts w:ascii="Arial" w:cs="Arial" w:eastAsia="Arial" w:hAnsi="Arial"/>
                <w:sz w:val="18"/>
                <w:szCs w:val="18"/>
                <w:b w:val="1"/>
                <w:bCs w:val="1"/>
                <w:color w:val="auto"/>
                <w:w w:val="99"/>
              </w:rPr>
              <w:t>INFORMATION REQUIRED IN THE REGISTRATION STATEMENT</w:t>
            </w:r>
          </w:p>
        </w:tc>
        <w:tc>
          <w:tcPr>
            <w:tcW w:w="0" w:type="dxa"/>
            <w:vAlign w:val="bottom"/>
          </w:tcPr>
          <w:p>
            <w:pPr>
              <w:spacing w:after="0"/>
              <w:rPr>
                <w:sz w:val="1"/>
                <w:szCs w:val="1"/>
                <w:color w:val="auto"/>
              </w:rPr>
            </w:pPr>
          </w:p>
        </w:tc>
      </w:tr>
      <w:tr>
        <w:trPr>
          <w:trHeight w:val="365"/>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w w:val="99"/>
              </w:rPr>
              <w:t>Item 8. Exhibits.</w:t>
            </w: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Exhibit Number</w:t>
            </w:r>
          </w:p>
        </w:tc>
        <w:tc>
          <w:tcPr>
            <w:tcW w:w="120" w:type="dxa"/>
            <w:vAlign w:val="bottom"/>
          </w:tcPr>
          <w:p>
            <w:pPr>
              <w:spacing w:after="0"/>
              <w:rPr>
                <w:sz w:val="24"/>
                <w:szCs w:val="24"/>
                <w:color w:val="auto"/>
              </w:rPr>
            </w:pPr>
          </w:p>
        </w:tc>
        <w:tc>
          <w:tcPr>
            <w:tcW w:w="9920" w:type="dxa"/>
            <w:vAlign w:val="bottom"/>
            <w:tcBorders>
              <w:bottom w:val="single" w:sz="8" w:color="auto"/>
            </w:tcBorders>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r:id="rId1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Restated Certificate of Incorporation of ACM Research,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r:id="rId1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02</w:t>
              </w:r>
            </w:hyperlink>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Restated Bylaws of ACM Research, Inc.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79"/>
              </w:rPr>
              <w:t>5.</w:t>
            </w:r>
            <w:r>
              <w:rPr>
                <w:rFonts w:ascii="Arial" w:cs="Arial" w:eastAsia="Arial" w:hAnsi="Arial"/>
                <w:sz w:val="18"/>
                <w:szCs w:val="18"/>
                <w:u w:val="single" w:color="auto"/>
                <w:color w:val="0000EE"/>
                <w:w w:val="79"/>
              </w:rPr>
              <w:t>01</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Opinion of K&amp;L Gates LLP</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01</w:t>
            </w:r>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Consent of BDO China Shu Lun Pan Certified Public Accountants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02</w:t>
            </w:r>
          </w:p>
        </w:tc>
        <w:tc>
          <w:tcPr>
            <w:tcW w:w="9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Consent of K&amp;L Gates LLP (included in Exhibit 5.01)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gridSpan w:val="2"/>
          </w:tcPr>
          <w:p>
            <w:pPr>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01</w:t>
              </w:r>
            </w:hyperlink>
          </w:p>
        </w:tc>
        <w:tc>
          <w:tcPr>
            <w:tcW w:w="9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8">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01</w:t>
              </w:r>
            </w:hyperlink>
          </w:p>
        </w:tc>
        <w:tc>
          <w:tcPr>
            <w:tcW w:w="9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ACM Research, Inc. 2016 Omnibus Incentive Plan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July 12, 2019.</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ACM RESEARCH, INC.</w:t>
      </w:r>
    </w:p>
    <w:p>
      <w:pPr>
        <w:spacing w:after="0" w:line="218"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7"/>
          <w:szCs w:val="17"/>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15875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David H. Wang, Lisa Feng and Mark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on behalf of the registrant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p>
        </w:tc>
        <w:tc>
          <w:tcPr>
            <w:tcW w:w="6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w:t>
            </w:r>
          </w:p>
        </w:tc>
      </w:tr>
      <w:tr>
        <w:trPr>
          <w:trHeight w:val="28"/>
        </w:trPr>
        <w:tc>
          <w:tcPr>
            <w:tcW w:w="20" w:type="dxa"/>
            <w:vAlign w:val="bottom"/>
            <w:shd w:val="clear" w:color="auto" w:fill="000000"/>
          </w:tcPr>
          <w:p>
            <w:pPr>
              <w:spacing w:after="0"/>
              <w:rPr>
                <w:sz w:val="2"/>
                <w:szCs w:val="2"/>
                <w:color w:val="auto"/>
              </w:rPr>
            </w:pPr>
          </w:p>
        </w:tc>
        <w:tc>
          <w:tcPr>
            <w:tcW w:w="2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43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H. Wang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President</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July 12, 2019</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David H. Wang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and Chair of the Board</w:t>
            </w:r>
            <w:r>
              <w:rPr>
                <w:rFonts w:ascii="Arial" w:cs="Arial" w:eastAsia="Arial" w:hAnsi="Arial"/>
                <w:sz w:val="18"/>
                <w:szCs w:val="18"/>
                <w:i w:val="1"/>
                <w:iCs w:val="1"/>
                <w:color w:val="auto"/>
              </w:rPr>
              <w:t>(Principal Executive Officer)</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Lisa Feng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Interim Chief Financial Officer,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July 23, 2019</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Lisa Feng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Chief Accounting Officer and Treasurer</w:t>
            </w:r>
            <w:r>
              <w:rPr>
                <w:rFonts w:ascii="Arial" w:cs="Arial" w:eastAsia="Arial" w:hAnsi="Arial"/>
                <w:sz w:val="18"/>
                <w:szCs w:val="18"/>
                <w:i w:val="1"/>
                <w:iCs w:val="1"/>
                <w:color w:val="auto"/>
              </w:rPr>
              <w:t>(Principal Financial and Accounting Officer)</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Haiping Dun</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July 10, 2019</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Haiping Dun</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Chenming Hu</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Tracy Liu</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July 13, 2019</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Tracy Liu</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Yinan Xiang</w:t>
            </w: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July 18, 2019</w:t>
            </w: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Yinan Xiang</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7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Zhengfan Yang</w:t>
            </w:r>
          </w:p>
        </w:tc>
        <w:tc>
          <w:tcPr>
            <w:tcW w:w="1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66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280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1"/>
          <w:szCs w:val="11"/>
          <w:b w:val="1"/>
          <w:bCs w:val="1"/>
          <w:color w:val="auto"/>
        </w:rPr>
        <w:t>XHIBIT</w:t>
      </w:r>
      <w:r>
        <w:rPr>
          <w:rFonts w:ascii="Arial" w:cs="Arial" w:eastAsia="Arial" w:hAnsi="Arial"/>
          <w:sz w:val="16"/>
          <w:szCs w:val="16"/>
          <w:b w:val="1"/>
          <w:bCs w:val="1"/>
          <w:color w:val="auto"/>
        </w:rPr>
        <w:t xml:space="preserve"> 5.01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22,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We are counsel to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we have acted as counsel to the Company in connection with the preparation of the Registration Statement on Form S-8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to be filed by the Company with the Securities and Exchange Commission for the registration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of 640,149 shares (the “</w:t>
      </w:r>
      <w:r>
        <w:rPr>
          <w:rFonts w:ascii="Arial" w:cs="Arial" w:eastAsia="Arial" w:hAnsi="Arial"/>
          <w:sz w:val="16"/>
          <w:szCs w:val="16"/>
          <w:i w:val="1"/>
          <w:iCs w:val="1"/>
          <w:color w:val="auto"/>
        </w:rPr>
        <w:t>Shares</w:t>
      </w:r>
      <w:r>
        <w:rPr>
          <w:rFonts w:ascii="Arial" w:cs="Arial" w:eastAsia="Arial" w:hAnsi="Arial"/>
          <w:sz w:val="16"/>
          <w:szCs w:val="16"/>
          <w:color w:val="auto"/>
        </w:rPr>
        <w:t>”) of the Company’s Class A common stock, $0.0001 par value per share, which are to be issued from time to time in connection with the Company’s the 2016 Omnibus Incentive Plan (the “</w:t>
      </w:r>
      <w:r>
        <w:rPr>
          <w:rFonts w:ascii="Arial" w:cs="Arial" w:eastAsia="Arial" w:hAnsi="Arial"/>
          <w:sz w:val="16"/>
          <w:szCs w:val="16"/>
          <w:i w:val="1"/>
          <w:iCs w:val="1"/>
          <w:color w:val="auto"/>
        </w:rPr>
        <w:t>Plan</w:t>
      </w:r>
      <w:r>
        <w:rPr>
          <w:rFonts w:ascii="Arial" w:cs="Arial" w:eastAsia="Arial" w:hAnsi="Arial"/>
          <w:sz w:val="16"/>
          <w:szCs w:val="16"/>
          <w:color w:val="auto"/>
        </w:rPr>
        <w: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opinion is being delivered in accordance with the requirements of Item 601(b)(5) of Regulation S-K under the Securities Act.</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have requested our opinion as to the matters set forth below in connection with the Registration Statement. For purposes of rendering that opinion, we have examined copies of the Plan, the Registration Statement, the Company’s Restated Certificate of Incorporation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spacing w:after="0" w:line="11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5.01 to the Registration Statement. In giving our consent we do not thereby admit that we are in the category of persons whose consent is required under Section 7 of the Securities Act or the rules and regulations thereunder.</w:t>
      </w:r>
    </w:p>
    <w:p>
      <w:pPr>
        <w:spacing w:after="0" w:line="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K&amp;L Gates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23.01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of ACM Research, Inc. (the “Company”) of our report dated March 14, 2019, relating to the consolidated financial statements of the Company appearing in the Company’s Annual Report on Form 10-K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BDO China Shu Lun Pan Certified Public Accountants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BDO China Shu Lun Pan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Shenzhen, The People’s Republic of China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6" Type="http://schemas.openxmlformats.org/officeDocument/2006/relationships/hyperlink" Target="http://www.sec.gov/Archives/edgar/data/1680062/000119312517342650/d407541dex301.htm" TargetMode="External"/><Relationship Id="rId17" Type="http://schemas.openxmlformats.org/officeDocument/2006/relationships/hyperlink" Target="http://www.sec.gov/Archives/edgar/data/1680062/000119312517342650/d407541dex302.htm" TargetMode="External"/><Relationship Id="rId18" Type="http://schemas.openxmlformats.org/officeDocument/2006/relationships/hyperlink" Target="http://www.sec.gov/Archives/edgar/data/1680062/000119312517364926/d48102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2019-11-30T21:22:48Z</dcterms:created>
  <dcterms:modified xsi:type="dcterms:W3CDTF">2019-11-30T21:22:48Z</dcterms:modified>
</cp:coreProperties>
</file>