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5, 2025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55" w:lineRule="exact"/>
        <w:rPr>
          <w:sz w:val="24"/>
          <w:szCs w:val="24"/>
          <w:color w:val="auto"/>
        </w:rPr>
      </w:pPr>
    </w:p>
    <w:tbl>
      <w:tblPr>
        <w:tblLayout w:type="fixed"/>
        <w:tblInd w:w="220" w:type="dxa"/>
        <w:tblCellMar>
          <w:top w:w="0" w:type="dxa"/>
          <w:left w:w="0" w:type="dxa"/>
          <w:bottom w:w="0" w:type="dxa"/>
          <w:right w:w="0" w:type="dxa"/>
        </w:tblCellMar>
      </w:tblPr>
      <w:tr>
        <w:trPr>
          <w:trHeight w:val="238"/>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80" w:type="dxa"/>
            <w:vAlign w:val="bottom"/>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2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94-3290283</w:t>
            </w:r>
          </w:p>
        </w:tc>
      </w:tr>
      <w:tr>
        <w:trPr>
          <w:trHeight w:val="257"/>
        </w:trPr>
        <w:tc>
          <w:tcPr>
            <w:tcW w:w="422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tc>
        <w:tc>
          <w:tcPr>
            <w:tcW w:w="288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3260" w:type="dxa"/>
            <w:vAlign w:val="bottom"/>
          </w:tcPr>
          <w:p>
            <w:pPr>
              <w:jc w:val="center"/>
              <w:ind w:left="73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572"/>
        </w:trPr>
        <w:tc>
          <w:tcPr>
            <w:tcW w:w="42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42307 Osgood Road, Suite I</w:t>
            </w:r>
          </w:p>
        </w:tc>
        <w:tc>
          <w:tcPr>
            <w:tcW w:w="288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52"/>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Fremont, California</w:t>
            </w:r>
          </w:p>
        </w:tc>
        <w:tc>
          <w:tcPr>
            <w:tcW w:w="2880" w:type="dxa"/>
            <w:vAlign w:val="bottom"/>
          </w:tcPr>
          <w:p>
            <w:pPr>
              <w:spacing w:after="0"/>
              <w:rPr>
                <w:sz w:val="21"/>
                <w:szCs w:val="21"/>
                <w:color w:val="auto"/>
              </w:rPr>
            </w:pPr>
          </w:p>
        </w:tc>
        <w:tc>
          <w:tcPr>
            <w:tcW w:w="326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94539</w:t>
            </w:r>
          </w:p>
        </w:tc>
      </w:tr>
      <w:tr>
        <w:trPr>
          <w:trHeight w:val="257"/>
        </w:trPr>
        <w:tc>
          <w:tcPr>
            <w:tcW w:w="42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2880" w:type="dxa"/>
            <w:vAlign w:val="bottom"/>
          </w:tcPr>
          <w:p>
            <w:pPr>
              <w:spacing w:after="0"/>
              <w:rPr>
                <w:sz w:val="22"/>
                <w:szCs w:val="22"/>
                <w:color w:val="auto"/>
              </w:rPr>
            </w:pPr>
          </w:p>
        </w:tc>
        <w:tc>
          <w:tcPr>
            <w:tcW w:w="3260" w:type="dxa"/>
            <w:vAlign w:val="bottom"/>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506"/>
        </w:trPr>
        <w:tc>
          <w:tcPr>
            <w:tcW w:w="36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1"/>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w:t>
            </w:r>
          </w:p>
        </w:tc>
        <w:tc>
          <w:tcPr>
            <w:tcW w:w="294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8"/>
              </w:rPr>
              <w:t>ACMR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5, 2025, we issued a press release announcing financial results for the third quarter of 2025. The full text of the press release is furnished as Exhibit 99.1 hereto and is incorporated herein by reference</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tab/>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40" w:type="dxa"/>
            <w:vAlign w:val="bottom"/>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304"/>
        </w:trPr>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of ACM Research, Inc. dated November 5, 2025</w:t>
            </w:r>
          </w:p>
        </w:tc>
      </w:tr>
      <w:tr>
        <w:trPr>
          <w:trHeight w:val="20"/>
        </w:trPr>
        <w:tc>
          <w:tcPr>
            <w:tcW w:w="2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r>
    </w:tbl>
    <w:p>
      <w:pPr>
        <w:spacing w:after="0" w:line="103" w:lineRule="exact"/>
        <w:rPr>
          <w:sz w:val="20"/>
          <w:szCs w:val="20"/>
          <w:color w:val="auto"/>
        </w:rPr>
      </w:pPr>
    </w:p>
    <w:p>
      <w:pPr>
        <w:ind w:left="1220" w:hanging="922"/>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389" w:lineRule="exact"/>
        <w:rPr>
          <w:sz w:val="20"/>
          <w:szCs w:val="20"/>
          <w:color w:val="auto"/>
        </w:rPr>
      </w:pPr>
    </w:p>
    <w:p>
      <w:pPr>
        <w:ind w:left="4220"/>
        <w:spacing w:after="0"/>
        <w:tabs>
          <w:tab w:leader="none" w:pos="4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Mark McKechnie</w:t>
      </w:r>
      <w:r>
        <w:rPr>
          <w:rFonts w:ascii="Times New Roman" w:cs="Times New Roman" w:eastAsia="Times New Roman" w:hAnsi="Times New Roman"/>
          <w:sz w:val="17"/>
          <w:szCs w:val="17"/>
          <w:color w:val="auto"/>
        </w:rPr>
        <w:t>________________________</w:t>
      </w:r>
    </w:p>
    <w:p>
      <w:pPr>
        <w:ind w:left="4400"/>
        <w:spacing w:after="0" w:line="219" w:lineRule="auto"/>
        <w:rPr>
          <w:sz w:val="20"/>
          <w:szCs w:val="20"/>
          <w:color w:val="auto"/>
        </w:rPr>
      </w:pPr>
      <w:r>
        <w:rPr>
          <w:rFonts w:ascii="Times New Roman" w:cs="Times New Roman" w:eastAsia="Times New Roman" w:hAnsi="Times New Roman"/>
          <w:sz w:val="18"/>
          <w:szCs w:val="18"/>
          <w:color w:val="auto"/>
        </w:rPr>
        <w:t>Mark McKechnie</w:t>
      </w:r>
    </w:p>
    <w:p>
      <w:pPr>
        <w:ind w:left="42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388620</wp:posOffset>
            </wp:positionV>
            <wp:extent cx="72009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Third Quarter 2025 Results</w:t>
      </w:r>
    </w:p>
    <w:p>
      <w:pPr>
        <w:spacing w:after="0" w:line="2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FREMONT, Calif., November 05, 2025 (Globe Newswire) – ACM Research, Inc. (“ACM”) (NASDAQ: ACMR), a leading supplier of wafer processing solutions for semiconductor and advanced wafer-level packaging applications, today reported financial results for its third quarter ended September 30, 2025.</w:t>
      </w:r>
    </w:p>
    <w:p>
      <w:pPr>
        <w:spacing w:after="0" w:line="1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 am pleased to report another strong quarter for ACM. We grew revenue by 32%, and continue to innovate with world-class tools across multiple product lines. We believe the market is moving toward ACM as AI and global datacenter investments are demanding new innovative technology requirements for next generation semiconductor equipment,” said Dr. David Wang, President and Chief Executive Officer of ACM. “We are seeing broad interest in our proprietary horizontal plating technology for panel-level packaging, with plans to deliver our first system in the fourth quarter. Our high-temperature SPM platform is setting new benchmarks as our proprietary nozzle design achieves industry-best performance at 19nm particle size and below, with significantly lower maintenance and no need to clean the outer chamber. The first shipment of our KrF Track platform in the third quarter further expands our SAM into critical lithography-adjacent applications.”</w:t>
      </w:r>
    </w:p>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Dr. Wang continued, “In September, our principal operating subsidiary, ACM Shanghai, raised approximately $623 million in net proceeds from its second capital raise on the STAR Market. We plan to deploy this capital to further accelerate development of next-generation tools, complete the Lingang mini-line, and expand production capacity to support future global demand. We have narrowed the range of our guidance for 2025 revenue, and we remain committed to achieve our $4 billion long-term revenue target.”</w:t>
      </w:r>
    </w:p>
    <w:p>
      <w:pPr>
        <w:sectPr>
          <w:pgSz w:w="11900" w:h="16838" w:orient="portrait"/>
          <w:cols w:equalWidth="0" w:num="1">
            <w:col w:w="11240"/>
          </w:cols>
          <w:pgMar w:left="3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attributable to ACM Research, Inc.</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EPS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attributable to ACM Research, Inc.</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EPS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EPS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6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3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r>
      <w:tr>
        <w:trPr>
          <w:trHeight w:val="223"/>
        </w:trPr>
        <w:tc>
          <w:tcPr>
            <w:tcW w:w="1820" w:type="dxa"/>
            <w:vAlign w:val="bottom"/>
            <w:tcBorders>
              <w:bottom w:val="single" w:sz="8" w:color="auto"/>
            </w:tcBorders>
            <w:gridSpan w:val="2"/>
          </w:tcPr>
          <w:p>
            <w:pPr>
              <w:jc w:val="right"/>
              <w:ind w:right="81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1098"/>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40" w:type="dxa"/>
            <w:vAlign w:val="bottom"/>
            <w:gridSpan w:val="5"/>
          </w:tcPr>
          <w:p>
            <w:pPr>
              <w:jc w:val="right"/>
              <w:ind w:right="818"/>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1"/>
        </w:trPr>
        <w:tc>
          <w:tcPr>
            <w:tcW w:w="1820" w:type="dxa"/>
            <w:vAlign w:val="bottom"/>
            <w:gridSpan w:val="2"/>
          </w:tcPr>
          <w:p>
            <w:pPr>
              <w:jc w:val="right"/>
              <w:ind w:right="438"/>
              <w:spacing w:after="0"/>
              <w:rPr>
                <w:sz w:val="20"/>
                <w:szCs w:val="20"/>
                <w:color w:val="auto"/>
              </w:rPr>
            </w:pPr>
            <w:r>
              <w:rPr>
                <w:rFonts w:ascii="Times New Roman" w:cs="Times New Roman" w:eastAsia="Times New Roman" w:hAnsi="Times New Roman"/>
                <w:sz w:val="16"/>
                <w:szCs w:val="16"/>
                <w:color w:val="auto"/>
              </w:rPr>
              <w:t>$  269,160</w:t>
            </w:r>
          </w:p>
        </w:tc>
        <w:tc>
          <w:tcPr>
            <w:tcW w:w="12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  203,976</w:t>
            </w:r>
          </w:p>
        </w:tc>
        <w:tc>
          <w:tcPr>
            <w:tcW w:w="100" w:type="dxa"/>
            <w:vAlign w:val="bottom"/>
          </w:tcPr>
          <w:p>
            <w:pPr>
              <w:spacing w:after="0"/>
              <w:rPr>
                <w:sz w:val="23"/>
                <w:szCs w:val="23"/>
                <w:color w:val="auto"/>
              </w:rPr>
            </w:pPr>
          </w:p>
        </w:tc>
        <w:tc>
          <w:tcPr>
            <w:tcW w:w="2100" w:type="dxa"/>
            <w:vAlign w:val="bottom"/>
            <w:gridSpan w:val="2"/>
          </w:tcPr>
          <w:p>
            <w:pPr>
              <w:jc w:val="right"/>
              <w:ind w:right="718"/>
              <w:spacing w:after="0"/>
              <w:rPr>
                <w:sz w:val="20"/>
                <w:szCs w:val="20"/>
                <w:color w:val="auto"/>
              </w:rPr>
            </w:pPr>
            <w:r>
              <w:rPr>
                <w:rFonts w:ascii="Times New Roman" w:cs="Times New Roman" w:eastAsia="Times New Roman" w:hAnsi="Times New Roman"/>
                <w:sz w:val="16"/>
                <w:szCs w:val="16"/>
                <w:color w:val="auto"/>
              </w:rPr>
              <w:t>$  269,160</w:t>
            </w:r>
          </w:p>
        </w:tc>
        <w:tc>
          <w:tcPr>
            <w:tcW w:w="9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  203,976</w:t>
            </w:r>
          </w:p>
        </w:tc>
      </w:tr>
      <w:tr>
        <w:trPr>
          <w:trHeight w:val="324"/>
        </w:trPr>
        <w:tc>
          <w:tcPr>
            <w:tcW w:w="860" w:type="dxa"/>
            <w:vAlign w:val="bottom"/>
          </w:tcPr>
          <w:p>
            <w:pPr>
              <w:spacing w:after="0"/>
              <w:rPr>
                <w:sz w:val="24"/>
                <w:szCs w:val="24"/>
                <w:color w:val="auto"/>
              </w:rPr>
            </w:pPr>
          </w:p>
        </w:tc>
        <w:tc>
          <w:tcPr>
            <w:tcW w:w="9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42.0  %</w:t>
            </w:r>
          </w:p>
        </w:tc>
        <w:tc>
          <w:tcPr>
            <w:tcW w:w="6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51.4  %</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jc w:val="right"/>
              <w:ind w:right="558"/>
              <w:spacing w:after="0"/>
              <w:rPr>
                <w:sz w:val="20"/>
                <w:szCs w:val="20"/>
                <w:color w:val="auto"/>
              </w:rPr>
            </w:pPr>
            <w:r>
              <w:rPr>
                <w:rFonts w:ascii="Times New Roman" w:cs="Times New Roman" w:eastAsia="Times New Roman" w:hAnsi="Times New Roman"/>
                <w:sz w:val="16"/>
                <w:szCs w:val="16"/>
                <w:color w:val="auto"/>
              </w:rPr>
              <w:t>42.1  %</w:t>
            </w:r>
          </w:p>
        </w:tc>
        <w:tc>
          <w:tcPr>
            <w:tcW w:w="3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r>
      <w:tr>
        <w:trPr>
          <w:trHeight w:val="324"/>
        </w:trPr>
        <w:tc>
          <w:tcPr>
            <w:tcW w:w="8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95"/>
              </w:rPr>
              <w:t>28,923</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44,184</w:t>
            </w:r>
          </w:p>
        </w:tc>
        <w:tc>
          <w:tcPr>
            <w:tcW w:w="100" w:type="dxa"/>
            <w:vAlign w:val="bottom"/>
          </w:tcPr>
          <w:p>
            <w:pPr>
              <w:spacing w:after="0"/>
              <w:rPr>
                <w:sz w:val="24"/>
                <w:szCs w:val="24"/>
                <w:color w:val="auto"/>
              </w:rPr>
            </w:pPr>
          </w:p>
        </w:tc>
        <w:tc>
          <w:tcPr>
            <w:tcW w:w="8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95"/>
              </w:rPr>
              <w:t>36,485</w:t>
            </w:r>
          </w:p>
        </w:tc>
        <w:tc>
          <w:tcPr>
            <w:tcW w:w="3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56,065</w:t>
            </w:r>
          </w:p>
        </w:tc>
      </w:tr>
      <w:tr>
        <w:trPr>
          <w:trHeight w:val="324"/>
        </w:trPr>
        <w:tc>
          <w:tcPr>
            <w:tcW w:w="8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95"/>
              </w:rPr>
              <w:t>35,889</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30,904</w:t>
            </w:r>
          </w:p>
        </w:tc>
        <w:tc>
          <w:tcPr>
            <w:tcW w:w="100" w:type="dxa"/>
            <w:vAlign w:val="bottom"/>
          </w:tcPr>
          <w:p>
            <w:pPr>
              <w:spacing w:after="0"/>
              <w:rPr>
                <w:sz w:val="24"/>
                <w:szCs w:val="24"/>
                <w:color w:val="auto"/>
              </w:rPr>
            </w:pPr>
          </w:p>
        </w:tc>
        <w:tc>
          <w:tcPr>
            <w:tcW w:w="8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w w:val="95"/>
              </w:rPr>
              <w:t>24,795</w:t>
            </w:r>
          </w:p>
        </w:tc>
        <w:tc>
          <w:tcPr>
            <w:tcW w:w="3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42,372</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0.56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rPr>
              <w:t>0.39</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0.68</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0.52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18"/>
              <w:spacing w:after="0"/>
              <w:rPr>
                <w:sz w:val="20"/>
                <w:szCs w:val="20"/>
                <w:color w:val="auto"/>
              </w:rPr>
            </w:pPr>
            <w:r>
              <w:rPr>
                <w:rFonts w:ascii="Times New Roman" w:cs="Times New Roman" w:eastAsia="Times New Roman" w:hAnsi="Times New Roman"/>
                <w:sz w:val="16"/>
                <w:szCs w:val="16"/>
                <w:color w:val="auto"/>
              </w:rPr>
              <w:t>0.36</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-1204595</wp:posOffset>
            </wp:positionV>
            <wp:extent cx="712343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-792480</wp:posOffset>
            </wp:positionV>
            <wp:extent cx="712343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-381000</wp:posOffset>
            </wp:positionV>
            <wp:extent cx="7123430"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20574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Non-GAAP(1)</w:t>
            </w: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r>
      <w:tr>
        <w:trPr>
          <w:trHeight w:val="223"/>
        </w:trPr>
        <w:tc>
          <w:tcPr>
            <w:tcW w:w="1820" w:type="dxa"/>
            <w:vAlign w:val="bottom"/>
            <w:tcBorders>
              <w:bottom w:val="single" w:sz="8" w:color="auto"/>
            </w:tcBorders>
            <w:gridSpan w:val="2"/>
          </w:tcPr>
          <w:p>
            <w:pPr>
              <w:jc w:val="right"/>
              <w:ind w:right="81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4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097"/>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40" w:type="dxa"/>
            <w:vAlign w:val="bottom"/>
            <w:gridSpan w:val="7"/>
          </w:tcPr>
          <w:p>
            <w:pPr>
              <w:jc w:val="right"/>
              <w:ind w:right="817"/>
              <w:spacing w:after="0"/>
              <w:rPr>
                <w:sz w:val="20"/>
                <w:szCs w:val="20"/>
                <w:color w:val="auto"/>
              </w:rPr>
            </w:pPr>
            <w:r>
              <w:rPr>
                <w:rFonts w:ascii="Times New Roman" w:cs="Times New Roman" w:eastAsia="Times New Roman" w:hAnsi="Times New Roman"/>
                <w:sz w:val="18"/>
                <w:szCs w:val="18"/>
                <w:i w:val="1"/>
                <w:iCs w:val="1"/>
                <w:color w:val="auto"/>
              </w:rPr>
              <w:t>(dollars in thousands, except EPS)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71"/>
        </w:trPr>
        <w:tc>
          <w:tcPr>
            <w:tcW w:w="1820" w:type="dxa"/>
            <w:vAlign w:val="bottom"/>
            <w:gridSpan w:val="2"/>
          </w:tcPr>
          <w:p>
            <w:pPr>
              <w:jc w:val="right"/>
              <w:ind w:right="438"/>
              <w:spacing w:after="0"/>
              <w:rPr>
                <w:sz w:val="20"/>
                <w:szCs w:val="20"/>
                <w:color w:val="auto"/>
              </w:rPr>
            </w:pPr>
            <w:r>
              <w:rPr>
                <w:rFonts w:ascii="Times New Roman" w:cs="Times New Roman" w:eastAsia="Times New Roman" w:hAnsi="Times New Roman"/>
                <w:sz w:val="16"/>
                <w:szCs w:val="16"/>
                <w:color w:val="auto"/>
              </w:rPr>
              <w:t>$  656,879</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558,647</w:t>
            </w:r>
          </w:p>
        </w:tc>
        <w:tc>
          <w:tcPr>
            <w:tcW w:w="10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717"/>
              <w:spacing w:after="0"/>
              <w:rPr>
                <w:sz w:val="20"/>
                <w:szCs w:val="20"/>
                <w:color w:val="auto"/>
              </w:rPr>
            </w:pPr>
            <w:r>
              <w:rPr>
                <w:rFonts w:ascii="Times New Roman" w:cs="Times New Roman" w:eastAsia="Times New Roman" w:hAnsi="Times New Roman"/>
                <w:sz w:val="16"/>
                <w:szCs w:val="16"/>
                <w:color w:val="auto"/>
              </w:rPr>
              <w:t>656,879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558,647</w:t>
            </w:r>
          </w:p>
        </w:tc>
      </w:tr>
      <w:tr>
        <w:trPr>
          <w:trHeight w:val="324"/>
        </w:trPr>
        <w:tc>
          <w:tcPr>
            <w:tcW w:w="860" w:type="dxa"/>
            <w:vAlign w:val="bottom"/>
          </w:tcPr>
          <w:p>
            <w:pPr>
              <w:spacing w:after="0"/>
              <w:rPr>
                <w:sz w:val="24"/>
                <w:szCs w:val="24"/>
                <w:color w:val="auto"/>
              </w:rPr>
            </w:pPr>
          </w:p>
        </w:tc>
        <w:tc>
          <w:tcPr>
            <w:tcW w:w="96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45.7  %</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50.3  %</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557"/>
              <w:spacing w:after="0"/>
              <w:rPr>
                <w:sz w:val="20"/>
                <w:szCs w:val="20"/>
                <w:color w:val="auto"/>
              </w:rPr>
            </w:pPr>
            <w:r>
              <w:rPr>
                <w:rFonts w:ascii="Times New Roman" w:cs="Times New Roman" w:eastAsia="Times New Roman" w:hAnsi="Times New Roman"/>
                <w:sz w:val="16"/>
                <w:szCs w:val="16"/>
                <w:color w:val="auto"/>
              </w:rPr>
              <w:t>45.9  %</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50.6  %</w:t>
            </w:r>
          </w:p>
        </w:tc>
      </w:tr>
      <w:tr>
        <w:trPr>
          <w:trHeight w:val="324"/>
        </w:trPr>
        <w:tc>
          <w:tcPr>
            <w:tcW w:w="8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95"/>
              </w:rPr>
              <w:t>86,394</w:t>
            </w:r>
          </w:p>
        </w:tc>
        <w:tc>
          <w:tcPr>
            <w:tcW w:w="500" w:type="dxa"/>
            <w:vAlign w:val="bottom"/>
          </w:tcPr>
          <w:p>
            <w:pPr>
              <w:jc w:val="right"/>
              <w:ind w:right="35"/>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107,009</w:t>
            </w:r>
          </w:p>
        </w:tc>
        <w:tc>
          <w:tcPr>
            <w:tcW w:w="10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717"/>
              <w:spacing w:after="0"/>
              <w:rPr>
                <w:sz w:val="20"/>
                <w:szCs w:val="20"/>
                <w:color w:val="auto"/>
              </w:rPr>
            </w:pPr>
            <w:r>
              <w:rPr>
                <w:rFonts w:ascii="Times New Roman" w:cs="Times New Roman" w:eastAsia="Times New Roman" w:hAnsi="Times New Roman"/>
                <w:sz w:val="16"/>
                <w:szCs w:val="16"/>
                <w:color w:val="auto"/>
              </w:rPr>
              <w:t>113,543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147,801</w:t>
            </w:r>
          </w:p>
        </w:tc>
      </w:tr>
      <w:tr>
        <w:trPr>
          <w:trHeight w:val="324"/>
        </w:trPr>
        <w:tc>
          <w:tcPr>
            <w:tcW w:w="86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w w:val="95"/>
              </w:rPr>
              <w:t>86,029</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5"/>
              </w:rPr>
              <w:t>72,547</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240" w:type="dxa"/>
            <w:vAlign w:val="bottom"/>
          </w:tcPr>
          <w:p>
            <w:pPr>
              <w:jc w:val="right"/>
              <w:ind w:right="717"/>
              <w:spacing w:after="0"/>
              <w:rPr>
                <w:sz w:val="20"/>
                <w:szCs w:val="20"/>
                <w:color w:val="auto"/>
              </w:rPr>
            </w:pPr>
            <w:r>
              <w:rPr>
                <w:rFonts w:ascii="Times New Roman" w:cs="Times New Roman" w:eastAsia="Times New Roman" w:hAnsi="Times New Roman"/>
                <w:sz w:val="16"/>
                <w:szCs w:val="16"/>
                <w:color w:val="auto"/>
                <w:w w:val="95"/>
              </w:rPr>
              <w:t>92,874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114,490</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1.35</w:t>
            </w:r>
          </w:p>
        </w:tc>
        <w:tc>
          <w:tcPr>
            <w:tcW w:w="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17"/>
              <w:spacing w:after="0"/>
              <w:rPr>
                <w:sz w:val="20"/>
                <w:szCs w:val="20"/>
                <w:color w:val="auto"/>
              </w:rPr>
            </w:pPr>
            <w:r>
              <w:rPr>
                <w:rFonts w:ascii="Times New Roman" w:cs="Times New Roman" w:eastAsia="Times New Roman" w:hAnsi="Times New Roman"/>
                <w:sz w:val="16"/>
                <w:szCs w:val="16"/>
                <w:color w:val="auto"/>
              </w:rPr>
              <w:t>1.45</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1.85</w:t>
            </w:r>
          </w:p>
        </w:tc>
      </w:tr>
      <w:tr>
        <w:trPr>
          <w:trHeight w:val="324"/>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438"/>
              <w:spacing w:after="0"/>
              <w:rPr>
                <w:sz w:val="20"/>
                <w:szCs w:val="20"/>
                <w:color w:val="auto"/>
              </w:rPr>
            </w:pPr>
            <w:r>
              <w:rPr>
                <w:rFonts w:ascii="Times New Roman" w:cs="Times New Roman" w:eastAsia="Times New Roman" w:hAnsi="Times New Roman"/>
                <w:sz w:val="16"/>
                <w:szCs w:val="16"/>
                <w:color w:val="auto"/>
              </w:rPr>
              <w:t>1.26</w:t>
            </w:r>
          </w:p>
        </w:tc>
        <w:tc>
          <w:tcPr>
            <w:tcW w:w="5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717"/>
              <w:spacing w:after="0"/>
              <w:rPr>
                <w:sz w:val="20"/>
                <w:szCs w:val="20"/>
                <w:color w:val="auto"/>
              </w:rPr>
            </w:pPr>
            <w:r>
              <w:rPr>
                <w:rFonts w:ascii="Times New Roman" w:cs="Times New Roman" w:eastAsia="Times New Roman" w:hAnsi="Times New Roman"/>
                <w:sz w:val="16"/>
                <w:szCs w:val="16"/>
                <w:color w:val="auto"/>
              </w:rPr>
              <w:t>1.36</w:t>
            </w:r>
          </w:p>
        </w:tc>
        <w:tc>
          <w:tcPr>
            <w:tcW w:w="1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-1203960</wp:posOffset>
            </wp:positionV>
            <wp:extent cx="712343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-792480</wp:posOffset>
            </wp:positionV>
            <wp:extent cx="712343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-3169285</wp:posOffset>
            </wp:positionH>
            <wp:positionV relativeFrom="paragraph">
              <wp:posOffset>-381000</wp:posOffset>
            </wp:positionV>
            <wp:extent cx="712343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205740"/>
                    </a:xfrm>
                    <a:prstGeom prst="rect">
                      <a:avLst/>
                    </a:prstGeom>
                    <a:noFill/>
                  </pic:spPr>
                </pic:pic>
              </a:graphicData>
            </a:graphic>
          </wp:anchor>
        </w:drawing>
      </w:r>
    </w:p>
    <w:p>
      <w:pPr>
        <w:sectPr>
          <w:pgSz w:w="11900" w:h="16838" w:orient="portrait"/>
          <w:cols w:equalWidth="0" w:num="2">
            <w:col w:w="4280" w:space="720"/>
            <w:col w:w="6240"/>
          </w:cols>
          <w:pgMar w:left="320" w:top="131" w:right="339" w:bottom="1440" w:gutter="0" w:footer="0" w:header="0"/>
          <w:type w:val="continuous"/>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right="20" w:hanging="332"/>
        <w:spacing w:after="0" w:line="322" w:lineRule="auto"/>
        <w:tabs>
          <w:tab w:leader="none" w:pos="33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gain (loss) on short-term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2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ACM has narrowed the range of its revenue guidance range for fiscal year 2025 to $875 million to $925 million, versus the prior range of $850 million to $950 million.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 and Recent Announcements</w:t>
      </w:r>
    </w:p>
    <w:p>
      <w:pPr>
        <w:spacing w:after="0" w:line="252" w:lineRule="exact"/>
        <w:rPr>
          <w:sz w:val="20"/>
          <w:szCs w:val="20"/>
          <w:color w:val="auto"/>
        </w:rPr>
      </w:pPr>
    </w:p>
    <w:p>
      <w:pPr>
        <w:ind w:left="340" w:hanging="332"/>
        <w:spacing w:after="0" w:line="333"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the third quarter of 2025 were $263.1 million, up 0.7% from the third quarter of 2024. Total shipments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deliveries for revenue in the quarter and deliveries of first tool systems awaiting customer acceptance for potential revenue in future quarters.</w:t>
      </w:r>
    </w:p>
    <w:p>
      <w:pPr>
        <w:spacing w:after="0" w:line="14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ACM Shanghai Completed its Private Offering. </w:t>
      </w:r>
      <w:r>
        <w:rPr>
          <w:rFonts w:ascii="Times New Roman" w:cs="Times New Roman" w:eastAsia="Times New Roman" w:hAnsi="Times New Roman"/>
          <w:sz w:val="18"/>
          <w:szCs w:val="18"/>
          <w:color w:val="auto"/>
        </w:rPr>
        <w:t>In September 2025, ACM Shanghai issued 38,601,326 ordinary shares at RMB 116.11 per share,</w:t>
      </w:r>
    </w:p>
    <w:p>
      <w:pPr>
        <w:spacing w:after="0" w:line="53" w:lineRule="exact"/>
        <w:rPr>
          <w:rFonts w:ascii="Times New Roman" w:cs="Times New Roman" w:eastAsia="Times New Roman" w:hAnsi="Times New Roman"/>
          <w:sz w:val="18"/>
          <w:szCs w:val="18"/>
          <w:color w:val="auto"/>
        </w:rPr>
      </w:pPr>
    </w:p>
    <w:p>
      <w:pPr>
        <w:ind w:lef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net proceeds of RMB 4.4 billion (approximately USD $623 million) after deducting offering-related expenses. As a result of the Private Offering, ACM’s equity interests in ACM Shanghai declined from 81.1% as of June 30, 2025 to 74.6% as of September 30, 2025.</w:t>
      </w:r>
    </w:p>
    <w:p>
      <w:pPr>
        <w:spacing w:after="0" w:line="171" w:lineRule="exact"/>
        <w:rPr>
          <w:rFonts w:ascii="Times New Roman" w:cs="Times New Roman" w:eastAsia="Times New Roman" w:hAnsi="Times New Roman"/>
          <w:sz w:val="18"/>
          <w:szCs w:val="18"/>
          <w:color w:val="auto"/>
        </w:rPr>
      </w:pPr>
    </w:p>
    <w:p>
      <w:pPr>
        <w:ind w:left="340" w:hanging="332"/>
        <w:spacing w:after="0" w:line="318"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During the third quarter of 2025, ACM Shanghai paid a cash dividend </w:t>
      </w:r>
      <w:r>
        <w:rPr>
          <w:rFonts w:ascii="Times New Roman" w:cs="Times New Roman" w:eastAsia="Times New Roman" w:hAnsi="Times New Roman"/>
          <w:sz w:val="18"/>
          <w:szCs w:val="18"/>
          <w:color w:val="auto"/>
        </w:rPr>
        <w:t>for a net total of approximately RMB 264.9 million (approximately USD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$36.8 million) to the stockholders of ACM Shanghai, including ACM, which owned 81.1% of the outstanding shares of ACM Shanghai at the time.</w:t>
      </w:r>
    </w:p>
    <w:p>
      <w:pPr>
        <w:spacing w:after="0" w:line="16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Delivered Its First High-Throughput Ultra Lith KrF Track System to a Leading Chinese Logic Wafer Fab Customer. </w:t>
      </w:r>
      <w:r>
        <w:rPr>
          <w:rFonts w:ascii="Times New Roman" w:cs="Times New Roman" w:eastAsia="Times New Roman" w:hAnsi="Times New Roman"/>
          <w:sz w:val="18"/>
          <w:szCs w:val="18"/>
          <w:color w:val="auto"/>
        </w:rPr>
        <w:t>ACM announced the</w:t>
      </w:r>
    </w:p>
    <w:p>
      <w:pPr>
        <w:spacing w:after="0" w:line="53" w:lineRule="exact"/>
        <w:rPr>
          <w:rFonts w:ascii="Times New Roman" w:cs="Times New Roman" w:eastAsia="Times New Roman" w:hAnsi="Times New Roman"/>
          <w:sz w:val="18"/>
          <w:szCs w:val="18"/>
          <w:b w:val="1"/>
          <w:bCs w:val="1"/>
          <w:color w:val="auto"/>
        </w:rPr>
      </w:pPr>
    </w:p>
    <w:p>
      <w:pPr>
        <w:jc w:val="both"/>
        <w:ind w:left="340"/>
        <w:spacing w:after="0" w:line="30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launch of its first Ultra Lith KrF track system, designed to support front-end semiconductor manufacturing. The new system expands ACM’s lithography product line and delivers high-throughput performance, advanced thermal control, and real-time process control and monitoring. The first system was shipped to a leading Chinese logic wafer fab customer in September 2025.</w:t>
      </w:r>
    </w:p>
    <w:p>
      <w:pPr>
        <w:spacing w:after="0" w:line="16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Unveiled Ultra ECDP Electrochemical Deplating Tool for Compound Semiconductor Gold Etch Processes. </w:t>
      </w:r>
      <w:r>
        <w:rPr>
          <w:rFonts w:ascii="Times New Roman" w:cs="Times New Roman" w:eastAsia="Times New Roman" w:hAnsi="Times New Roman"/>
          <w:sz w:val="18"/>
          <w:szCs w:val="18"/>
          <w:color w:val="auto"/>
        </w:rPr>
        <w:t>ACM announced the launch of its</w:t>
      </w:r>
    </w:p>
    <w:p>
      <w:pPr>
        <w:spacing w:after="0" w:line="53" w:lineRule="exact"/>
        <w:rPr>
          <w:rFonts w:ascii="Times New Roman" w:cs="Times New Roman" w:eastAsia="Times New Roman" w:hAnsi="Times New Roman"/>
          <w:sz w:val="18"/>
          <w:szCs w:val="18"/>
          <w:color w:val="auto"/>
        </w:rPr>
      </w:pPr>
    </w:p>
    <w:p>
      <w:pPr>
        <w:jc w:val="both"/>
        <w:ind w:left="3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Ultra ECDP Electrochemical Deplating (“Ultra ECDP”) tool specifically designed for wide bandgap compound semiconductor manufacturing. The Ultra ECDP tool is engineered for electrochemical wafer-level gold (Au) etching performed outside of the wafer pattern area and delivers improved uniformity, smaller undercut and enhanced gold line appearance.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2025 Financial Summary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Unless otherwise noted, the following figures refer to the third quarter of 2025 and comparisons are with the third quarter of 2024.</w:t>
      </w:r>
    </w:p>
    <w:p>
      <w:pPr>
        <w:spacing w:after="0" w:line="250" w:lineRule="exact"/>
        <w:rPr>
          <w:sz w:val="20"/>
          <w:szCs w:val="20"/>
          <w:color w:val="auto"/>
        </w:rPr>
      </w:pPr>
    </w:p>
    <w:p>
      <w:pPr>
        <w:ind w:left="340" w:hanging="332"/>
        <w:spacing w:after="0" w:line="333" w:lineRule="auto"/>
        <w:tabs>
          <w:tab w:leader="none" w:pos="3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was $269.2 million, up 32.0%, reflecting growth from single wafer cleaning, Tahoe and semi-critical cleaning equipment, ECP (front-end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packaging), furnace and other technologies, and advanced packaging (excluding ECP), services &amp; spares.</w:t>
      </w:r>
    </w:p>
    <w:p>
      <w:pPr>
        <w:spacing w:after="0" w:line="141"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42.0% versus 51.4%. Non-GAAP gross margin, which excludes stock-based compensation, was 42.1% versus 51.6%. Gross</w:t>
      </w:r>
    </w:p>
    <w:p>
      <w:pPr>
        <w:spacing w:after="0" w:line="53" w:lineRule="exact"/>
        <w:rPr>
          <w:rFonts w:ascii="Times New Roman" w:cs="Times New Roman" w:eastAsia="Times New Roman" w:hAnsi="Times New Roman"/>
          <w:sz w:val="18"/>
          <w:szCs w:val="18"/>
          <w:color w:val="auto"/>
        </w:rPr>
      </w:pPr>
    </w:p>
    <w:p>
      <w:pPr>
        <w:ind w:left="34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was at the low end of ACM’s long-term business model target range of 42% to 48%. ACM expects gross margin to vary from period to period due to a variety of factors, such as product mix, currency impacts, sales volume, inventory provisions and other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ectPr>
          <w:pgSz w:w="11900" w:h="16838" w:orient="portrait"/>
          <w:cols w:equalWidth="0" w:num="1">
            <w:col w:w="11240"/>
          </w:cols>
          <w:pgMar w:left="320" w:top="13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right="20" w:hanging="332"/>
        <w:spacing w:after="0" w:line="319"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$84.2 million, an increase of 38.9%. Operating expenses as a percentage of revenue increased to 31.3% from 29.7%. Non-GAAP operating expenses, which exclude the effect of stock-based compensation, were $76.9 million, up 56.3%. Non-GAAP operating expenses as a percentage of revenue increased to 28.6% from 24.1%</w:t>
      </w:r>
      <w:r>
        <w:rPr>
          <w:rFonts w:ascii="Arial" w:cs="Arial" w:eastAsia="Arial" w:hAnsi="Arial"/>
          <w:sz w:val="21"/>
          <w:szCs w:val="21"/>
          <w:color w:val="auto"/>
        </w:rPr>
        <w:t>.</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31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$28.9 million, compared to $44.2 million. Operating margin was 10.7% compared to 21.7%. Non-GAAP operating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excludes the effect of stock-based compensation, was $36.5 million, compared to $56.1 million. Non-GAAP operating margin, which excludes stock-based compensation, was 13.6% compared to 27.5%.</w:t>
      </w:r>
    </w:p>
    <w:p>
      <w:pPr>
        <w:spacing w:after="0" w:line="197" w:lineRule="exact"/>
        <w:rPr>
          <w:rFonts w:ascii="Times New Roman" w:cs="Times New Roman" w:eastAsia="Times New Roman" w:hAnsi="Times New Roman"/>
          <w:sz w:val="18"/>
          <w:szCs w:val="18"/>
          <w:color w:val="auto"/>
        </w:rPr>
      </w:pPr>
    </w:p>
    <w:p>
      <w:pPr>
        <w:ind w:left="340" w:right="20" w:hanging="332"/>
        <w:spacing w:after="0" w:line="333"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Unrealized gain on short-term investments </w:t>
      </w:r>
      <w:r>
        <w:rPr>
          <w:rFonts w:ascii="Times New Roman" w:cs="Times New Roman" w:eastAsia="Times New Roman" w:hAnsi="Times New Roman"/>
          <w:sz w:val="18"/>
          <w:szCs w:val="18"/>
          <w:color w:val="auto"/>
        </w:rPr>
        <w:t>was $18.7 million, compared to an unrealized gain of $0.4 million. Unrealized gain reflects the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market value of the investments by ACM Shanghai. The value is marked-to-market quarterly and is excluded in the non-GAAP financial metrics.</w:t>
      </w:r>
    </w:p>
    <w:p>
      <w:pPr>
        <w:spacing w:after="0" w:line="19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$2.7 million, compared to $4.0 million.</w:t>
      </w:r>
    </w:p>
    <w:p>
      <w:pPr>
        <w:spacing w:after="0" w:line="306" w:lineRule="exact"/>
        <w:rPr>
          <w:rFonts w:ascii="Times New Roman" w:cs="Times New Roman" w:eastAsia="Times New Roman" w:hAnsi="Times New Roman"/>
          <w:sz w:val="18"/>
          <w:szCs w:val="18"/>
          <w:color w:val="auto"/>
        </w:rPr>
      </w:pPr>
    </w:p>
    <w:p>
      <w:pPr>
        <w:jc w:val="both"/>
        <w:ind w:left="340" w:hanging="332"/>
        <w:spacing w:after="0" w:line="370"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was $35.9 million, compared to $30.9 million. Non-GAAP net income attributable to ACM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Inc., which excludes the effect of stock-based compensation and unrealized gain on short-term investments, was $24.8 million, compared to $42.4 million.</w:t>
      </w:r>
    </w:p>
    <w:p>
      <w:pPr>
        <w:spacing w:after="0" w:line="122" w:lineRule="exact"/>
        <w:rPr>
          <w:rFonts w:ascii="Times New Roman" w:cs="Times New Roman" w:eastAsia="Times New Roman" w:hAnsi="Times New Roman"/>
          <w:sz w:val="18"/>
          <w:szCs w:val="18"/>
          <w:color w:val="auto"/>
        </w:rPr>
      </w:pPr>
    </w:p>
    <w:p>
      <w:pPr>
        <w:ind w:left="340" w:hanging="332"/>
        <w:spacing w:after="0" w:line="318"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attributable to ACM Research, Inc. </w:t>
      </w:r>
      <w:r>
        <w:rPr>
          <w:rFonts w:ascii="Times New Roman" w:cs="Times New Roman" w:eastAsia="Times New Roman" w:hAnsi="Times New Roman"/>
          <w:sz w:val="18"/>
          <w:szCs w:val="18"/>
          <w:color w:val="auto"/>
        </w:rPr>
        <w:t>was $0.52, compared to $0.45. Non-GAAP net income per diluted share,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excludes the effect of stock-based compensation and unrealized gain on short-term investments, was $0.36, compared to $0.63.</w:t>
      </w:r>
    </w:p>
    <w:p>
      <w:pPr>
        <w:spacing w:after="0" w:line="166" w:lineRule="exact"/>
        <w:rPr>
          <w:rFonts w:ascii="Times New Roman" w:cs="Times New Roman" w:eastAsia="Times New Roman" w:hAnsi="Times New Roman"/>
          <w:sz w:val="18"/>
          <w:szCs w:val="18"/>
          <w:color w:val="auto"/>
        </w:rPr>
      </w:pPr>
    </w:p>
    <w:p>
      <w:pPr>
        <w:ind w:left="340" w:hanging="332"/>
        <w:spacing w:after="0" w:line="318"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plus restricted cash and short-term and long-term time deposits were $1,098.3 million at September 30, 2025,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$483.9 million at June 30,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28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 conference call to discuss results will be held on Wednesday, November 5, 2025, at 8:00 a.m. Eastern Time (9:00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Online Registration: </w:t>
      </w:r>
      <w:r>
        <w:rPr>
          <w:rFonts w:ascii="Times New Roman" w:cs="Times New Roman" w:eastAsia="Times New Roman" w:hAnsi="Times New Roman"/>
          <w:sz w:val="18"/>
          <w:szCs w:val="18"/>
          <w:u w:val="single" w:color="auto"/>
          <w:color w:val="0000FF"/>
        </w:rPr>
        <w:t>https://register-conf.media-server.com/register/BI1b6b3109856a47f8ad0506af886844bf</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who have not pre-registered may join the webcast by accessing the link at ir.acmrcsh.com/events.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will be available on the Investors section of the ACM website at </w:t>
      </w:r>
      <w:r>
        <w:rPr>
          <w:rFonts w:ascii="Times New Roman" w:cs="Times New Roman" w:eastAsia="Times New Roman" w:hAnsi="Times New Roman"/>
          <w:sz w:val="18"/>
          <w:szCs w:val="18"/>
          <w:u w:val="single" w:color="auto"/>
          <w:color w:val="auto"/>
        </w:rPr>
        <w:t>www.acmrcsh.com.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ectPr>
          <w:pgSz w:w="11900" w:h="16838" w:orient="portrait"/>
          <w:cols w:equalWidth="0" w:num="1">
            <w:col w:w="11240"/>
          </w:cols>
          <w:pgMar w:left="320" w:top="131"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8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28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ACM develops, manufactures and sells semiconductor process equipment for single-wafer or batch wet cleaning, electroplating, stress-free polishing, vertical furnace processes, Track and PECVD, which are critical to advanced semiconductor device manufacturing and wafer-level packaging. ACM is committed to delivering customized, high- performance, cost-effective process solutions that semiconductor manufacturers can use in numerous manufacturing steps to improve productivity and product yield. For more information, visit www.acmrcsh.com.</w:t>
      </w:r>
    </w:p>
    <w:p>
      <w:pPr>
        <w:spacing w:after="0" w:line="146" w:lineRule="exact"/>
        <w:rPr>
          <w:sz w:val="20"/>
          <w:szCs w:val="20"/>
          <w:color w:val="auto"/>
        </w:rPr>
      </w:pPr>
    </w:p>
    <w:p>
      <w:pPr>
        <w:jc w:val="both"/>
        <w:ind w:firstLine="8"/>
        <w:spacing w:after="0" w:line="250" w:lineRule="auto"/>
        <w:tabs>
          <w:tab w:leader="none" w:pos="1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200" w:lineRule="exact"/>
        <w:rPr>
          <w:rFonts w:ascii="Times New Roman" w:cs="Times New Roman" w:eastAsia="Times New Roman" w:hAnsi="Times New Roman"/>
          <w:sz w:val="18"/>
          <w:szCs w:val="18"/>
          <w:color w:val="auto"/>
        </w:rPr>
      </w:pPr>
    </w:p>
    <w:p>
      <w:pPr>
        <w:spacing w:after="0" w:line="228"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ectPr>
          <w:pgSz w:w="11900" w:h="16838" w:orient="portrait"/>
          <w:cols w:equalWidth="0" w:num="1">
            <w:col w:w="11240"/>
          </w:cols>
          <w:pgMar w:left="320" w:top="13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36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385"/>
        </w:trPr>
        <w:tc>
          <w:tcPr>
            <w:tcW w:w="6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364"/>
        </w:trPr>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(360) 808-5154</w:t>
            </w:r>
          </w:p>
        </w:tc>
      </w:tr>
      <w:tr>
        <w:trPr>
          <w:trHeight w:val="365"/>
        </w:trPr>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i w:val="1"/>
                <w:iCs w:val="1"/>
                <w:color w:val="auto"/>
                <w:w w:val="98"/>
              </w:rPr>
              <w:t>steven@blueshirtgroup.co</w:t>
            </w:r>
          </w:p>
        </w:tc>
      </w:tr>
      <w:tr>
        <w:trPr>
          <w:trHeight w:val="594"/>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385"/>
        </w:trPr>
        <w:tc>
          <w:tcPr>
            <w:tcW w:w="62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364"/>
        </w:trPr>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364"/>
        </w:trPr>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0" w:type="dxa"/>
            <w:vAlign w:val="bottom"/>
          </w:tcPr>
          <w:p>
            <w:pPr>
              <w:ind w:left="90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- 5 -</w:t>
      </w:r>
    </w:p>
    <w:p>
      <w:pPr>
        <w:sectPr>
          <w:pgSz w:w="11900" w:h="16838" w:orient="portrait"/>
          <w:cols w:equalWidth="0" w:num="1">
            <w:col w:w="11240"/>
          </w:cols>
          <w:pgMar w:left="320" w:top="13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5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ectPr>
          <w:pgSz w:w="11900" w:h="16838" w:orient="portrait"/>
          <w:cols w:equalWidth="0" w:num="1">
            <w:col w:w="10120"/>
          </w:cols>
          <w:pgMar w:left="1440" w:top="1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0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720" w:type="dxa"/>
            <w:vAlign w:val="bottom"/>
            <w:tcBorders>
              <w:top w:val="single" w:sz="8" w:color="auto"/>
            </w:tcBorders>
            <w:gridSpan w:val="2"/>
          </w:tcPr>
          <w:p>
            <w:pPr>
              <w:jc w:val="right"/>
              <w:ind w:right="42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60" w:type="dxa"/>
            <w:vAlign w:val="bottom"/>
            <w:gridSpan w:val="3"/>
          </w:tcPr>
          <w:p>
            <w:pPr>
              <w:jc w:val="right"/>
              <w:ind w:right="48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5540" w:type="dxa"/>
            <w:vAlign w:val="bottom"/>
            <w:gridSpan w:val="2"/>
          </w:tcPr>
          <w:p>
            <w:pPr>
              <w:jc w:val="center"/>
              <w:ind w:right="384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1,058,909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407,445</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8,430</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3,865</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time deposits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30,922</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17,277</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39,976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19,373</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476,996</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387,045</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50,450</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41,859</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 net</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676,409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597,984</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Advances to related parties</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15,143</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7,507</w:t>
            </w:r>
          </w:p>
        </w:tc>
        <w:tc>
          <w:tcPr>
            <w:tcW w:w="0" w:type="dxa"/>
            <w:vAlign w:val="bottom"/>
          </w:tcPr>
          <w:p>
            <w:pPr>
              <w:spacing w:after="0"/>
              <w:rPr>
                <w:sz w:val="1"/>
                <w:szCs w:val="1"/>
                <w:color w:val="auto"/>
              </w:rPr>
            </w:pPr>
          </w:p>
        </w:tc>
      </w:tr>
      <w:tr>
        <w:trPr>
          <w:trHeight w:val="267"/>
        </w:trPr>
        <w:tc>
          <w:tcPr>
            <w:tcW w:w="30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466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2,358,162</w:t>
            </w:r>
          </w:p>
        </w:tc>
        <w:tc>
          <w:tcPr>
            <w:tcW w:w="8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1,483,379</w:t>
            </w:r>
          </w:p>
        </w:tc>
        <w:tc>
          <w:tcPr>
            <w:tcW w:w="0" w:type="dxa"/>
            <w:vAlign w:val="bottom"/>
          </w:tcPr>
          <w:p>
            <w:pPr>
              <w:spacing w:after="0"/>
              <w:rPr>
                <w:sz w:val="1"/>
                <w:szCs w:val="1"/>
                <w:color w:val="auto"/>
              </w:rPr>
            </w:pPr>
          </w:p>
        </w:tc>
      </w:tr>
      <w:tr>
        <w:trPr>
          <w:trHeight w:val="23"/>
        </w:trPr>
        <w:tc>
          <w:tcPr>
            <w:tcW w:w="30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46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296,714</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269,272</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18,026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14,038</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2,706</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3,461</w:t>
            </w:r>
          </w:p>
        </w:tc>
        <w:tc>
          <w:tcPr>
            <w:tcW w:w="0" w:type="dxa"/>
            <w:vAlign w:val="bottom"/>
          </w:tcPr>
          <w:p>
            <w:pPr>
              <w:spacing w:after="0"/>
              <w:rPr>
                <w:sz w:val="1"/>
                <w:szCs w:val="1"/>
                <w:color w:val="auto"/>
              </w:rPr>
            </w:pPr>
          </w:p>
        </w:tc>
      </w:tr>
      <w:tr>
        <w:trPr>
          <w:trHeight w:val="3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time deposits</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13,275</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26,641</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14,781</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investments</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63,556</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37,063</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4,838</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20,452</w:t>
            </w:r>
          </w:p>
        </w:tc>
        <w:tc>
          <w:tcPr>
            <w:tcW w:w="0" w:type="dxa"/>
            <w:vAlign w:val="bottom"/>
          </w:tcPr>
          <w:p>
            <w:pPr>
              <w:spacing w:after="0"/>
              <w:rPr>
                <w:sz w:val="1"/>
                <w:szCs w:val="1"/>
                <w:color w:val="auto"/>
              </w:rPr>
            </w:pPr>
          </w:p>
        </w:tc>
      </w:tr>
      <w:tr>
        <w:trPr>
          <w:trHeight w:val="240"/>
        </w:trPr>
        <w:tc>
          <w:tcPr>
            <w:tcW w:w="306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66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2,770,643</w:t>
            </w:r>
          </w:p>
        </w:tc>
        <w:tc>
          <w:tcPr>
            <w:tcW w:w="80" w:type="dxa"/>
            <w:vAlign w:val="bottom"/>
          </w:tcPr>
          <w:p>
            <w:pPr>
              <w:spacing w:after="0"/>
              <w:rPr>
                <w:sz w:val="20"/>
                <w:szCs w:val="20"/>
                <w:color w:val="auto"/>
              </w:rPr>
            </w:pPr>
          </w:p>
        </w:tc>
        <w:tc>
          <w:tcPr>
            <w:tcW w:w="9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1,855,721</w:t>
            </w:r>
          </w:p>
        </w:tc>
        <w:tc>
          <w:tcPr>
            <w:tcW w:w="0" w:type="dxa"/>
            <w:vAlign w:val="bottom"/>
          </w:tcPr>
          <w:p>
            <w:pPr>
              <w:spacing w:after="0"/>
              <w:rPr>
                <w:sz w:val="1"/>
                <w:szCs w:val="1"/>
                <w:color w:val="auto"/>
              </w:rPr>
            </w:pPr>
          </w:p>
        </w:tc>
      </w:tr>
      <w:tr>
        <w:trPr>
          <w:trHeight w:val="50"/>
        </w:trPr>
        <w:tc>
          <w:tcPr>
            <w:tcW w:w="3060" w:type="dxa"/>
            <w:vAlign w:val="bottom"/>
            <w:vMerge w:val="continue"/>
          </w:tcPr>
          <w:p>
            <w:pPr>
              <w:spacing w:after="0"/>
              <w:rPr>
                <w:sz w:val="4"/>
                <w:szCs w:val="4"/>
                <w:color w:val="auto"/>
              </w:rPr>
            </w:pPr>
          </w:p>
        </w:tc>
        <w:tc>
          <w:tcPr>
            <w:tcW w:w="46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6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60" w:type="dxa"/>
            <w:vAlign w:val="bottom"/>
            <w:shd w:val="clear" w:color="auto" w:fill="CCEEFF"/>
          </w:tcPr>
          <w:p>
            <w:pPr>
              <w:spacing w:after="0"/>
              <w:rPr>
                <w:sz w:val="14"/>
                <w:szCs w:val="14"/>
                <w:color w:val="auto"/>
              </w:rPr>
            </w:pPr>
          </w:p>
        </w:tc>
        <w:tc>
          <w:tcPr>
            <w:tcW w:w="4660" w:type="dxa"/>
            <w:vAlign w:val="bottom"/>
            <w:shd w:val="clear" w:color="auto" w:fill="CCEEFF"/>
          </w:tcPr>
          <w:p>
            <w:pPr>
              <w:jc w:val="center"/>
              <w:ind w:right="2968"/>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45,049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32,814</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long-term borrowings</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48,637</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44,472</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parties accounts payable</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23,323</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16,133</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180,884</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139,294</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Advances from customers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203,506</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243,949</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15,550</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8,537</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payable</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12,779</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FIN-48 payable</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21,768</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19,466</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payables and accrued expenses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135,032</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121,657</w:t>
            </w:r>
          </w:p>
        </w:tc>
        <w:tc>
          <w:tcPr>
            <w:tcW w:w="0" w:type="dxa"/>
            <w:vAlign w:val="bottom"/>
          </w:tcPr>
          <w:p>
            <w:pPr>
              <w:spacing w:after="0"/>
              <w:rPr>
                <w:sz w:val="1"/>
                <w:szCs w:val="1"/>
                <w:color w:val="auto"/>
              </w:rPr>
            </w:pPr>
          </w:p>
        </w:tc>
      </w:tr>
      <w:tr>
        <w:trPr>
          <w:trHeight w:val="30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4,120</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2,132</w:t>
            </w:r>
          </w:p>
        </w:tc>
        <w:tc>
          <w:tcPr>
            <w:tcW w:w="0" w:type="dxa"/>
            <w:vAlign w:val="bottom"/>
          </w:tcPr>
          <w:p>
            <w:pPr>
              <w:spacing w:after="0"/>
              <w:rPr>
                <w:sz w:val="1"/>
                <w:szCs w:val="1"/>
                <w:color w:val="auto"/>
              </w:rPr>
            </w:pPr>
          </w:p>
        </w:tc>
      </w:tr>
      <w:tr>
        <w:trPr>
          <w:trHeight w:val="23"/>
        </w:trPr>
        <w:tc>
          <w:tcPr>
            <w:tcW w:w="30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677,869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641,233</w:t>
            </w:r>
          </w:p>
        </w:tc>
        <w:tc>
          <w:tcPr>
            <w:tcW w:w="0" w:type="dxa"/>
            <w:vAlign w:val="bottom"/>
          </w:tcPr>
          <w:p>
            <w:pPr>
              <w:spacing w:after="0"/>
              <w:rPr>
                <w:sz w:val="1"/>
                <w:szCs w:val="1"/>
                <w:color w:val="auto"/>
              </w:rPr>
            </w:pPr>
          </w:p>
        </w:tc>
      </w:tr>
      <w:tr>
        <w:trPr>
          <w:trHeight w:val="267"/>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borrowings</w:t>
            </w:r>
          </w:p>
        </w:tc>
        <w:tc>
          <w:tcPr>
            <w:tcW w:w="466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193,356</w:t>
            </w:r>
          </w:p>
        </w:tc>
        <w:tc>
          <w:tcPr>
            <w:tcW w:w="8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105,525</w:t>
            </w: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5,882</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3,840</w:t>
            </w:r>
          </w:p>
        </w:tc>
        <w:tc>
          <w:tcPr>
            <w:tcW w:w="0" w:type="dxa"/>
            <w:vAlign w:val="bottom"/>
          </w:tcPr>
          <w:p>
            <w:pPr>
              <w:spacing w:after="0"/>
              <w:rPr>
                <w:sz w:val="1"/>
                <w:szCs w:val="1"/>
                <w:color w:val="auto"/>
              </w:rPr>
            </w:pPr>
          </w:p>
        </w:tc>
      </w:tr>
      <w:tr>
        <w:trPr>
          <w:trHeight w:val="3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8,322</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9,217</w:t>
            </w:r>
          </w:p>
        </w:tc>
        <w:tc>
          <w:tcPr>
            <w:tcW w:w="0" w:type="dxa"/>
            <w:vAlign w:val="bottom"/>
          </w:tcPr>
          <w:p>
            <w:pPr>
              <w:spacing w:after="0"/>
              <w:rPr>
                <w:sz w:val="1"/>
                <w:szCs w:val="1"/>
                <w:color w:val="auto"/>
              </w:rPr>
            </w:pPr>
          </w:p>
        </w:tc>
      </w:tr>
      <w:tr>
        <w:trPr>
          <w:trHeight w:val="24"/>
        </w:trPr>
        <w:tc>
          <w:tcPr>
            <w:tcW w:w="30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885,429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759,815</w:t>
            </w: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46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6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4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3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1,105,129</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677,476</w:t>
            </w:r>
          </w:p>
        </w:tc>
        <w:tc>
          <w:tcPr>
            <w:tcW w:w="0" w:type="dxa"/>
            <w:vAlign w:val="bottom"/>
          </w:tcPr>
          <w:p>
            <w:pPr>
              <w:spacing w:after="0"/>
              <w:rPr>
                <w:sz w:val="1"/>
                <w:szCs w:val="1"/>
                <w:color w:val="auto"/>
              </w:rPr>
            </w:pPr>
          </w:p>
        </w:tc>
      </w:tr>
      <w:tr>
        <w:trPr>
          <w:trHeight w:val="3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346,029</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260,000</w:t>
            </w: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surplus reserve</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30,514</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30,514</w:t>
            </w:r>
          </w:p>
        </w:tc>
        <w:tc>
          <w:tcPr>
            <w:tcW w:w="0" w:type="dxa"/>
            <w:vAlign w:val="bottom"/>
          </w:tcPr>
          <w:p>
            <w:pPr>
              <w:spacing w:after="0"/>
              <w:rPr>
                <w:sz w:val="1"/>
                <w:szCs w:val="1"/>
                <w:color w:val="auto"/>
              </w:rPr>
            </w:pPr>
          </w:p>
        </w:tc>
      </w:tr>
      <w:tr>
        <w:trPr>
          <w:trHeight w:val="3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(48,999)</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(63,372)</w:t>
            </w:r>
          </w:p>
        </w:tc>
        <w:tc>
          <w:tcPr>
            <w:tcW w:w="0" w:type="dxa"/>
            <w:vAlign w:val="bottom"/>
          </w:tcPr>
          <w:p>
            <w:pPr>
              <w:spacing w:after="0"/>
              <w:rPr>
                <w:sz w:val="1"/>
                <w:szCs w:val="1"/>
                <w:color w:val="auto"/>
              </w:rPr>
            </w:pPr>
          </w:p>
        </w:tc>
      </w:tr>
      <w:tr>
        <w:trPr>
          <w:trHeight w:val="24"/>
        </w:trPr>
        <w:tc>
          <w:tcPr>
            <w:tcW w:w="30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ACM Research, Inc. stockholders’ equity</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1,432,680</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904,625</w:t>
            </w:r>
          </w:p>
        </w:tc>
        <w:tc>
          <w:tcPr>
            <w:tcW w:w="0" w:type="dxa"/>
            <w:vAlign w:val="bottom"/>
          </w:tcPr>
          <w:p>
            <w:pPr>
              <w:spacing w:after="0"/>
              <w:rPr>
                <w:sz w:val="1"/>
                <w:szCs w:val="1"/>
                <w:color w:val="auto"/>
              </w:rPr>
            </w:pPr>
          </w:p>
        </w:tc>
      </w:tr>
      <w:tr>
        <w:trPr>
          <w:trHeight w:val="267"/>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660" w:type="dxa"/>
            <w:vAlign w:val="bottom"/>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452,534</w:t>
            </w:r>
          </w:p>
        </w:tc>
        <w:tc>
          <w:tcPr>
            <w:tcW w:w="8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191,281</w:t>
            </w:r>
          </w:p>
        </w:tc>
        <w:tc>
          <w:tcPr>
            <w:tcW w:w="0" w:type="dxa"/>
            <w:vAlign w:val="bottom"/>
          </w:tcPr>
          <w:p>
            <w:pPr>
              <w:spacing w:after="0"/>
              <w:rPr>
                <w:sz w:val="1"/>
                <w:szCs w:val="1"/>
                <w:color w:val="auto"/>
              </w:rPr>
            </w:pPr>
          </w:p>
        </w:tc>
      </w:tr>
      <w:tr>
        <w:trPr>
          <w:trHeight w:val="24"/>
        </w:trPr>
        <w:tc>
          <w:tcPr>
            <w:tcW w:w="30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46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1,885,214</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1,095,906</w:t>
            </w:r>
          </w:p>
        </w:tc>
        <w:tc>
          <w:tcPr>
            <w:tcW w:w="0" w:type="dxa"/>
            <w:vAlign w:val="bottom"/>
          </w:tcPr>
          <w:p>
            <w:pPr>
              <w:spacing w:after="0"/>
              <w:rPr>
                <w:sz w:val="1"/>
                <w:szCs w:val="1"/>
                <w:color w:val="auto"/>
              </w:rPr>
            </w:pPr>
          </w:p>
        </w:tc>
      </w:tr>
      <w:tr>
        <w:trPr>
          <w:trHeight w:val="240"/>
        </w:trPr>
        <w:tc>
          <w:tcPr>
            <w:tcW w:w="30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466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2,770,643</w:t>
            </w:r>
          </w:p>
        </w:tc>
        <w:tc>
          <w:tcPr>
            <w:tcW w:w="80" w:type="dxa"/>
            <w:vAlign w:val="bottom"/>
          </w:tcPr>
          <w:p>
            <w:pPr>
              <w:spacing w:after="0"/>
              <w:rPr>
                <w:sz w:val="20"/>
                <w:szCs w:val="20"/>
                <w:color w:val="auto"/>
              </w:rPr>
            </w:pPr>
          </w:p>
        </w:tc>
        <w:tc>
          <w:tcPr>
            <w:tcW w:w="9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1,855,721</w:t>
            </w:r>
          </w:p>
        </w:tc>
        <w:tc>
          <w:tcPr>
            <w:tcW w:w="0" w:type="dxa"/>
            <w:vAlign w:val="bottom"/>
          </w:tcPr>
          <w:p>
            <w:pPr>
              <w:spacing w:after="0"/>
              <w:rPr>
                <w:sz w:val="1"/>
                <w:szCs w:val="1"/>
                <w:color w:val="auto"/>
              </w:rPr>
            </w:pPr>
          </w:p>
        </w:tc>
      </w:tr>
      <w:tr>
        <w:trPr>
          <w:trHeight w:val="50"/>
        </w:trPr>
        <w:tc>
          <w:tcPr>
            <w:tcW w:w="3060" w:type="dxa"/>
            <w:vAlign w:val="bottom"/>
            <w:vMerge w:val="continue"/>
          </w:tcPr>
          <w:p>
            <w:pPr>
              <w:spacing w:after="0"/>
              <w:rPr>
                <w:sz w:val="4"/>
                <w:szCs w:val="4"/>
                <w:color w:val="auto"/>
              </w:rPr>
            </w:pPr>
          </w:p>
        </w:tc>
        <w:tc>
          <w:tcPr>
            <w:tcW w:w="46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55" w:right="359" w:bottom="19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color w:val="auto"/>
        </w:rPr>
        <w:t>- 6 -</w:t>
      </w:r>
    </w:p>
    <w:p>
      <w:pPr>
        <w:sectPr>
          <w:pgSz w:w="11900" w:h="16838" w:orient="portrait"/>
          <w:cols w:equalWidth="0" w:num="1">
            <w:col w:w="9019"/>
          </w:cols>
          <w:pgMar w:left="1440" w:top="522"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4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5080" w:type="dxa"/>
            <w:vAlign w:val="bottom"/>
          </w:tcPr>
          <w:p>
            <w:pPr>
              <w:spacing w:after="0"/>
              <w:rPr>
                <w:sz w:val="16"/>
                <w:szCs w:val="16"/>
                <w:color w:val="auto"/>
              </w:rPr>
            </w:pPr>
          </w:p>
        </w:tc>
        <w:tc>
          <w:tcPr>
            <w:tcW w:w="14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5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3"/>
          </w:tcPr>
          <w:p>
            <w:pPr>
              <w:jc w:val="center"/>
              <w:ind w:left="100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1"/>
        </w:trPr>
        <w:tc>
          <w:tcPr>
            <w:tcW w:w="5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 In thousands, except share and per share data)</w:t>
            </w:r>
          </w:p>
        </w:tc>
        <w:tc>
          <w:tcPr>
            <w:tcW w:w="1460" w:type="dxa"/>
            <w:vAlign w:val="bottom"/>
          </w:tcPr>
          <w:p>
            <w:pPr>
              <w:spacing w:after="0"/>
              <w:rPr>
                <w:sz w:val="16"/>
                <w:szCs w:val="16"/>
                <w:color w:val="auto"/>
              </w:rPr>
            </w:pPr>
          </w:p>
        </w:tc>
      </w:tr>
      <w:tr>
        <w:trPr>
          <w:trHeight w:val="23"/>
        </w:trPr>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4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269,160</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203,976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656,879</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558,647</w:t>
            </w:r>
          </w:p>
        </w:tc>
      </w:tr>
      <w:tr>
        <w:trPr>
          <w:trHeight w:val="24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156,011</w:t>
            </w:r>
          </w:p>
        </w:tc>
        <w:tc>
          <w:tcPr>
            <w:tcW w:w="120" w:type="dxa"/>
            <w:vAlign w:val="bottom"/>
          </w:tcPr>
          <w:p>
            <w:pPr>
              <w:spacing w:after="0"/>
              <w:rPr>
                <w:sz w:val="21"/>
                <w:szCs w:val="21"/>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99,142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356,719</w:t>
            </w:r>
          </w:p>
        </w:tc>
        <w:tc>
          <w:tcPr>
            <w:tcW w:w="100" w:type="dxa"/>
            <w:vAlign w:val="bottom"/>
          </w:tcPr>
          <w:p>
            <w:pPr>
              <w:spacing w:after="0"/>
              <w:rPr>
                <w:sz w:val="21"/>
                <w:szCs w:val="21"/>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277,908</w:t>
            </w:r>
          </w:p>
        </w:tc>
      </w:tr>
      <w:tr>
        <w:trPr>
          <w:trHeight w:val="50"/>
        </w:trPr>
        <w:tc>
          <w:tcPr>
            <w:tcW w:w="50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77"/>
        </w:trPr>
        <w:tc>
          <w:tcPr>
            <w:tcW w:w="50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4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113,149</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104,834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300,160</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280,739</w:t>
            </w:r>
          </w:p>
        </w:tc>
      </w:tr>
      <w:tr>
        <w:trPr>
          <w:trHeight w:val="20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37"/>
        </w:trPr>
        <w:tc>
          <w:tcPr>
            <w:tcW w:w="5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77"/>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14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22,311</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15,759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60,756</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47,067</w:t>
            </w:r>
          </w:p>
        </w:tc>
      </w:tr>
      <w:tr>
        <w:trPr>
          <w:trHeight w:val="247"/>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39,651</w:t>
            </w:r>
          </w:p>
        </w:tc>
        <w:tc>
          <w:tcPr>
            <w:tcW w:w="120" w:type="dxa"/>
            <w:vAlign w:val="bottom"/>
          </w:tcPr>
          <w:p>
            <w:pPr>
              <w:spacing w:after="0"/>
              <w:rPr>
                <w:sz w:val="21"/>
                <w:szCs w:val="21"/>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27,837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100,971</w:t>
            </w:r>
          </w:p>
        </w:tc>
        <w:tc>
          <w:tcPr>
            <w:tcW w:w="100" w:type="dxa"/>
            <w:vAlign w:val="bottom"/>
          </w:tcPr>
          <w:p>
            <w:pPr>
              <w:spacing w:after="0"/>
              <w:rPr>
                <w:sz w:val="21"/>
                <w:szCs w:val="21"/>
                <w:color w:val="auto"/>
              </w:rPr>
            </w:pPr>
          </w:p>
        </w:tc>
        <w:tc>
          <w:tcPr>
            <w:tcW w:w="14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77,723</w:t>
            </w:r>
          </w:p>
        </w:tc>
      </w:tr>
      <w:tr>
        <w:trPr>
          <w:trHeight w:val="51"/>
        </w:trPr>
        <w:tc>
          <w:tcPr>
            <w:tcW w:w="50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r>
      <w:tr>
        <w:trPr>
          <w:trHeight w:val="297"/>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22,264</w:t>
            </w:r>
          </w:p>
        </w:tc>
        <w:tc>
          <w:tcPr>
            <w:tcW w:w="12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17,054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52,039</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48,940</w:t>
            </w:r>
          </w:p>
        </w:tc>
      </w:tr>
      <w:tr>
        <w:trPr>
          <w:trHeight w:val="227"/>
        </w:trPr>
        <w:tc>
          <w:tcPr>
            <w:tcW w:w="50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4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84,226</w:t>
            </w:r>
          </w:p>
        </w:tc>
        <w:tc>
          <w:tcPr>
            <w:tcW w:w="120" w:type="dxa"/>
            <w:vAlign w:val="bottom"/>
          </w:tcPr>
          <w:p>
            <w:pPr>
              <w:spacing w:after="0"/>
              <w:rPr>
                <w:sz w:val="19"/>
                <w:szCs w:val="19"/>
                <w:color w:val="auto"/>
              </w:rPr>
            </w:pPr>
          </w:p>
        </w:tc>
        <w:tc>
          <w:tcPr>
            <w:tcW w:w="14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60,650</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213,766</w:t>
            </w:r>
          </w:p>
        </w:tc>
        <w:tc>
          <w:tcPr>
            <w:tcW w:w="100" w:type="dxa"/>
            <w:vAlign w:val="bottom"/>
          </w:tcPr>
          <w:p>
            <w:pPr>
              <w:spacing w:after="0"/>
              <w:rPr>
                <w:sz w:val="19"/>
                <w:szCs w:val="19"/>
                <w:color w:val="auto"/>
              </w:rPr>
            </w:pPr>
          </w:p>
        </w:tc>
        <w:tc>
          <w:tcPr>
            <w:tcW w:w="14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173,730</w:t>
            </w:r>
          </w:p>
        </w:tc>
      </w:tr>
      <w:tr>
        <w:trPr>
          <w:trHeight w:val="51"/>
        </w:trPr>
        <w:tc>
          <w:tcPr>
            <w:tcW w:w="508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57"/>
        </w:trPr>
        <w:tc>
          <w:tcPr>
            <w:tcW w:w="5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4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28,923</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44,184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86,394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107,009</w:t>
            </w:r>
          </w:p>
        </w:tc>
      </w:tr>
      <w:tr>
        <w:trPr>
          <w:trHeight w:val="20"/>
        </w:trPr>
        <w:tc>
          <w:tcPr>
            <w:tcW w:w="5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131" w:right="339" w:bottom="1440" w:gutter="0" w:footer="0" w:header="0"/>
        </w:sectPr>
      </w:pPr>
    </w:p>
    <w:p>
      <w:pPr>
        <w:ind w:left="20"/>
        <w:spacing w:after="0"/>
        <w:rPr>
          <w:sz w:val="20"/>
          <w:szCs w:val="20"/>
          <w:color w:val="auto"/>
        </w:rPr>
      </w:pPr>
      <w:r>
        <w:rPr>
          <w:rFonts w:ascii="Times New Roman" w:cs="Times New Roman" w:eastAsia="Times New Roman" w:hAnsi="Times New Roman"/>
          <w:sz w:val="14"/>
          <w:szCs w:val="14"/>
          <w:color w:val="auto"/>
        </w:rPr>
        <w:t>Interest income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Realized gain on short-term investments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Unrealized gain (loss) on short-term investments</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expense, net</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from equity method investments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0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3,100</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2,967</w:t>
            </w:r>
          </w:p>
        </w:tc>
        <w:tc>
          <w:tcPr>
            <w:tcW w:w="160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10,452</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7,122</w:t>
            </w:r>
          </w:p>
        </w:tc>
      </w:tr>
      <w:tr>
        <w:trPr>
          <w:trHeight w:val="297"/>
        </w:trPr>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(1,851)</w:t>
            </w:r>
          </w:p>
        </w:tc>
        <w:tc>
          <w:tcPr>
            <w:tcW w:w="15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(1,208)</w:t>
            </w:r>
          </w:p>
        </w:tc>
        <w:tc>
          <w:tcPr>
            <w:tcW w:w="16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(5,166)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r>
      <w:tr>
        <w:trPr>
          <w:trHeight w:val="297"/>
        </w:trPr>
        <w:tc>
          <w:tcPr>
            <w:tcW w:w="10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171</w:t>
            </w:r>
          </w:p>
        </w:tc>
        <w:tc>
          <w:tcPr>
            <w:tcW w:w="160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54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444</w:t>
            </w:r>
          </w:p>
        </w:tc>
      </w:tr>
      <w:tr>
        <w:trPr>
          <w:trHeight w:val="297"/>
        </w:trPr>
        <w:tc>
          <w:tcPr>
            <w:tcW w:w="10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93"/>
              </w:rPr>
              <w:t>18,656</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413</w:t>
            </w:r>
          </w:p>
        </w:tc>
        <w:tc>
          <w:tcPr>
            <w:tcW w:w="160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20,304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w:t>
            </w:r>
          </w:p>
        </w:tc>
      </w:tr>
      <w:tr>
        <w:trPr>
          <w:trHeight w:val="297"/>
        </w:trPr>
        <w:tc>
          <w:tcPr>
            <w:tcW w:w="108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(3,411)</w:t>
            </w:r>
          </w:p>
        </w:tc>
        <w:tc>
          <w:tcPr>
            <w:tcW w:w="154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(5,164)</w:t>
            </w:r>
          </w:p>
        </w:tc>
        <w:tc>
          <w:tcPr>
            <w:tcW w:w="16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(4,019)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w:t>
            </w:r>
          </w:p>
        </w:tc>
      </w:tr>
      <w:tr>
        <w:trPr>
          <w:trHeight w:val="297"/>
        </w:trPr>
        <w:tc>
          <w:tcPr>
            <w:tcW w:w="10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3,670</w:t>
            </w:r>
          </w:p>
        </w:tc>
        <w:tc>
          <w:tcPr>
            <w:tcW w:w="15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1,316</w:t>
            </w:r>
          </w:p>
        </w:tc>
        <w:tc>
          <w:tcPr>
            <w:tcW w:w="160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rPr>
              <w:t>6,395</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-910590</wp:posOffset>
            </wp:positionV>
            <wp:extent cx="712343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-533400</wp:posOffset>
            </wp:positionV>
            <wp:extent cx="712343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1885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-156210</wp:posOffset>
            </wp:positionV>
            <wp:extent cx="712343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9685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5260" w:space="720"/>
            <w:col w:w="5260"/>
          </w:cols>
          <w:pgMar w:left="320" w:top="131"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50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820" w:type="dxa"/>
            <w:vAlign w:val="bottom"/>
          </w:tcPr>
          <w:p>
            <w:pPr>
              <w:spacing w:after="0"/>
              <w:rPr>
                <w:sz w:val="18"/>
                <w:szCs w:val="18"/>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49,087</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42,679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114,414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109,875</w:t>
            </w:r>
          </w:p>
        </w:tc>
        <w:tc>
          <w:tcPr>
            <w:tcW w:w="0" w:type="dxa"/>
            <w:vAlign w:val="bottom"/>
          </w:tcPr>
          <w:p>
            <w:pPr>
              <w:spacing w:after="0"/>
              <w:rPr>
                <w:sz w:val="1"/>
                <w:szCs w:val="1"/>
                <w:color w:val="auto"/>
              </w:rPr>
            </w:pPr>
          </w:p>
        </w:tc>
      </w:tr>
      <w:tr>
        <w:trPr>
          <w:trHeight w:val="50"/>
        </w:trPr>
        <w:tc>
          <w:tcPr>
            <w:tcW w:w="50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(6,733)</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(17,712)</w:t>
            </w:r>
          </w:p>
        </w:tc>
        <w:tc>
          <w:tcPr>
            <w:tcW w:w="0" w:type="dxa"/>
            <w:vAlign w:val="bottom"/>
          </w:tcPr>
          <w:p>
            <w:pPr>
              <w:spacing w:after="0"/>
              <w:rPr>
                <w:sz w:val="1"/>
                <w:szCs w:val="1"/>
                <w:color w:val="auto"/>
              </w:rPr>
            </w:pPr>
          </w:p>
        </w:tc>
      </w:tr>
      <w:tr>
        <w:trPr>
          <w:trHeight w:val="227"/>
        </w:trPr>
        <w:tc>
          <w:tcPr>
            <w:tcW w:w="50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46,398</w:t>
            </w: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38,672</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107,681</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92,163</w:t>
            </w:r>
          </w:p>
        </w:tc>
        <w:tc>
          <w:tcPr>
            <w:tcW w:w="0" w:type="dxa"/>
            <w:vAlign w:val="bottom"/>
          </w:tcPr>
          <w:p>
            <w:pPr>
              <w:spacing w:after="0"/>
              <w:rPr>
                <w:sz w:val="1"/>
                <w:szCs w:val="1"/>
                <w:color w:val="auto"/>
              </w:rPr>
            </w:pPr>
          </w:p>
        </w:tc>
      </w:tr>
      <w:tr>
        <w:trPr>
          <w:trHeight w:val="50"/>
        </w:trPr>
        <w:tc>
          <w:tcPr>
            <w:tcW w:w="50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8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10,509</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7,768</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21,652</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19,616</w:t>
            </w:r>
          </w:p>
        </w:tc>
        <w:tc>
          <w:tcPr>
            <w:tcW w:w="0" w:type="dxa"/>
            <w:vAlign w:val="bottom"/>
          </w:tcPr>
          <w:p>
            <w:pPr>
              <w:spacing w:after="0"/>
              <w:rPr>
                <w:sz w:val="1"/>
                <w:szCs w:val="1"/>
                <w:color w:val="auto"/>
              </w:rPr>
            </w:pPr>
          </w:p>
        </w:tc>
      </w:tr>
      <w:tr>
        <w:trPr>
          <w:trHeight w:val="227"/>
        </w:trPr>
        <w:tc>
          <w:tcPr>
            <w:tcW w:w="50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Net income attributable to ACM Research, Inc.</w:t>
            </w:r>
          </w:p>
        </w:tc>
        <w:tc>
          <w:tcPr>
            <w:tcW w:w="8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35,889</w:t>
            </w: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30,904</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86,029</w:t>
            </w: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72,547</w:t>
            </w: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8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Comprehensive income (loss):</w:t>
            </w:r>
          </w:p>
        </w:tc>
        <w:tc>
          <w:tcPr>
            <w:tcW w:w="8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5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46,398</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38,672</w:t>
            </w:r>
          </w:p>
        </w:tc>
        <w:tc>
          <w:tcPr>
            <w:tcW w:w="10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107,681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92,163</w:t>
            </w: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 net of tax of nil</w:t>
            </w:r>
          </w:p>
        </w:tc>
        <w:tc>
          <w:tcPr>
            <w:tcW w:w="8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9,899</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17,089</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15,554</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10,376</w:t>
            </w:r>
          </w:p>
        </w:tc>
        <w:tc>
          <w:tcPr>
            <w:tcW w:w="0" w:type="dxa"/>
            <w:vAlign w:val="bottom"/>
          </w:tcPr>
          <w:p>
            <w:pPr>
              <w:spacing w:after="0"/>
              <w:rPr>
                <w:sz w:val="1"/>
                <w:szCs w:val="1"/>
                <w:color w:val="auto"/>
              </w:rPr>
            </w:pPr>
          </w:p>
        </w:tc>
      </w:tr>
      <w:tr>
        <w:trPr>
          <w:trHeight w:val="188"/>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gain on available-for-sale investments, net of tax</w:t>
            </w:r>
          </w:p>
        </w:tc>
        <w:tc>
          <w:tcPr>
            <w:tcW w:w="820" w:type="dxa"/>
            <w:vAlign w:val="bottom"/>
          </w:tcPr>
          <w:p>
            <w:pPr>
              <w:spacing w:after="0"/>
              <w:rPr>
                <w:sz w:val="16"/>
                <w:szCs w:val="16"/>
                <w:color w:val="auto"/>
              </w:rPr>
            </w:pPr>
          </w:p>
        </w:tc>
        <w:tc>
          <w:tcPr>
            <w:tcW w:w="6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2,391</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5"/>
        </w:trPr>
        <w:tc>
          <w:tcPr>
            <w:tcW w:w="5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50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8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58,688</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55,761</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125,626</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102,539</w:t>
            </w: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8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13,017</w:t>
            </w: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10,842</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25,224</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21,458</w:t>
            </w:r>
          </w:p>
        </w:tc>
        <w:tc>
          <w:tcPr>
            <w:tcW w:w="0" w:type="dxa"/>
            <w:vAlign w:val="bottom"/>
          </w:tcPr>
          <w:p>
            <w:pPr>
              <w:spacing w:after="0"/>
              <w:rPr>
                <w:sz w:val="1"/>
                <w:szCs w:val="1"/>
                <w:color w:val="auto"/>
              </w:rPr>
            </w:pPr>
          </w:p>
        </w:tc>
      </w:tr>
      <w:tr>
        <w:trPr>
          <w:trHeight w:val="50"/>
        </w:trPr>
        <w:tc>
          <w:tcPr>
            <w:tcW w:w="50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50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ACM Research, Inc.</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45,671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44,919</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100,402</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81,081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234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type w:val="continuous"/>
        </w:sect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 attributable to ACM Research, Inc. per common share:</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Basic</w:t>
      </w:r>
    </w:p>
    <w:p>
      <w:pPr>
        <w:spacing w:after="0" w:line="1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Diluted</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used in computing per share amounts:</w:t>
      </w:r>
    </w:p>
    <w:p>
      <w:pPr>
        <w:spacing w:after="0" w:line="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Basic</w:t>
      </w:r>
    </w:p>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0.56</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0.49</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w:t>
            </w:r>
          </w:p>
        </w:tc>
      </w:tr>
      <w:tr>
        <w:trPr>
          <w:trHeight w:val="50"/>
        </w:trPr>
        <w:tc>
          <w:tcPr>
            <w:tcW w:w="9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6"/>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0.52</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w:t>
            </w:r>
          </w:p>
        </w:tc>
      </w:tr>
      <w:tr>
        <w:trPr>
          <w:trHeight w:val="50"/>
        </w:trPr>
        <w:tc>
          <w:tcPr>
            <w:tcW w:w="144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r>
      <w:tr>
        <w:trPr>
          <w:trHeight w:val="21"/>
        </w:trPr>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85"/>
        </w:trPr>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64,381,296</w:t>
            </w:r>
          </w:p>
        </w:tc>
        <w:tc>
          <w:tcPr>
            <w:tcW w:w="12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62,500,903</w:t>
            </w: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63,876,709</w:t>
            </w: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62,017,257</w:t>
            </w:r>
          </w:p>
        </w:tc>
      </w:tr>
      <w:tr>
        <w:trPr>
          <w:trHeight w:val="24"/>
        </w:trPr>
        <w:tc>
          <w:tcPr>
            <w:tcW w:w="14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r>
      <w:tr>
        <w:trPr>
          <w:trHeight w:val="21"/>
        </w:trPr>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189"/>
        </w:trPr>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68,414,313</w:t>
            </w:r>
          </w:p>
        </w:tc>
        <w:tc>
          <w:tcPr>
            <w:tcW w:w="12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66,671,526</w:t>
            </w:r>
          </w:p>
        </w:tc>
        <w:tc>
          <w:tcPr>
            <w:tcW w:w="10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67,551,302</w:t>
            </w:r>
          </w:p>
        </w:tc>
        <w:tc>
          <w:tcPr>
            <w:tcW w:w="10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66,512,143</w:t>
            </w:r>
          </w:p>
        </w:tc>
      </w:tr>
      <w:tr>
        <w:trPr>
          <w:trHeight w:val="27"/>
        </w:trPr>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-856615</wp:posOffset>
            </wp:positionV>
            <wp:extent cx="712343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885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-496570</wp:posOffset>
            </wp:positionV>
            <wp:extent cx="71234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7145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-179705</wp:posOffset>
            </wp:positionV>
            <wp:extent cx="712343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160"/>
            <w:col w:w="6160"/>
          </w:cols>
          <w:pgMar w:left="320" w:top="1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- 7 -</w:t>
      </w:r>
    </w:p>
    <w:p>
      <w:pPr>
        <w:sectPr>
          <w:pgSz w:w="11900" w:h="16838" w:orient="portrait"/>
          <w:cols w:equalWidth="0" w:num="1">
            <w:col w:w="11240"/>
          </w:cols>
          <w:pgMar w:left="320" w:top="131" w:right="3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Revenue by Product Category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56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3"/>
                <w:szCs w:val="13"/>
                <w:color w:val="auto"/>
              </w:rPr>
            </w:pPr>
          </w:p>
        </w:tc>
        <w:tc>
          <w:tcPr>
            <w:tcW w:w="168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2560" w:type="dxa"/>
            <w:vAlign w:val="bottom"/>
            <w:gridSpan w:val="7"/>
            <w:vMerge w:val="continue"/>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4"/>
                <w:szCs w:val="14"/>
                <w:i w:val="1"/>
                <w:iCs w:val="1"/>
                <w:color w:val="auto"/>
                <w:w w:val="99"/>
              </w:rPr>
              <w:t>(Unaudited)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Single wafer cleaning, Tahoe and semi-critical cleaning equipment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181,570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160,985</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466,100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423,676</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ECP (front-end and packaging), furnace and other technologies</w:t>
            </w:r>
          </w:p>
        </w:tc>
        <w:tc>
          <w:tcPr>
            <w:tcW w:w="420" w:type="dxa"/>
            <w:vAlign w:val="bottom"/>
          </w:tcPr>
          <w:p>
            <w:pPr>
              <w:spacing w:after="0"/>
              <w:rPr>
                <w:sz w:val="21"/>
                <w:szCs w:val="21"/>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59,853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34,600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135,499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99,362</w:t>
            </w:r>
          </w:p>
        </w:tc>
        <w:tc>
          <w:tcPr>
            <w:tcW w:w="0" w:type="dxa"/>
            <w:vAlign w:val="bottom"/>
          </w:tcPr>
          <w:p>
            <w:pPr>
              <w:spacing w:after="0"/>
              <w:rPr>
                <w:sz w:val="1"/>
                <w:szCs w:val="1"/>
                <w:color w:val="auto"/>
              </w:rPr>
            </w:pPr>
          </w:p>
        </w:tc>
      </w:tr>
      <w:tr>
        <w:trPr>
          <w:trHeight w:val="50"/>
        </w:trPr>
        <w:tc>
          <w:tcPr>
            <w:tcW w:w="5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packaging (excluding ECP), services &amp; spares</w:t>
            </w:r>
          </w:p>
        </w:tc>
        <w:tc>
          <w:tcPr>
            <w:tcW w:w="4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27,737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55,280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35,609</w:t>
            </w:r>
          </w:p>
        </w:tc>
        <w:tc>
          <w:tcPr>
            <w:tcW w:w="0" w:type="dxa"/>
            <w:vAlign w:val="bottom"/>
          </w:tcPr>
          <w:p>
            <w:pPr>
              <w:spacing w:after="0"/>
              <w:rPr>
                <w:sz w:val="1"/>
                <w:szCs w:val="1"/>
                <w:color w:val="auto"/>
              </w:rPr>
            </w:pPr>
          </w:p>
        </w:tc>
      </w:tr>
      <w:tr>
        <w:trPr>
          <w:trHeight w:val="227"/>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By Product Category</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269,160</w:t>
            </w:r>
          </w:p>
        </w:tc>
        <w:tc>
          <w:tcPr>
            <w:tcW w:w="10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203,976</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656,879</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558,647</w:t>
            </w:r>
          </w:p>
        </w:tc>
        <w:tc>
          <w:tcPr>
            <w:tcW w:w="0" w:type="dxa"/>
            <w:vAlign w:val="bottom"/>
          </w:tcPr>
          <w:p>
            <w:pPr>
              <w:spacing w:after="0"/>
              <w:rPr>
                <w:sz w:val="1"/>
                <w:szCs w:val="1"/>
                <w:color w:val="auto"/>
              </w:rPr>
            </w:pPr>
          </w:p>
        </w:tc>
      </w:tr>
      <w:tr>
        <w:trPr>
          <w:trHeight w:val="51"/>
        </w:trPr>
        <w:tc>
          <w:tcPr>
            <w:tcW w:w="548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- 8 -</w:t>
      </w:r>
    </w:p>
    <w:p>
      <w:pPr>
        <w:sectPr>
          <w:pgSz w:w="11900" w:h="16838" w:orient="portrait"/>
          <w:cols w:equalWidth="0" w:num="1">
            <w:col w:w="11240"/>
          </w:cols>
          <w:pgMar w:left="320" w:top="13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5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270"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 gross margin, operating expenses, operating income, net income attributable to ACM Research, Inc., and basic and diluted earnings per share to the related non-GAAP financial measures: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20" w:type="dxa"/>
            <w:vAlign w:val="bottom"/>
            <w:gridSpan w:val="9"/>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SBC</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80" w:type="dxa"/>
            <w:vAlign w:val="bottom"/>
          </w:tcPr>
          <w:p>
            <w:pPr>
              <w:spacing w:after="0"/>
              <w:rPr>
                <w:sz w:val="17"/>
                <w:szCs w:val="17"/>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8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SBC</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10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88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(GAAP)</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96"/>
        </w:trPr>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Revenue</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269,160</w:t>
            </w:r>
          </w:p>
        </w:tc>
        <w:tc>
          <w:tcPr>
            <w:tcW w:w="1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3"/>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269,160</w:t>
            </w:r>
          </w:p>
        </w:tc>
        <w:tc>
          <w:tcPr>
            <w:tcW w:w="8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203,976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203,976</w:t>
            </w:r>
          </w:p>
        </w:tc>
        <w:tc>
          <w:tcPr>
            <w:tcW w:w="0" w:type="dxa"/>
            <w:vAlign w:val="bottom"/>
          </w:tcPr>
          <w:p>
            <w:pPr>
              <w:spacing w:after="0"/>
              <w:rPr>
                <w:sz w:val="1"/>
                <w:szCs w:val="1"/>
                <w:color w:val="auto"/>
              </w:rPr>
            </w:pPr>
          </w:p>
        </w:tc>
      </w:tr>
      <w:tr>
        <w:trPr>
          <w:trHeight w:val="89"/>
        </w:trPr>
        <w:tc>
          <w:tcPr>
            <w:tcW w:w="242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78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66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vMerge w:val="continue"/>
            <w:shd w:val="clear" w:color="auto" w:fill="CCEEFF"/>
          </w:tcPr>
          <w:p>
            <w:pPr>
              <w:spacing w:after="0"/>
              <w:rPr>
                <w:sz w:val="7"/>
                <w:szCs w:val="7"/>
                <w:color w:val="auto"/>
              </w:rPr>
            </w:pPr>
          </w:p>
        </w:tc>
        <w:tc>
          <w:tcPr>
            <w:tcW w:w="1220" w:type="dxa"/>
            <w:vAlign w:val="bottom"/>
            <w:tcBorders>
              <w:bottom w:val="single" w:sz="8" w:color="CCEEFF"/>
            </w:tcBorders>
            <w:gridSpan w:val="2"/>
            <w:vMerge w:val="continue"/>
            <w:shd w:val="clear" w:color="auto" w:fill="CCEEFF"/>
          </w:tcPr>
          <w:p>
            <w:pPr>
              <w:spacing w:after="0"/>
              <w:rPr>
                <w:sz w:val="7"/>
                <w:szCs w:val="7"/>
                <w:color w:val="auto"/>
              </w:rPr>
            </w:pPr>
          </w:p>
        </w:tc>
        <w:tc>
          <w:tcPr>
            <w:tcW w:w="1120" w:type="dxa"/>
            <w:vAlign w:val="bottom"/>
            <w:tcBorders>
              <w:bottom w:val="single" w:sz="8" w:color="CCEEFF"/>
            </w:tcBorders>
            <w:gridSpan w:val="3"/>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80" w:type="dxa"/>
            <w:vAlign w:val="bottom"/>
            <w:tcBorders>
              <w:bottom w:val="single" w:sz="8" w:color="CCEEFF"/>
            </w:tcBorders>
            <w:gridSpan w:val="2"/>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1200" w:type="dxa"/>
            <w:vAlign w:val="bottom"/>
            <w:tcBorders>
              <w:bottom w:val="single" w:sz="8" w:color="CCEEFF"/>
            </w:tcBorders>
            <w:gridSpan w:val="2"/>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revenue</w:t>
            </w:r>
          </w:p>
        </w:tc>
        <w:tc>
          <w:tcPr>
            <w:tcW w:w="240" w:type="dxa"/>
            <w:vAlign w:val="bottom"/>
          </w:tcPr>
          <w:p>
            <w:pPr>
              <w:spacing w:after="0"/>
              <w:rPr>
                <w:sz w:val="16"/>
                <w:szCs w:val="16"/>
                <w:color w:val="auto"/>
              </w:rPr>
            </w:pPr>
          </w:p>
        </w:tc>
        <w:tc>
          <w:tcPr>
            <w:tcW w:w="78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(156,011)</w:t>
            </w:r>
          </w:p>
        </w:tc>
        <w:tc>
          <w:tcPr>
            <w:tcW w:w="100" w:type="dxa"/>
            <w:vAlign w:val="bottom"/>
          </w:tcPr>
          <w:p>
            <w:pPr>
              <w:spacing w:after="0"/>
              <w:rPr>
                <w:sz w:val="16"/>
                <w:szCs w:val="16"/>
                <w:color w:val="auto"/>
              </w:rPr>
            </w:pPr>
          </w:p>
        </w:tc>
        <w:tc>
          <w:tcPr>
            <w:tcW w:w="9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12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(155,758)</w:t>
            </w:r>
          </w:p>
        </w:tc>
        <w:tc>
          <w:tcPr>
            <w:tcW w:w="8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(99,142)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(447)</w:t>
            </w:r>
          </w:p>
        </w:tc>
        <w:tc>
          <w:tcPr>
            <w:tcW w:w="12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(98,695)</w:t>
            </w: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4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113,149</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113,402</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104,834</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(447)</w:t>
            </w:r>
          </w:p>
        </w:tc>
        <w:tc>
          <w:tcPr>
            <w:tcW w:w="12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105,281</w:t>
            </w:r>
          </w:p>
        </w:tc>
        <w:tc>
          <w:tcPr>
            <w:tcW w:w="0" w:type="dxa"/>
            <w:vAlign w:val="bottom"/>
          </w:tcPr>
          <w:p>
            <w:pPr>
              <w:spacing w:after="0"/>
              <w:rPr>
                <w:sz w:val="1"/>
                <w:szCs w:val="1"/>
                <w:color w:val="auto"/>
              </w:rPr>
            </w:pPr>
          </w:p>
        </w:tc>
      </w:tr>
      <w:tr>
        <w:trPr>
          <w:trHeight w:val="227"/>
        </w:trPr>
        <w:tc>
          <w:tcPr>
            <w:tcW w:w="2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Gross margin</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42.0  %</w:t>
            </w:r>
          </w:p>
        </w:tc>
        <w:tc>
          <w:tcPr>
            <w:tcW w:w="1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51.4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1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51.6  %</w:t>
            </w: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tcPr>
          <w:p>
            <w:pPr>
              <w:spacing w:after="0"/>
              <w:rPr>
                <w:sz w:val="21"/>
                <w:szCs w:val="21"/>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(22,311)</w:t>
            </w:r>
          </w:p>
        </w:tc>
        <w:tc>
          <w:tcPr>
            <w:tcW w:w="100" w:type="dxa"/>
            <w:vAlign w:val="bottom"/>
          </w:tcPr>
          <w:p>
            <w:pPr>
              <w:spacing w:after="0"/>
              <w:rPr>
                <w:sz w:val="21"/>
                <w:szCs w:val="21"/>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(1,601)</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(20,710)</w:t>
            </w:r>
          </w:p>
        </w:tc>
        <w:tc>
          <w:tcPr>
            <w:tcW w:w="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(15,759)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(2,594)</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(13,165)</w:t>
            </w:r>
          </w:p>
        </w:tc>
        <w:tc>
          <w:tcPr>
            <w:tcW w:w="0" w:type="dxa"/>
            <w:vAlign w:val="bottom"/>
          </w:tcPr>
          <w:p>
            <w:pPr>
              <w:spacing w:after="0"/>
              <w:rPr>
                <w:sz w:val="1"/>
                <w:szCs w:val="1"/>
                <w:color w:val="auto"/>
              </w:rPr>
            </w:pPr>
          </w:p>
        </w:tc>
      </w:tr>
      <w:tr>
        <w:trPr>
          <w:trHeight w:val="50"/>
        </w:trPr>
        <w:tc>
          <w:tcPr>
            <w:tcW w:w="2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(39,651)</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(1,915)</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(37,736)</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(27,837)</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(3,373)</w:t>
            </w:r>
          </w:p>
        </w:tc>
        <w:tc>
          <w:tcPr>
            <w:tcW w:w="12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(24,464)</w:t>
            </w:r>
          </w:p>
        </w:tc>
        <w:tc>
          <w:tcPr>
            <w:tcW w:w="0" w:type="dxa"/>
            <w:vAlign w:val="bottom"/>
          </w:tcPr>
          <w:p>
            <w:pPr>
              <w:spacing w:after="0"/>
              <w:rPr>
                <w:sz w:val="1"/>
                <w:szCs w:val="1"/>
                <w:color w:val="auto"/>
              </w:rPr>
            </w:pPr>
          </w:p>
        </w:tc>
      </w:tr>
      <w:tr>
        <w:trPr>
          <w:trHeight w:val="247"/>
        </w:trPr>
        <w:tc>
          <w:tcPr>
            <w:tcW w:w="2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Pr>
          <w:p>
            <w:pPr>
              <w:spacing w:after="0"/>
              <w:rPr>
                <w:sz w:val="21"/>
                <w:szCs w:val="21"/>
                <w:color w:val="auto"/>
              </w:rPr>
            </w:pPr>
          </w:p>
        </w:tc>
        <w:tc>
          <w:tcPr>
            <w:tcW w:w="7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(22,264)</w:t>
            </w:r>
          </w:p>
        </w:tc>
        <w:tc>
          <w:tcPr>
            <w:tcW w:w="100" w:type="dxa"/>
            <w:vAlign w:val="bottom"/>
          </w:tcPr>
          <w:p>
            <w:pPr>
              <w:spacing w:after="0"/>
              <w:rPr>
                <w:sz w:val="21"/>
                <w:szCs w:val="21"/>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(3,793)</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(18,471)</w:t>
            </w:r>
          </w:p>
        </w:tc>
        <w:tc>
          <w:tcPr>
            <w:tcW w:w="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(17,054)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(5,467)</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(11,587)</w:t>
            </w:r>
          </w:p>
        </w:tc>
        <w:tc>
          <w:tcPr>
            <w:tcW w:w="0" w:type="dxa"/>
            <w:vAlign w:val="bottom"/>
          </w:tcPr>
          <w:p>
            <w:pPr>
              <w:spacing w:after="0"/>
              <w:rPr>
                <w:sz w:val="1"/>
                <w:szCs w:val="1"/>
                <w:color w:val="auto"/>
              </w:rPr>
            </w:pPr>
          </w:p>
        </w:tc>
      </w:tr>
      <w:tr>
        <w:trPr>
          <w:trHeight w:val="50"/>
        </w:trPr>
        <w:tc>
          <w:tcPr>
            <w:tcW w:w="24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(84,226)</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(7,309)</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(76,917)</w:t>
            </w:r>
          </w:p>
        </w:tc>
        <w:tc>
          <w:tcPr>
            <w:tcW w:w="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(60,650)</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(11,434)</w:t>
            </w:r>
          </w:p>
        </w:tc>
        <w:tc>
          <w:tcPr>
            <w:tcW w:w="12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(49,216)</w:t>
            </w:r>
          </w:p>
        </w:tc>
        <w:tc>
          <w:tcPr>
            <w:tcW w:w="0" w:type="dxa"/>
            <w:vAlign w:val="bottom"/>
          </w:tcPr>
          <w:p>
            <w:pPr>
              <w:spacing w:after="0"/>
              <w:rPr>
                <w:sz w:val="1"/>
                <w:szCs w:val="1"/>
                <w:color w:val="auto"/>
              </w:rPr>
            </w:pPr>
          </w:p>
        </w:tc>
      </w:tr>
      <w:tr>
        <w:trPr>
          <w:trHeight w:val="168"/>
        </w:trPr>
        <w:tc>
          <w:tcPr>
            <w:tcW w:w="24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8"/>
              </w:rPr>
              <w:t>28,923</w:t>
            </w:r>
          </w:p>
        </w:tc>
        <w:tc>
          <w:tcPr>
            <w:tcW w:w="100" w:type="dxa"/>
            <w:vAlign w:val="bottom"/>
          </w:tcPr>
          <w:p>
            <w:pPr>
              <w:spacing w:after="0"/>
              <w:rPr>
                <w:sz w:val="14"/>
                <w:szCs w:val="14"/>
                <w:color w:val="auto"/>
              </w:rPr>
            </w:pPr>
          </w:p>
        </w:tc>
        <w:tc>
          <w:tcPr>
            <w:tcW w:w="900" w:type="dxa"/>
            <w:vAlign w:val="bottom"/>
            <w:tcBorders>
              <w:top w:val="single" w:sz="8" w:color="auto"/>
            </w:tcBorders>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(7,562)</w:t>
            </w:r>
          </w:p>
        </w:tc>
        <w:tc>
          <w:tcPr>
            <w:tcW w:w="100" w:type="dxa"/>
            <w:vAlign w:val="bottom"/>
            <w:vMerge w:val="restart"/>
          </w:tcPr>
          <w:p>
            <w:pPr>
              <w:spacing w:after="0"/>
              <w:rPr>
                <w:sz w:val="14"/>
                <w:szCs w:val="14"/>
                <w:color w:val="auto"/>
              </w:rPr>
            </w:pPr>
          </w:p>
        </w:tc>
        <w:tc>
          <w:tcPr>
            <w:tcW w:w="11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3"/>
              </w:rPr>
              <w:t>36,485</w:t>
            </w:r>
          </w:p>
        </w:tc>
        <w:tc>
          <w:tcPr>
            <w:tcW w:w="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44,184</w:t>
            </w:r>
          </w:p>
        </w:tc>
        <w:tc>
          <w:tcPr>
            <w:tcW w:w="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(11,881)</w:t>
            </w:r>
          </w:p>
        </w:tc>
        <w:tc>
          <w:tcPr>
            <w:tcW w:w="80" w:type="dxa"/>
            <w:vAlign w:val="bottom"/>
            <w:vMerge w:val="restart"/>
          </w:tcPr>
          <w:p>
            <w:pPr>
              <w:spacing w:after="0"/>
              <w:rPr>
                <w:sz w:val="14"/>
                <w:szCs w:val="14"/>
                <w:color w:val="auto"/>
              </w:rPr>
            </w:pPr>
          </w:p>
        </w:tc>
        <w:tc>
          <w:tcPr>
            <w:tcW w:w="11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8"/>
              </w:rPr>
              <w:t>56,065</w:t>
            </w: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4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Unrealized gain on short-term</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98"/>
              </w:rPr>
              <w:t>18,656</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18,656</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attributable to ACM</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35,889</w:t>
            </w:r>
          </w:p>
        </w:tc>
        <w:tc>
          <w:tcPr>
            <w:tcW w:w="100" w:type="dxa"/>
            <w:vAlign w:val="bottom"/>
          </w:tcPr>
          <w:p>
            <w:pPr>
              <w:spacing w:after="0"/>
              <w:rPr>
                <w:sz w:val="17"/>
                <w:szCs w:val="17"/>
                <w:color w:val="auto"/>
              </w:rPr>
            </w:pPr>
          </w:p>
        </w:tc>
        <w:tc>
          <w:tcPr>
            <w:tcW w:w="900" w:type="dxa"/>
            <w:vAlign w:val="bottom"/>
            <w:tcBorders>
              <w:top w:val="single" w:sz="8" w:color="auto"/>
            </w:tcBorders>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(7,562)</w:t>
            </w:r>
          </w:p>
        </w:tc>
        <w:tc>
          <w:tcPr>
            <w:tcW w:w="100" w:type="dxa"/>
            <w:vAlign w:val="bottom"/>
            <w:vMerge w:val="restart"/>
          </w:tcPr>
          <w:p>
            <w:pPr>
              <w:spacing w:after="0"/>
              <w:rPr>
                <w:sz w:val="17"/>
                <w:szCs w:val="17"/>
                <w:color w:val="auto"/>
              </w:rPr>
            </w:pPr>
          </w:p>
        </w:tc>
        <w:tc>
          <w:tcPr>
            <w:tcW w:w="112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18,656</w:t>
            </w:r>
          </w:p>
        </w:tc>
        <w:tc>
          <w:tcPr>
            <w:tcW w:w="80" w:type="dxa"/>
            <w:vAlign w:val="bottom"/>
            <w:vMerge w:val="restart"/>
          </w:tcPr>
          <w:p>
            <w:pPr>
              <w:spacing w:after="0"/>
              <w:rPr>
                <w:sz w:val="17"/>
                <w:szCs w:val="17"/>
                <w:color w:val="auto"/>
              </w:rPr>
            </w:pPr>
          </w:p>
        </w:tc>
        <w:tc>
          <w:tcPr>
            <w:tcW w:w="48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3"/>
              </w:rPr>
              <w:t>24,795</w:t>
            </w:r>
          </w:p>
        </w:tc>
        <w:tc>
          <w:tcPr>
            <w:tcW w:w="80" w:type="dxa"/>
            <w:vAlign w:val="bottom"/>
          </w:tcPr>
          <w:p>
            <w:pPr>
              <w:spacing w:after="0"/>
              <w:rPr>
                <w:sz w:val="17"/>
                <w:szCs w:val="17"/>
                <w:color w:val="auto"/>
              </w:rPr>
            </w:pPr>
          </w:p>
        </w:tc>
        <w:tc>
          <w:tcPr>
            <w:tcW w:w="48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30,904</w:t>
            </w:r>
          </w:p>
        </w:tc>
        <w:tc>
          <w:tcPr>
            <w:tcW w:w="160" w:type="dxa"/>
            <w:vAlign w:val="bottom"/>
            <w:tcBorders>
              <w:top w:val="single" w:sz="8" w:color="auto"/>
            </w:tcBorders>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(11,881)</w:t>
            </w:r>
          </w:p>
        </w:tc>
        <w:tc>
          <w:tcPr>
            <w:tcW w:w="80" w:type="dxa"/>
            <w:vAlign w:val="bottom"/>
            <w:vMerge w:val="restart"/>
          </w:tcPr>
          <w:p>
            <w:pPr>
              <w:spacing w:after="0"/>
              <w:rPr>
                <w:sz w:val="17"/>
                <w:szCs w:val="17"/>
                <w:color w:val="auto"/>
              </w:rPr>
            </w:pPr>
          </w:p>
        </w:tc>
        <w:tc>
          <w:tcPr>
            <w:tcW w:w="11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413</w:t>
            </w:r>
          </w:p>
        </w:tc>
        <w:tc>
          <w:tcPr>
            <w:tcW w:w="100" w:type="dxa"/>
            <w:vAlign w:val="bottom"/>
          </w:tcPr>
          <w:p>
            <w:pPr>
              <w:spacing w:after="0"/>
              <w:rPr>
                <w:sz w:val="17"/>
                <w:szCs w:val="17"/>
                <w:color w:val="auto"/>
              </w:rPr>
            </w:pPr>
          </w:p>
        </w:tc>
        <w:tc>
          <w:tcPr>
            <w:tcW w:w="46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42,372</w:t>
            </w:r>
          </w:p>
        </w:tc>
        <w:tc>
          <w:tcPr>
            <w:tcW w:w="0" w:type="dxa"/>
            <w:vAlign w:val="bottom"/>
          </w:tcPr>
          <w:p>
            <w:pPr>
              <w:spacing w:after="0"/>
              <w:rPr>
                <w:sz w:val="1"/>
                <w:szCs w:val="1"/>
                <w:color w:val="auto"/>
              </w:rPr>
            </w:pPr>
          </w:p>
        </w:tc>
      </w:tr>
      <w:tr>
        <w:trPr>
          <w:trHeight w:val="190"/>
        </w:trPr>
        <w:tc>
          <w:tcPr>
            <w:tcW w:w="24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Research, Inc.</w:t>
            </w:r>
          </w:p>
        </w:tc>
        <w:tc>
          <w:tcPr>
            <w:tcW w:w="2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EPS</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0.39</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0.68</w:t>
            </w:r>
          </w:p>
        </w:tc>
        <w:tc>
          <w:tcPr>
            <w:tcW w:w="0" w:type="dxa"/>
            <w:vAlign w:val="bottom"/>
          </w:tcPr>
          <w:p>
            <w:pPr>
              <w:spacing w:after="0"/>
              <w:rPr>
                <w:sz w:val="1"/>
                <w:szCs w:val="1"/>
                <w:color w:val="auto"/>
              </w:rPr>
            </w:pPr>
          </w:p>
        </w:tc>
      </w:tr>
      <w:tr>
        <w:trPr>
          <w:trHeight w:val="188"/>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EPS</w:t>
            </w:r>
          </w:p>
        </w:tc>
        <w:tc>
          <w:tcPr>
            <w:tcW w:w="240" w:type="dxa"/>
            <w:vAlign w:val="bottom"/>
          </w:tcPr>
          <w:p>
            <w:pPr>
              <w:spacing w:after="0"/>
              <w:rPr>
                <w:sz w:val="16"/>
                <w:szCs w:val="16"/>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0.52</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6"/>
                <w:szCs w:val="16"/>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0.63</w:t>
            </w: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- 9 -</w:t>
      </w:r>
    </w:p>
    <w:p>
      <w:pPr>
        <w:sectPr>
          <w:pgSz w:w="11900" w:h="16838" w:orient="portrait"/>
          <w:cols w:equalWidth="0" w:num="1">
            <w:col w:w="11240"/>
          </w:cols>
          <w:pgMar w:left="320" w:top="131" w:right="339" w:bottom="1440" w:gutter="0" w:footer="0" w:header="0"/>
        </w:sectPr>
      </w:pPr>
    </w:p>
    <w:bookmarkStart w:id="14" w:name="page15"/>
    <w:bookmarkEnd w:id="14"/>
    <w:p>
      <w:pPr>
        <w:ind w:left="10220"/>
        <w:spacing w:after="0"/>
        <w:rPr>
          <w:sz w:val="20"/>
          <w:szCs w:val="20"/>
          <w:color w:val="auto"/>
        </w:rPr>
      </w:pPr>
      <w:r>
        <w:rPr>
          <w:rFonts w:ascii="Times New Roman" w:cs="Times New Roman" w:eastAsia="Times New Roman" w:hAnsi="Times New Roman"/>
          <w:sz w:val="17"/>
          <w:szCs w:val="17"/>
          <w:b w:val="1"/>
          <w:bCs w:val="1"/>
          <w:color w:val="auto"/>
        </w:rPr>
        <w:t>Exhibit 99.1</w:t>
      </w:r>
    </w:p>
    <w:p>
      <w:pPr>
        <w:sectPr>
          <w:pgSz w:w="11900" w:h="16838" w:orient="portrait"/>
          <w:cols w:equalWidth="0" w:num="1">
            <w:col w:w="11140"/>
          </w:cols>
          <w:pgMar w:left="42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of revenue</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Gross profit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Gross margin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Sales and marketing</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General and administrative</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(loss) from operations</w:t>
      </w:r>
    </w:p>
    <w:p>
      <w:pPr>
        <w:spacing w:after="0" w:line="190" w:lineRule="exact"/>
        <w:rPr>
          <w:sz w:val="20"/>
          <w:szCs w:val="20"/>
          <w:color w:val="auto"/>
        </w:rPr>
      </w:pPr>
    </w:p>
    <w:p>
      <w:pPr>
        <w:ind w:left="340" w:right="200" w:hanging="80"/>
        <w:spacing w:after="0" w:line="302" w:lineRule="auto"/>
        <w:rPr>
          <w:sz w:val="20"/>
          <w:szCs w:val="20"/>
          <w:color w:val="auto"/>
        </w:rPr>
      </w:pPr>
      <w:r>
        <w:rPr>
          <w:rFonts w:ascii="Times New Roman" w:cs="Times New Roman" w:eastAsia="Times New Roman" w:hAnsi="Times New Roman"/>
          <w:sz w:val="14"/>
          <w:szCs w:val="14"/>
          <w:color w:val="auto"/>
        </w:rPr>
        <w:t>Unrealized gain (loss) on short-term investments</w:t>
      </w:r>
    </w:p>
    <w:p>
      <w:pPr>
        <w:spacing w:after="0" w:line="52" w:lineRule="exact"/>
        <w:rPr>
          <w:sz w:val="20"/>
          <w:szCs w:val="20"/>
          <w:color w:val="auto"/>
        </w:rPr>
      </w:pPr>
    </w:p>
    <w:p>
      <w:pPr>
        <w:ind w:hanging="80"/>
        <w:spacing w:after="0" w:line="303" w:lineRule="auto"/>
        <w:rPr>
          <w:sz w:val="20"/>
          <w:szCs w:val="20"/>
          <w:color w:val="auto"/>
        </w:rPr>
      </w:pPr>
      <w:r>
        <w:rPr>
          <w:rFonts w:ascii="Times New Roman" w:cs="Times New Roman" w:eastAsia="Times New Roman" w:hAnsi="Times New Roman"/>
          <w:sz w:val="14"/>
          <w:szCs w:val="14"/>
          <w:b w:val="1"/>
          <w:bCs w:val="1"/>
          <w:color w:val="auto"/>
        </w:rPr>
        <w:t>Net income (loss) attributable to ACM Research, Inc.</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Basic EPS</w:t>
      </w:r>
    </w:p>
    <w:p>
      <w:pPr>
        <w:spacing w:after="0" w:line="1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Diluted EPS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SBC</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SBC</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 non-</w:t>
            </w:r>
          </w:p>
        </w:tc>
        <w:tc>
          <w:tcPr>
            <w:tcW w:w="1020" w:type="dxa"/>
            <w:vAlign w:val="bottom"/>
            <w:gridSpan w:val="3"/>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94"/>
        </w:trPr>
        <w:tc>
          <w:tcPr>
            <w:tcW w:w="112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120" w:type="dxa"/>
            <w:vAlign w:val="bottom"/>
            <w:gridSpan w:val="3"/>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20" w:type="dxa"/>
            <w:vAlign w:val="bottom"/>
            <w:gridSpan w:val="3"/>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94"/>
        </w:trPr>
        <w:tc>
          <w:tcPr>
            <w:tcW w:w="11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3"/>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4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656,879</w:t>
            </w:r>
          </w:p>
        </w:tc>
        <w:tc>
          <w:tcPr>
            <w:tcW w:w="10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23"/>
                <w:szCs w:val="23"/>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656,879</w:t>
            </w:r>
          </w:p>
        </w:tc>
        <w:tc>
          <w:tcPr>
            <w:tcW w:w="80" w:type="dxa"/>
            <w:vAlign w:val="bottom"/>
          </w:tcPr>
          <w:p>
            <w:pPr>
              <w:spacing w:after="0"/>
              <w:rPr>
                <w:sz w:val="23"/>
                <w:szCs w:val="23"/>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558,647</w:t>
            </w:r>
          </w:p>
        </w:tc>
        <w:tc>
          <w:tcPr>
            <w:tcW w:w="8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558,647</w:t>
            </w:r>
          </w:p>
        </w:tc>
        <w:tc>
          <w:tcPr>
            <w:tcW w:w="0" w:type="dxa"/>
            <w:vAlign w:val="bottom"/>
          </w:tcPr>
          <w:p>
            <w:pPr>
              <w:spacing w:after="0"/>
              <w:rPr>
                <w:sz w:val="1"/>
                <w:szCs w:val="1"/>
                <w:color w:val="auto"/>
              </w:rPr>
            </w:pPr>
          </w:p>
        </w:tc>
      </w:tr>
      <w:tr>
        <w:trPr>
          <w:trHeight w:val="297"/>
        </w:trPr>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(356,719)</w:t>
            </w:r>
          </w:p>
        </w:tc>
        <w:tc>
          <w:tcPr>
            <w:tcW w:w="100" w:type="dxa"/>
            <w:vAlign w:val="bottom"/>
          </w:tcPr>
          <w:p>
            <w:pPr>
              <w:spacing w:after="0"/>
              <w:rPr>
                <w:sz w:val="24"/>
                <w:szCs w:val="24"/>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(1,138)</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(355,581)</w:t>
            </w:r>
          </w:p>
        </w:tc>
        <w:tc>
          <w:tcPr>
            <w:tcW w:w="80" w:type="dxa"/>
            <w:vAlign w:val="bottom"/>
          </w:tcPr>
          <w:p>
            <w:pPr>
              <w:spacing w:after="0"/>
              <w:rPr>
                <w:sz w:val="24"/>
                <w:szCs w:val="24"/>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(277,908)</w:t>
            </w:r>
          </w:p>
        </w:tc>
        <w:tc>
          <w:tcPr>
            <w:tcW w:w="80" w:type="dxa"/>
            <w:vAlign w:val="bottom"/>
          </w:tcPr>
          <w:p>
            <w:pPr>
              <w:spacing w:after="0"/>
              <w:rPr>
                <w:sz w:val="24"/>
                <w:szCs w:val="24"/>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(2,020)</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(275,888)</w:t>
            </w:r>
          </w:p>
        </w:tc>
        <w:tc>
          <w:tcPr>
            <w:tcW w:w="0" w:type="dxa"/>
            <w:vAlign w:val="bottom"/>
          </w:tcPr>
          <w:p>
            <w:pPr>
              <w:spacing w:after="0"/>
              <w:rPr>
                <w:sz w:val="1"/>
                <w:szCs w:val="1"/>
                <w:color w:val="auto"/>
              </w:rPr>
            </w:pPr>
          </w:p>
        </w:tc>
      </w:tr>
      <w:tr>
        <w:trPr>
          <w:trHeight w:val="37"/>
        </w:trPr>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300,160</w:t>
            </w:r>
          </w:p>
        </w:tc>
        <w:tc>
          <w:tcPr>
            <w:tcW w:w="100" w:type="dxa"/>
            <w:vAlign w:val="bottom"/>
          </w:tcPr>
          <w:p>
            <w:pPr>
              <w:spacing w:after="0"/>
              <w:rPr>
                <w:sz w:val="19"/>
                <w:szCs w:val="19"/>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(1,138)</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301,298</w:t>
            </w:r>
          </w:p>
        </w:tc>
        <w:tc>
          <w:tcPr>
            <w:tcW w:w="80" w:type="dxa"/>
            <w:vAlign w:val="bottom"/>
          </w:tcPr>
          <w:p>
            <w:pPr>
              <w:spacing w:after="0"/>
              <w:rPr>
                <w:sz w:val="19"/>
                <w:szCs w:val="19"/>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280,739</w:t>
            </w:r>
          </w:p>
        </w:tc>
        <w:tc>
          <w:tcPr>
            <w:tcW w:w="8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(2,020)</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282,759</w:t>
            </w:r>
          </w:p>
        </w:tc>
        <w:tc>
          <w:tcPr>
            <w:tcW w:w="0" w:type="dxa"/>
            <w:vAlign w:val="bottom"/>
          </w:tcPr>
          <w:p>
            <w:pPr>
              <w:spacing w:after="0"/>
              <w:rPr>
                <w:sz w:val="1"/>
                <w:szCs w:val="1"/>
                <w:color w:val="auto"/>
              </w:rPr>
            </w:pPr>
          </w:p>
        </w:tc>
      </w:tr>
      <w:tr>
        <w:trPr>
          <w:trHeight w:val="50"/>
        </w:trPr>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50.6  %</w:t>
            </w:r>
          </w:p>
        </w:tc>
        <w:tc>
          <w:tcPr>
            <w:tcW w:w="0" w:type="dxa"/>
            <w:vAlign w:val="bottom"/>
          </w:tcPr>
          <w:p>
            <w:pPr>
              <w:spacing w:after="0"/>
              <w:rPr>
                <w:sz w:val="1"/>
                <w:szCs w:val="1"/>
                <w:color w:val="auto"/>
              </w:rPr>
            </w:pPr>
          </w:p>
        </w:tc>
      </w:tr>
      <w:tr>
        <w:trPr>
          <w:trHeight w:val="513"/>
        </w:trPr>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(60,756)</w:t>
            </w:r>
          </w:p>
        </w:tc>
        <w:tc>
          <w:tcPr>
            <w:tcW w:w="100" w:type="dxa"/>
            <w:vAlign w:val="bottom"/>
          </w:tcPr>
          <w:p>
            <w:pPr>
              <w:spacing w:after="0"/>
              <w:rPr>
                <w:sz w:val="24"/>
                <w:szCs w:val="24"/>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(5,854)</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(54,902)</w:t>
            </w:r>
          </w:p>
        </w:tc>
        <w:tc>
          <w:tcPr>
            <w:tcW w:w="80" w:type="dxa"/>
            <w:vAlign w:val="bottom"/>
          </w:tcPr>
          <w:p>
            <w:pPr>
              <w:spacing w:after="0"/>
              <w:rPr>
                <w:sz w:val="24"/>
                <w:szCs w:val="24"/>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(47,067)</w:t>
            </w:r>
          </w:p>
        </w:tc>
        <w:tc>
          <w:tcPr>
            <w:tcW w:w="80" w:type="dxa"/>
            <w:vAlign w:val="bottom"/>
          </w:tcPr>
          <w:p>
            <w:pPr>
              <w:spacing w:after="0"/>
              <w:rPr>
                <w:sz w:val="24"/>
                <w:szCs w:val="24"/>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(8,645)</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(38,422)</w:t>
            </w:r>
          </w:p>
        </w:tc>
        <w:tc>
          <w:tcPr>
            <w:tcW w:w="0" w:type="dxa"/>
            <w:vAlign w:val="bottom"/>
          </w:tcPr>
          <w:p>
            <w:pPr>
              <w:spacing w:after="0"/>
              <w:rPr>
                <w:sz w:val="1"/>
                <w:szCs w:val="1"/>
                <w:color w:val="auto"/>
              </w:rPr>
            </w:pPr>
          </w:p>
        </w:tc>
      </w:tr>
      <w:tr>
        <w:trPr>
          <w:trHeight w:val="297"/>
        </w:trPr>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(100,971)</w:t>
            </w:r>
          </w:p>
        </w:tc>
        <w:tc>
          <w:tcPr>
            <w:tcW w:w="100" w:type="dxa"/>
            <w:vAlign w:val="bottom"/>
          </w:tcPr>
          <w:p>
            <w:pPr>
              <w:spacing w:after="0"/>
              <w:rPr>
                <w:sz w:val="24"/>
                <w:szCs w:val="24"/>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(7,270)</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(93,701)</w:t>
            </w:r>
          </w:p>
        </w:tc>
        <w:tc>
          <w:tcPr>
            <w:tcW w:w="80" w:type="dxa"/>
            <w:vAlign w:val="bottom"/>
          </w:tcPr>
          <w:p>
            <w:pPr>
              <w:spacing w:after="0"/>
              <w:rPr>
                <w:sz w:val="24"/>
                <w:szCs w:val="24"/>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(77,723)</w:t>
            </w:r>
          </w:p>
        </w:tc>
        <w:tc>
          <w:tcPr>
            <w:tcW w:w="80" w:type="dxa"/>
            <w:vAlign w:val="bottom"/>
          </w:tcPr>
          <w:p>
            <w:pPr>
              <w:spacing w:after="0"/>
              <w:rPr>
                <w:sz w:val="24"/>
                <w:szCs w:val="24"/>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(12,082)</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(65,641)</w:t>
            </w:r>
          </w:p>
        </w:tc>
        <w:tc>
          <w:tcPr>
            <w:tcW w:w="0" w:type="dxa"/>
            <w:vAlign w:val="bottom"/>
          </w:tcPr>
          <w:p>
            <w:pPr>
              <w:spacing w:after="0"/>
              <w:rPr>
                <w:sz w:val="1"/>
                <w:szCs w:val="1"/>
                <w:color w:val="auto"/>
              </w:rPr>
            </w:pPr>
          </w:p>
        </w:tc>
      </w:tr>
      <w:tr>
        <w:trPr>
          <w:trHeight w:val="297"/>
        </w:trPr>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(52,039)</w:t>
            </w:r>
          </w:p>
        </w:tc>
        <w:tc>
          <w:tcPr>
            <w:tcW w:w="100" w:type="dxa"/>
            <w:vAlign w:val="bottom"/>
          </w:tcPr>
          <w:p>
            <w:pPr>
              <w:spacing w:after="0"/>
              <w:rPr>
                <w:sz w:val="24"/>
                <w:szCs w:val="24"/>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(12,887)</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(39,152)</w:t>
            </w:r>
          </w:p>
        </w:tc>
        <w:tc>
          <w:tcPr>
            <w:tcW w:w="80" w:type="dxa"/>
            <w:vAlign w:val="bottom"/>
          </w:tcPr>
          <w:p>
            <w:pPr>
              <w:spacing w:after="0"/>
              <w:rPr>
                <w:sz w:val="24"/>
                <w:szCs w:val="24"/>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(48,940)</w:t>
            </w:r>
          </w:p>
        </w:tc>
        <w:tc>
          <w:tcPr>
            <w:tcW w:w="80" w:type="dxa"/>
            <w:vAlign w:val="bottom"/>
          </w:tcPr>
          <w:p>
            <w:pPr>
              <w:spacing w:after="0"/>
              <w:rPr>
                <w:sz w:val="24"/>
                <w:szCs w:val="24"/>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(18,045)</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(30,895)</w:t>
            </w:r>
          </w:p>
        </w:tc>
        <w:tc>
          <w:tcPr>
            <w:tcW w:w="0" w:type="dxa"/>
            <w:vAlign w:val="bottom"/>
          </w:tcPr>
          <w:p>
            <w:pPr>
              <w:spacing w:after="0"/>
              <w:rPr>
                <w:sz w:val="1"/>
                <w:szCs w:val="1"/>
                <w:color w:val="auto"/>
              </w:rPr>
            </w:pPr>
          </w:p>
        </w:tc>
      </w:tr>
      <w:tr>
        <w:trPr>
          <w:trHeight w:val="37"/>
        </w:trPr>
        <w:tc>
          <w:tcPr>
            <w:tcW w:w="10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(213,766)</w:t>
            </w:r>
          </w:p>
        </w:tc>
        <w:tc>
          <w:tcPr>
            <w:tcW w:w="100" w:type="dxa"/>
            <w:vAlign w:val="bottom"/>
          </w:tcPr>
          <w:p>
            <w:pPr>
              <w:spacing w:after="0"/>
              <w:rPr>
                <w:sz w:val="19"/>
                <w:szCs w:val="19"/>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(26,011)</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(187,755)</w:t>
            </w:r>
          </w:p>
        </w:tc>
        <w:tc>
          <w:tcPr>
            <w:tcW w:w="80" w:type="dxa"/>
            <w:vAlign w:val="bottom"/>
          </w:tcPr>
          <w:p>
            <w:pPr>
              <w:spacing w:after="0"/>
              <w:rPr>
                <w:sz w:val="19"/>
                <w:szCs w:val="19"/>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(173,730)</w:t>
            </w:r>
          </w:p>
        </w:tc>
        <w:tc>
          <w:tcPr>
            <w:tcW w:w="8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(38,772)</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(134,958)</w:t>
            </w:r>
          </w:p>
        </w:tc>
        <w:tc>
          <w:tcPr>
            <w:tcW w:w="0" w:type="dxa"/>
            <w:vAlign w:val="bottom"/>
          </w:tcPr>
          <w:p>
            <w:pPr>
              <w:spacing w:after="0"/>
              <w:rPr>
                <w:sz w:val="1"/>
                <w:szCs w:val="1"/>
                <w:color w:val="auto"/>
              </w:rPr>
            </w:pPr>
          </w:p>
        </w:tc>
      </w:tr>
      <w:tr>
        <w:trPr>
          <w:trHeight w:val="51"/>
        </w:trPr>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60" w:type="dxa"/>
            <w:vAlign w:val="bottom"/>
          </w:tcPr>
          <w:p>
            <w:pPr>
              <w:spacing w:after="0"/>
              <w:rPr>
                <w:sz w:val="19"/>
                <w:szCs w:val="19"/>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86,394</w:t>
            </w:r>
          </w:p>
        </w:tc>
        <w:tc>
          <w:tcPr>
            <w:tcW w:w="100" w:type="dxa"/>
            <w:vAlign w:val="bottom"/>
          </w:tcPr>
          <w:p>
            <w:pPr>
              <w:spacing w:after="0"/>
              <w:rPr>
                <w:sz w:val="19"/>
                <w:szCs w:val="19"/>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(27,149)</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113,543</w:t>
            </w:r>
          </w:p>
        </w:tc>
        <w:tc>
          <w:tcPr>
            <w:tcW w:w="80" w:type="dxa"/>
            <w:vAlign w:val="bottom"/>
          </w:tcPr>
          <w:p>
            <w:pPr>
              <w:spacing w:after="0"/>
              <w:rPr>
                <w:sz w:val="19"/>
                <w:szCs w:val="19"/>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107,009</w:t>
            </w:r>
          </w:p>
        </w:tc>
        <w:tc>
          <w:tcPr>
            <w:tcW w:w="80" w:type="dxa"/>
            <w:vAlign w:val="bottom"/>
          </w:tcPr>
          <w:p>
            <w:pPr>
              <w:spacing w:after="0"/>
              <w:rPr>
                <w:sz w:val="19"/>
                <w:szCs w:val="19"/>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(40,792)</w:t>
            </w:r>
          </w:p>
        </w:tc>
        <w:tc>
          <w:tcPr>
            <w:tcW w:w="12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147,801</w:t>
            </w:r>
          </w:p>
        </w:tc>
        <w:tc>
          <w:tcPr>
            <w:tcW w:w="0" w:type="dxa"/>
            <w:vAlign w:val="bottom"/>
          </w:tcPr>
          <w:p>
            <w:pPr>
              <w:spacing w:after="0"/>
              <w:rPr>
                <w:sz w:val="1"/>
                <w:szCs w:val="1"/>
                <w:color w:val="auto"/>
              </w:rPr>
            </w:pPr>
          </w:p>
        </w:tc>
      </w:tr>
      <w:tr>
        <w:trPr>
          <w:trHeight w:val="50"/>
        </w:trPr>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9"/>
        </w:trPr>
        <w:tc>
          <w:tcPr>
            <w:tcW w:w="460" w:type="dxa"/>
            <w:vAlign w:val="bottom"/>
          </w:tcPr>
          <w:p>
            <w:pPr>
              <w:spacing w:after="0"/>
              <w:rPr>
                <w:sz w:val="24"/>
                <w:szCs w:val="24"/>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98"/>
              </w:rPr>
              <w:t>20,304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20,304</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(1,151)</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0"/>
        </w:trPr>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62"/>
        </w:trPr>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86,029</w:t>
            </w:r>
          </w:p>
        </w:tc>
        <w:tc>
          <w:tcPr>
            <w:tcW w:w="100" w:type="dxa"/>
            <w:vAlign w:val="bottom"/>
          </w:tcPr>
          <w:p>
            <w:pPr>
              <w:spacing w:after="0"/>
              <w:rPr>
                <w:sz w:val="24"/>
                <w:szCs w:val="24"/>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(27,149)</w:t>
            </w:r>
          </w:p>
        </w:tc>
        <w:tc>
          <w:tcPr>
            <w:tcW w:w="12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20,304</w:t>
            </w:r>
          </w:p>
        </w:tc>
        <w:tc>
          <w:tcPr>
            <w:tcW w:w="8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3"/>
              </w:rPr>
              <w:t>92,874</w:t>
            </w:r>
          </w:p>
        </w:tc>
        <w:tc>
          <w:tcPr>
            <w:tcW w:w="8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8"/>
              </w:rPr>
              <w:t>72,547</w:t>
            </w:r>
          </w:p>
        </w:tc>
        <w:tc>
          <w:tcPr>
            <w:tcW w:w="80" w:type="dxa"/>
            <w:vAlign w:val="bottom"/>
          </w:tcPr>
          <w:p>
            <w:pPr>
              <w:spacing w:after="0"/>
              <w:rPr>
                <w:sz w:val="24"/>
                <w:szCs w:val="24"/>
                <w:color w:val="auto"/>
              </w:rPr>
            </w:pPr>
          </w:p>
        </w:tc>
        <w:tc>
          <w:tcPr>
            <w:tcW w:w="9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(40,792)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(1,151)</w:t>
            </w: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114,490</w:t>
            </w:r>
          </w:p>
        </w:tc>
        <w:tc>
          <w:tcPr>
            <w:tcW w:w="0" w:type="dxa"/>
            <w:vAlign w:val="bottom"/>
          </w:tcPr>
          <w:p>
            <w:pPr>
              <w:spacing w:after="0"/>
              <w:rPr>
                <w:sz w:val="1"/>
                <w:szCs w:val="1"/>
                <w:color w:val="auto"/>
              </w:rPr>
            </w:pPr>
          </w:p>
        </w:tc>
      </w:tr>
      <w:tr>
        <w:trPr>
          <w:trHeight w:val="50"/>
        </w:trPr>
        <w:tc>
          <w:tcPr>
            <w:tcW w:w="4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297"/>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-2744470</wp:posOffset>
            </wp:positionV>
            <wp:extent cx="712343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885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-2367280</wp:posOffset>
            </wp:positionV>
            <wp:extent cx="712343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885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-1990725</wp:posOffset>
            </wp:positionV>
            <wp:extent cx="712343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-1673225</wp:posOffset>
            </wp:positionV>
            <wp:extent cx="712343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885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-1296035</wp:posOffset>
            </wp:positionV>
            <wp:extent cx="712343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8859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-918845</wp:posOffset>
            </wp:positionV>
            <wp:extent cx="7123430"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-335915</wp:posOffset>
            </wp:positionV>
            <wp:extent cx="71234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- 10 -</w:t>
      </w:r>
    </w:p>
    <w:sectPr>
      <w:pgSz w:w="11900" w:h="16838" w:orient="portrait"/>
      <w:cols w:equalWidth="0" w:num="2">
        <w:col w:w="2280" w:space="40"/>
        <w:col w:w="8820"/>
      </w:cols>
      <w:pgMar w:left="420" w:top="1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2025-11-05T07:27:33Z</dcterms:created>
  <dcterms:modified xsi:type="dcterms:W3CDTF">2025-11-05T07:27:33Z</dcterms:modified>
</cp:coreProperties>
</file>