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199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1991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336"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jc w:val="center"/>
              <w:ind w:right="260"/>
              <w:spacing w:after="0"/>
              <w:rPr>
                <w:sz w:val="20"/>
                <w:szCs w:val="20"/>
                <w:color w:val="auto"/>
              </w:rPr>
            </w:pPr>
            <w:r>
              <w:rPr>
                <w:rFonts w:ascii="Arial" w:cs="Arial" w:eastAsia="Arial" w:hAnsi="Arial"/>
                <w:sz w:val="12"/>
                <w:szCs w:val="12"/>
                <w:b w:val="1"/>
                <w:bCs w:val="1"/>
                <w:color w:val="auto"/>
                <w:w w:val="95"/>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11/29/2024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56,250</w:t>
            </w:r>
          </w:p>
        </w:tc>
        <w:tc>
          <w:tcPr>
            <w:tcW w:w="1280" w:type="dxa"/>
            <w:vAlign w:val="bottom"/>
            <w:tcBorders>
              <w:bottom w:val="single" w:sz="8" w:color="2C2C2C"/>
            </w:tcBorders>
            <w:gridSpan w:val="2"/>
          </w:tcPr>
          <w:p>
            <w:pPr>
              <w:jc w:val="center"/>
              <w:ind w:left="91"/>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17.44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598,006</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14, 2024, as amended on August 13,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$17.12 to $17.65, inclusive. The reporting person undertakes to provide</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12/03/2024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2024-12-03T15:37:47Z</dcterms:created>
  <dcterms:modified xsi:type="dcterms:W3CDTF">2024-12-03T15:37:47Z</dcterms:modified>
</cp:coreProperties>
</file>