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Wang David 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ACM RESEARCH,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42307 OSGOOD ROAD, SUITE I</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FREMONT</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94539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ACM Research, Inc.</w:t>
              </w:r>
            </w:hyperlink>
            <w:r>
              <w:rPr/>
              <w:t xml:space="preserve"> [ </w:t>
            </w:r>
            <w:r>
              <w:rPr>
                <w:rFonts w:ascii="Times;serif" w:hAnsi="Times;serif"/>
                <w:color w:val="0000FF"/>
                <w:sz w:val="24"/>
                <w:shd w:fill="FFFFFF" w:val="clear"/>
              </w:rPr>
              <w:t>ACMR</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See Remarks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12/03/2025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66"/>
        <w:gridCol w:w="930"/>
        <w:gridCol w:w="799"/>
        <w:gridCol w:w="617"/>
        <w:gridCol w:w="342"/>
        <w:gridCol w:w="915"/>
        <w:gridCol w:w="421"/>
        <w:gridCol w:w="804"/>
        <w:gridCol w:w="1120"/>
        <w:gridCol w:w="971"/>
        <w:gridCol w:w="13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6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4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3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6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2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6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12/03/2025</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70,000</w:t>
            </w:r>
          </w:p>
        </w:tc>
        <w:tc>
          <w:tcPr>
            <w:tcW w:w="4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w:t>
            </w:r>
            <w:r>
              <w:rPr/>
              <w:t xml:space="preserve"> </w:t>
            </w:r>
          </w:p>
        </w:tc>
        <w:tc>
          <w:tcPr>
            <w:tcW w:w="11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872,708</w:t>
            </w:r>
          </w:p>
        </w:tc>
        <w:tc>
          <w:tcPr>
            <w:tcW w:w="9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6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12/03/2025</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68,800</w:t>
            </w:r>
          </w:p>
        </w:tc>
        <w:tc>
          <w:tcPr>
            <w:tcW w:w="4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33.05</w:t>
            </w:r>
            <w:r>
              <w:rPr>
                <w:rFonts w:ascii="Times;serif" w:hAnsi="Times;serif"/>
                <w:color w:val="008000"/>
                <w:position w:val="7"/>
                <w:sz w:val="16"/>
                <w:sz w:val="20"/>
                <w:shd w:fill="FFFFFF" w:val="clear"/>
              </w:rPr>
              <w:t>(2)</w:t>
            </w:r>
            <w:r>
              <w:rPr/>
              <w:t xml:space="preserve"> </w:t>
            </w:r>
          </w:p>
        </w:tc>
        <w:tc>
          <w:tcPr>
            <w:tcW w:w="11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803,908</w:t>
            </w:r>
          </w:p>
        </w:tc>
        <w:tc>
          <w:tcPr>
            <w:tcW w:w="9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6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12/03/2025</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1,200</w:t>
            </w:r>
          </w:p>
        </w:tc>
        <w:tc>
          <w:tcPr>
            <w:tcW w:w="4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33.56</w:t>
            </w:r>
            <w:r>
              <w:rPr>
                <w:rFonts w:ascii="Times;serif" w:hAnsi="Times;serif"/>
                <w:color w:val="008000"/>
                <w:position w:val="7"/>
                <w:sz w:val="16"/>
                <w:sz w:val="20"/>
                <w:shd w:fill="FFFFFF" w:val="clear"/>
              </w:rPr>
              <w:t>(3)</w:t>
            </w:r>
            <w:r>
              <w:rPr/>
              <w:t xml:space="preserve"> </w:t>
            </w:r>
          </w:p>
        </w:tc>
        <w:tc>
          <w:tcPr>
            <w:tcW w:w="11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802,708</w:t>
            </w:r>
          </w:p>
        </w:tc>
        <w:tc>
          <w:tcPr>
            <w:tcW w:w="9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6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12/04/2025</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60,000</w:t>
            </w:r>
          </w:p>
        </w:tc>
        <w:tc>
          <w:tcPr>
            <w:tcW w:w="4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w:t>
            </w:r>
            <w:r>
              <w:rPr/>
              <w:t xml:space="preserve"> </w:t>
            </w:r>
          </w:p>
        </w:tc>
        <w:tc>
          <w:tcPr>
            <w:tcW w:w="11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862,708</w:t>
            </w:r>
          </w:p>
        </w:tc>
        <w:tc>
          <w:tcPr>
            <w:tcW w:w="9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6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12/04/2025</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19,817</w:t>
            </w:r>
          </w:p>
        </w:tc>
        <w:tc>
          <w:tcPr>
            <w:tcW w:w="4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33.52</w:t>
            </w:r>
            <w:r>
              <w:rPr>
                <w:rFonts w:ascii="Times;serif" w:hAnsi="Times;serif"/>
                <w:color w:val="008000"/>
                <w:position w:val="7"/>
                <w:sz w:val="16"/>
                <w:sz w:val="20"/>
                <w:shd w:fill="FFFFFF" w:val="clear"/>
              </w:rPr>
              <w:t>(4)</w:t>
            </w:r>
            <w:r>
              <w:rPr/>
              <w:t xml:space="preserve"> </w:t>
            </w:r>
          </w:p>
        </w:tc>
        <w:tc>
          <w:tcPr>
            <w:tcW w:w="11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842,891</w:t>
            </w:r>
          </w:p>
        </w:tc>
        <w:tc>
          <w:tcPr>
            <w:tcW w:w="9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6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12/04/2025</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40,183</w:t>
            </w:r>
          </w:p>
        </w:tc>
        <w:tc>
          <w:tcPr>
            <w:tcW w:w="4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34.42</w:t>
            </w:r>
            <w:r>
              <w:rPr>
                <w:rFonts w:ascii="Times;serif" w:hAnsi="Times;serif"/>
                <w:color w:val="008000"/>
                <w:position w:val="7"/>
                <w:sz w:val="16"/>
                <w:sz w:val="20"/>
                <w:shd w:fill="FFFFFF" w:val="clear"/>
              </w:rPr>
              <w:t>(5)</w:t>
            </w:r>
            <w:r>
              <w:rPr/>
              <w:t xml:space="preserve"> </w:t>
            </w:r>
          </w:p>
        </w:tc>
        <w:tc>
          <w:tcPr>
            <w:tcW w:w="11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802,708</w:t>
            </w:r>
          </w:p>
        </w:tc>
        <w:tc>
          <w:tcPr>
            <w:tcW w:w="9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6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100,002</w:t>
            </w:r>
          </w:p>
        </w:tc>
        <w:tc>
          <w:tcPr>
            <w:tcW w:w="9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Jing Chen, wife of David H. Wang</w:t>
            </w:r>
          </w:p>
        </w:tc>
      </w:tr>
      <w:tr>
        <w:trPr/>
        <w:tc>
          <w:tcPr>
            <w:tcW w:w="196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45,837</w:t>
            </w:r>
          </w:p>
        </w:tc>
        <w:tc>
          <w:tcPr>
            <w:tcW w:w="9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Sophia Wang, daughter of David H. Wang</w:t>
            </w:r>
          </w:p>
        </w:tc>
      </w:tr>
      <w:tr>
        <w:trPr/>
        <w:tc>
          <w:tcPr>
            <w:tcW w:w="196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180,000</w:t>
            </w:r>
          </w:p>
        </w:tc>
        <w:tc>
          <w:tcPr>
            <w:tcW w:w="9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David Hui Wang and Jing Chen Family Irrevocable Trust for Wang Children</w:t>
            </w:r>
          </w:p>
        </w:tc>
      </w:tr>
      <w:tr>
        <w:trPr/>
        <w:tc>
          <w:tcPr>
            <w:tcW w:w="196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2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620,001</w:t>
            </w:r>
          </w:p>
        </w:tc>
        <w:tc>
          <w:tcPr>
            <w:tcW w:w="9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Wang-Chen Family Living Trust</w:t>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12/03/2025</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70,000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12/27/2026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540,002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12/04/2025</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60,000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12/27/2026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480,002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in this Form 4 were effected pursuant to a Rule 10b5-1 trading plan adopted by the reporting person on November 29, 2024.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 shares were sold in multiple transactions at prices ranging from $32.51 to $33.48,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 (2), (3), (4), and (5)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 shares were sold in multiple transactions at prices ranging from $33.53 to $33.59,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 shares were sold in multiple transactions at prices ranging from $33.07 to $34.04,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a weighted average price. The shares were sold in multiple transactions at prices ranging from $34.18 to $34.63,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option is fully vested and exercisable.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Chief Executive Officer, President and Director</w:t>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Mark McKechnie, Attorney-in-Fact for David H. Wang</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12/05/2025</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21580" TargetMode="External"/><Relationship Id="rId5" Type="http://schemas.openxmlformats.org/officeDocument/2006/relationships/hyperlink" Target="http://www.sec.gov/cgi-bin/browse-edgar?action=getcompany&amp;CIK=000168006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918</Words>
  <Characters>4748</Characters>
  <CharactersWithSpaces>5533</CharactersWithSpaces>
  <Paragraphs>185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