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59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1222" w:lineRule="exact"/>
        <w:rPr>
          <w:sz w:val="24"/>
          <w:szCs w:val="24"/>
          <w:color w:val="auto"/>
        </w:rPr>
      </w:pPr>
    </w:p>
    <w:p>
      <w:pPr>
        <w:sectPr>
          <w:pgSz w:w="11900" w:h="1688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Xing Xiao</w:t>
              </w:r>
            </w:hyperlink>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10/04/2024</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10/04/2024</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580,873</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21.33</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2,823,033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10/04/2024</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119,127</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21.79</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2,703,906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10/07/2024</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173,005</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23.32</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2,530,901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10/07/2024</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101,018</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25.35</w:t>
            </w:r>
            <w:r>
              <w:rPr>
                <w:rFonts w:ascii="Times New Roman" w:cs="Times New Roman" w:eastAsia="Times New Roman" w:hAnsi="Times New Roman"/>
                <w:sz w:val="22"/>
                <w:szCs w:val="22"/>
                <w:color w:val="008000"/>
                <w:vertAlign w:val="superscript"/>
              </w:rPr>
              <w:t>(6)</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2,429,883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10/07/2024</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977</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26.01</w:t>
            </w:r>
            <w:r>
              <w:rPr>
                <w:rFonts w:ascii="Times New Roman" w:cs="Times New Roman" w:eastAsia="Times New Roman" w:hAnsi="Times New Roman"/>
                <w:sz w:val="22"/>
                <w:szCs w:val="22"/>
                <w:color w:val="008000"/>
                <w:vertAlign w:val="superscript"/>
              </w:rPr>
              <w:t>(7)</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2,428,906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10/08/2024</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90,396</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21.13</w:t>
            </w:r>
            <w:r>
              <w:rPr>
                <w:rFonts w:ascii="Times New Roman" w:cs="Times New Roman" w:eastAsia="Times New Roman" w:hAnsi="Times New Roman"/>
                <w:sz w:val="22"/>
                <w:szCs w:val="22"/>
                <w:color w:val="008000"/>
                <w:vertAlign w:val="superscript"/>
              </w:rPr>
              <w:t>(8)</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2,338,510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Shanghai Science and Technology Venture Capital Co., Ltd. ("SSTVC") on June 12, 2024.</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$20.71 to $21.705,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(7) and (8)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SSTVC. The reporting person is an employee of an affiliate of SSTVC. The reporting person disclaims beneficial ownership of the shares owned by SSTVC except to the extent of the reporting person's pecuniary interest therein, and this report shall not be deemed an admission that such reporting person is the beneficial owner of such securities for purposes of Section 16 or otherwise.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$21.71 to $22.10,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$23.05 to $23.91,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$25.01 to $26.005,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$26.01 to $26.02,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$20.53 to $21.51, inclusive.</w:t>
      </w:r>
    </w:p>
    <w:p>
      <w:pPr>
        <w:sectPr>
          <w:pgSz w:w="11900" w:h="16884" w:orient="portrait"/>
          <w:cols w:equalWidth="0" w:num="1">
            <w:col w:w="11080"/>
          </w:cols>
          <w:pgMar w:left="460" w:top="219" w:right="359" w:bottom="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Xiao</w:t>
      </w:r>
      <w:r>
        <w:rPr>
          <w:sz w:val="20"/>
          <w:szCs w:val="20"/>
          <w:color w:val="auto"/>
        </w:rPr>
        <w:tab/>
      </w:r>
      <w:r>
        <w:rPr>
          <w:rFonts w:ascii="Times New Roman" w:cs="Times New Roman" w:eastAsia="Times New Roman" w:hAnsi="Times New Roman"/>
          <w:sz w:val="17"/>
          <w:szCs w:val="17"/>
          <w:color w:val="0000FF"/>
        </w:rPr>
        <w:t>10/08/2024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9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9710" cy="8255"/>
                    </a:xfrm>
                    <a:prstGeom prst="rect">
                      <a:avLst/>
                    </a:prstGeom>
                    <a:noFill/>
                  </pic:spPr>
                </pic:pic>
              </a:graphicData>
            </a:graphic>
          </wp:anchor>
        </w:drawing>
      </w:r>
    </w:p>
    <w:p>
      <w:pPr>
        <w:sectPr>
          <w:pgSz w:w="11900" w:h="16884"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7836"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2024-10-08T20:36:10Z</dcterms:created>
  <dcterms:modified xsi:type="dcterms:W3CDTF">2024-10-08T20:36:10Z</dcterms:modified>
</cp:coreProperties>
</file>