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8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20" w:type="dxa"/>
            <w:vAlign w:val="bottom"/>
            <w:gridSpan w:val="3"/>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Shanghai Science &amp;</w:t>
              </w:r>
            </w:hyperlink>
          </w:p>
        </w:tc>
        <w:tc>
          <w:tcPr>
            <w:tcW w:w="1580" w:type="dxa"/>
            <w:vAlign w:val="bottom"/>
          </w:tcPr>
          <w:p>
            <w:pPr>
              <w:ind w:left="200"/>
              <w:spacing w:after="0" w:line="139" w:lineRule="exact"/>
              <w:rPr>
                <w:sz w:val="20"/>
                <w:szCs w:val="20"/>
                <w:color w:val="auto"/>
              </w:rPr>
            </w:pPr>
            <w:r>
              <w:rPr>
                <w:rFonts w:ascii="Arial" w:cs="Arial" w:eastAsia="Arial" w:hAnsi="Arial"/>
                <w:sz w:val="15"/>
                <w:szCs w:val="15"/>
                <w:color w:val="auto"/>
                <w:w w:val="99"/>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20" w:type="dxa"/>
            <w:vAlign w:val="bottom"/>
            <w:gridSpan w:val="3"/>
            <w:vMerge w:val="continue"/>
          </w:tcPr>
          <w:p>
            <w:pPr>
              <w:spacing w:after="0"/>
              <w:rPr>
                <w:sz w:val="13"/>
                <w:szCs w:val="13"/>
                <w:color w:val="auto"/>
              </w:rPr>
            </w:pPr>
          </w:p>
        </w:tc>
        <w:tc>
          <w:tcPr>
            <w:tcW w:w="1580" w:type="dxa"/>
            <w:vAlign w:val="bottom"/>
          </w:tcPr>
          <w:p>
            <w:pPr>
              <w:ind w:left="20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vMerge w:val="restart"/>
          </w:tcPr>
          <w:p>
            <w:pPr>
              <w:ind w:left="200"/>
              <w:spacing w:after="0"/>
              <w:rPr>
                <w:sz w:val="20"/>
                <w:szCs w:val="20"/>
                <w:color w:val="auto"/>
              </w:rPr>
            </w:pPr>
            <w:r>
              <w:rPr>
                <w:rFonts w:ascii="Arial" w:cs="Arial" w:eastAsia="Arial" w:hAnsi="Arial"/>
                <w:sz w:val="20"/>
                <w:szCs w:val="20"/>
                <w:color w:val="0000FF"/>
              </w:rPr>
              <w:t>05/29/2023</w:t>
            </w: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020" w:type="dxa"/>
            <w:vAlign w:val="bottom"/>
            <w:gridSpan w:val="3"/>
          </w:tcPr>
          <w:p>
            <w:pPr>
              <w:spacing w:after="0" w:line="250" w:lineRule="exact"/>
              <w:rPr>
                <w:rFonts w:ascii="Arial" w:cs="Arial" w:eastAsia="Arial" w:hAnsi="Arial"/>
                <w:sz w:val="24"/>
                <w:szCs w:val="24"/>
                <w:color w:val="0000EE"/>
              </w:rPr>
            </w:pPr>
            <w:hyperlink r:id="rId10">
              <w:r>
                <w:rPr>
                  <w:rFonts w:ascii="Arial" w:cs="Arial" w:eastAsia="Arial" w:hAnsi="Arial"/>
                  <w:sz w:val="24"/>
                  <w:szCs w:val="24"/>
                  <w:color w:val="0000EE"/>
                </w:rPr>
                <w:t>Technology Venture Capital</w:t>
              </w:r>
            </w:hyperlink>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 w:lineRule="exact"/>
        <w:rPr>
          <w:sz w:val="20"/>
          <w:szCs w:val="20"/>
          <w:color w:val="auto"/>
        </w:rPr>
      </w:pP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(Group) Co., Ltd.</w:t>
        </w:r>
      </w:hyperlink>
    </w:p>
    <w:p>
      <w:pPr>
        <w:spacing w:after="0" w:line="36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0"/>
          <w:szCs w:val="20"/>
          <w:color w:val="auto"/>
        </w:rPr>
      </w:pPr>
    </w:p>
    <w:p>
      <w:pPr>
        <w:ind w:left="140" w:right="2120"/>
        <w:spacing w:after="0" w:line="269" w:lineRule="auto"/>
        <w:rPr>
          <w:sz w:val="20"/>
          <w:szCs w:val="20"/>
          <w:color w:val="auto"/>
        </w:rPr>
      </w:pPr>
      <w:r>
        <w:rPr>
          <w:rFonts w:ascii="Arial" w:cs="Arial" w:eastAsia="Arial" w:hAnsi="Arial"/>
          <w:sz w:val="20"/>
          <w:szCs w:val="20"/>
          <w:color w:val="0000FF"/>
        </w:rPr>
        <w:t>FLOOR 16-17, #118 RONGKE ROAD</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PUDONG DISTRICT</w:t>
      </w:r>
    </w:p>
    <w:p>
      <w:pPr>
        <w:spacing w:after="0" w:line="324"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16"/>
                <w:szCs w:val="16"/>
                <w:color w:val="auto"/>
              </w:rPr>
            </w:pPr>
          </w:p>
        </w:tc>
      </w:tr>
      <w:tr>
        <w:trPr>
          <w:trHeight w:val="269"/>
        </w:trPr>
        <w:tc>
          <w:tcPr>
            <w:tcW w:w="1720" w:type="dxa"/>
            <w:vAlign w:val="bottom"/>
          </w:tcPr>
          <w:p>
            <w:pPr>
              <w:ind w:left="40"/>
              <w:spacing w:after="0"/>
              <w:rPr>
                <w:sz w:val="20"/>
                <w:szCs w:val="20"/>
                <w:color w:val="auto"/>
              </w:rPr>
            </w:pPr>
            <w:r>
              <w:rPr>
                <w:rFonts w:ascii="Arial" w:cs="Arial" w:eastAsia="Arial" w:hAnsi="Arial"/>
                <w:sz w:val="20"/>
                <w:szCs w:val="20"/>
                <w:color w:val="0000FF"/>
              </w:rPr>
              <w:t>SHANGHAI F4</w:t>
            </w:r>
          </w:p>
        </w:tc>
        <w:tc>
          <w:tcPr>
            <w:tcW w:w="980" w:type="dxa"/>
            <w:vAlign w:val="bottom"/>
          </w:tcPr>
          <w:p>
            <w:pPr>
              <w:jc w:val="right"/>
              <w:spacing w:after="0"/>
              <w:rPr>
                <w:sz w:val="20"/>
                <w:szCs w:val="20"/>
                <w:color w:val="auto"/>
              </w:rPr>
            </w:pPr>
            <w:r>
              <w:rPr>
                <w:rFonts w:ascii="Arial" w:cs="Arial" w:eastAsia="Arial" w:hAnsi="Arial"/>
                <w:sz w:val="20"/>
                <w:szCs w:val="20"/>
                <w:color w:val="0000FF"/>
              </w:rPr>
              <w:t>201203</w:t>
            </w:r>
          </w:p>
        </w:tc>
      </w:tr>
    </w:tbl>
    <w:p>
      <w:pPr>
        <w:spacing w:after="0" w:line="35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20" w:type="dxa"/>
            <w:vAlign w:val="bottom"/>
            <w:gridSpan w:val="2"/>
          </w:tcPr>
          <w:p>
            <w:pPr>
              <w:ind w:left="80"/>
              <w:spacing w:after="0"/>
              <w:rPr>
                <w:sz w:val="20"/>
                <w:szCs w:val="20"/>
                <w:color w:val="auto"/>
              </w:rPr>
            </w:pPr>
            <w:r>
              <w:rPr>
                <w:rFonts w:ascii="Arial" w:cs="Arial" w:eastAsia="Arial" w:hAnsi="Arial"/>
                <w:sz w:val="15"/>
                <w:szCs w:val="15"/>
                <w:color w:val="auto"/>
                <w:w w:val="95"/>
              </w:rPr>
              <w:t>3.</w:t>
            </w:r>
          </w:p>
        </w:tc>
        <w:tc>
          <w:tcPr>
            <w:tcW w:w="3000" w:type="dxa"/>
            <w:vAlign w:val="bottom"/>
            <w:gridSpan w:val="3"/>
          </w:tcPr>
          <w:p>
            <w:pPr>
              <w:ind w:left="20"/>
              <w:spacing w:after="0"/>
              <w:rPr>
                <w:sz w:val="20"/>
                <w:szCs w:val="20"/>
                <w:color w:val="auto"/>
              </w:rPr>
            </w:pPr>
            <w:r>
              <w:rPr>
                <w:rFonts w:ascii="Arial" w:cs="Arial" w:eastAsia="Arial" w:hAnsi="Arial"/>
                <w:sz w:val="15"/>
                <w:szCs w:val="15"/>
                <w:color w:val="auto"/>
              </w:rPr>
              <w:t xml:space="preserve">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tc>
        <w:tc>
          <w:tcPr>
            <w:tcW w:w="2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3140" w:type="dxa"/>
            <w:vAlign w:val="bottom"/>
            <w:gridSpan w:val="4"/>
          </w:tcPr>
          <w:p>
            <w:pPr>
              <w:spacing w:after="0" w:line="249" w:lineRule="exact"/>
              <w:rPr>
                <w:rFonts w:ascii="Arial" w:cs="Arial" w:eastAsia="Arial" w:hAnsi="Arial"/>
                <w:sz w:val="24"/>
                <w:szCs w:val="24"/>
                <w:color w:val="0000EE"/>
              </w:rPr>
            </w:pPr>
            <w:hyperlink r:id="rId11">
              <w:r>
                <w:rPr>
                  <w:rFonts w:ascii="Arial" w:cs="Arial" w:eastAsia="Arial" w:hAnsi="Arial"/>
                  <w:sz w:val="24"/>
                  <w:szCs w:val="24"/>
                  <w:color w:val="0000EE"/>
                </w:rPr>
                <w:t xml:space="preserve">ACM Research, Inc.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ACM</w:t>
            </w:r>
            <w:r>
              <w:rPr>
                <w:rFonts w:ascii="Arial" w:cs="Arial" w:eastAsia="Arial" w:hAnsi="Arial"/>
                <w:sz w:val="24"/>
                <w:szCs w:val="24"/>
                <w:color w:val="0000EE"/>
              </w:rPr>
              <w:t xml:space="preserve"> </w:t>
            </w:r>
            <w:r>
              <w:rPr>
                <w:rFonts w:ascii="Arial" w:cs="Arial" w:eastAsia="Arial" w:hAnsi="Arial"/>
                <w:sz w:val="24"/>
                <w:szCs w:val="24"/>
                <w:color w:val="000000"/>
              </w:rPr>
              <w:t>]</w:t>
            </w: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80" w:type="dxa"/>
            <w:vAlign w:val="bottom"/>
            <w:tcBorders>
              <w:bottom w:val="single" w:sz="8" w:color="2C2C2C"/>
            </w:tcBorders>
          </w:tcPr>
          <w:p>
            <w:pPr>
              <w:spacing w:after="0"/>
              <w:rPr>
                <w:sz w:val="8"/>
                <w:szCs w:val="8"/>
                <w:color w:val="auto"/>
              </w:rPr>
            </w:pPr>
          </w:p>
        </w:tc>
        <w:tc>
          <w:tcPr>
            <w:tcW w:w="140" w:type="dxa"/>
            <w:vAlign w:val="bottom"/>
            <w:tcBorders>
              <w:top w:val="single" w:sz="8" w:color="0000EE"/>
              <w:bottom w:val="single" w:sz="8" w:color="2C2C2C"/>
            </w:tcBorders>
          </w:tcPr>
          <w:p>
            <w:pPr>
              <w:spacing w:after="0"/>
              <w:rPr>
                <w:sz w:val="8"/>
                <w:szCs w:val="8"/>
                <w:color w:val="auto"/>
              </w:rPr>
            </w:pPr>
          </w:p>
        </w:tc>
        <w:tc>
          <w:tcPr>
            <w:tcW w:w="1440" w:type="dxa"/>
            <w:vAlign w:val="bottom"/>
            <w:tcBorders>
              <w:top w:val="single" w:sz="8" w:color="0000EE"/>
              <w:bottom w:val="single" w:sz="8" w:color="2C2C2C"/>
            </w:tcBorders>
          </w:tcPr>
          <w:p>
            <w:pPr>
              <w:spacing w:after="0"/>
              <w:rPr>
                <w:sz w:val="8"/>
                <w:szCs w:val="8"/>
                <w:color w:val="auto"/>
              </w:rPr>
            </w:pPr>
          </w:p>
        </w:tc>
        <w:tc>
          <w:tcPr>
            <w:tcW w:w="400" w:type="dxa"/>
            <w:vAlign w:val="bottom"/>
            <w:tcBorders>
              <w:top w:val="single" w:sz="8" w:color="0000EE"/>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20" w:type="dxa"/>
            <w:vAlign w:val="bottom"/>
            <w:gridSpan w:val="2"/>
          </w:tcPr>
          <w:p>
            <w:pPr>
              <w:ind w:left="80"/>
              <w:spacing w:after="0"/>
              <w:rPr>
                <w:sz w:val="20"/>
                <w:szCs w:val="20"/>
                <w:color w:val="auto"/>
              </w:rPr>
            </w:pPr>
            <w:r>
              <w:rPr>
                <w:rFonts w:ascii="Arial" w:cs="Arial" w:eastAsia="Arial" w:hAnsi="Arial"/>
                <w:sz w:val="15"/>
                <w:szCs w:val="15"/>
                <w:color w:val="auto"/>
                <w:w w:val="95"/>
              </w:rPr>
              <w:t>4.</w:t>
            </w:r>
          </w:p>
        </w:tc>
        <w:tc>
          <w:tcPr>
            <w:tcW w:w="3000" w:type="dxa"/>
            <w:vAlign w:val="bottom"/>
            <w:gridSpan w:val="3"/>
          </w:tcPr>
          <w:p>
            <w:pPr>
              <w:ind w:left="20"/>
              <w:spacing w:after="0"/>
              <w:rPr>
                <w:sz w:val="20"/>
                <w:szCs w:val="20"/>
                <w:color w:val="auto"/>
              </w:rPr>
            </w:pPr>
            <w:r>
              <w:rPr>
                <w:rFonts w:ascii="Arial" w:cs="Arial" w:eastAsia="Arial" w:hAnsi="Arial"/>
                <w:sz w:val="15"/>
                <w:szCs w:val="15"/>
                <w:color w:val="auto"/>
              </w:rPr>
              <w:t>Relationship of Reporting Person(s) to</w:t>
            </w:r>
          </w:p>
        </w:tc>
        <w:tc>
          <w:tcPr>
            <w:tcW w:w="2780" w:type="dxa"/>
            <w:vAlign w:val="bottom"/>
          </w:tcPr>
          <w:p>
            <w:pPr>
              <w:ind w:left="140"/>
              <w:spacing w:after="0"/>
              <w:rPr>
                <w:sz w:val="20"/>
                <w:szCs w:val="20"/>
                <w:color w:val="auto"/>
              </w:rPr>
            </w:pPr>
            <w:r>
              <w:rPr>
                <w:rFonts w:ascii="Arial" w:cs="Arial" w:eastAsia="Arial" w:hAnsi="Arial"/>
                <w:sz w:val="15"/>
                <w:szCs w:val="15"/>
                <w:color w:val="auto"/>
              </w:rPr>
              <w:t>5. If Amendment, Date of Original</w:t>
            </w:r>
          </w:p>
        </w:tc>
        <w:tc>
          <w:tcPr>
            <w:tcW w:w="0" w:type="dxa"/>
            <w:vAlign w:val="bottom"/>
          </w:tcPr>
          <w:p>
            <w:pPr>
              <w:spacing w:after="0"/>
              <w:rPr>
                <w:sz w:val="1"/>
                <w:szCs w:val="1"/>
                <w:color w:val="auto"/>
              </w:rPr>
            </w:pPr>
          </w:p>
        </w:tc>
      </w:tr>
      <w:tr>
        <w:trPr>
          <w:trHeight w:val="165"/>
        </w:trPr>
        <w:tc>
          <w:tcPr>
            <w:tcW w:w="80" w:type="dxa"/>
            <w:vAlign w:val="bottom"/>
          </w:tcPr>
          <w:p>
            <w:pPr>
              <w:spacing w:after="0"/>
              <w:rPr>
                <w:sz w:val="14"/>
                <w:szCs w:val="14"/>
                <w:color w:val="auto"/>
              </w:rPr>
            </w:pPr>
          </w:p>
        </w:tc>
        <w:tc>
          <w:tcPr>
            <w:tcW w:w="1580" w:type="dxa"/>
            <w:vAlign w:val="bottom"/>
            <w:gridSpan w:val="2"/>
          </w:tcPr>
          <w:p>
            <w:pPr>
              <w:spacing w:after="0" w:line="165" w:lineRule="exact"/>
              <w:rPr>
                <w:sz w:val="20"/>
                <w:szCs w:val="20"/>
                <w:color w:val="auto"/>
              </w:rPr>
            </w:pPr>
            <w:r>
              <w:rPr>
                <w:rFonts w:ascii="Arial" w:cs="Arial" w:eastAsia="Arial" w:hAnsi="Arial"/>
                <w:sz w:val="15"/>
                <w:szCs w:val="15"/>
                <w:color w:val="auto"/>
              </w:rPr>
              <w:t>Issuer</w:t>
            </w: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80" w:type="dxa"/>
            <w:vAlign w:val="bottom"/>
          </w:tcPr>
          <w:p>
            <w:pPr>
              <w:ind w:left="14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158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400" w:type="dxa"/>
            <w:vAlign w:val="bottom"/>
            <w:vMerge w:val="restart"/>
          </w:tcPr>
          <w:p>
            <w:pPr>
              <w:ind w:left="140"/>
              <w:spacing w:after="0"/>
              <w:rPr>
                <w:sz w:val="20"/>
                <w:szCs w:val="20"/>
                <w:color w:val="auto"/>
              </w:rPr>
            </w:pPr>
            <w:r>
              <w:rPr>
                <w:rFonts w:ascii="Arial" w:cs="Arial" w:eastAsia="Arial" w:hAnsi="Arial"/>
                <w:sz w:val="20"/>
                <w:szCs w:val="20"/>
                <w:color w:val="0000FF"/>
              </w:rPr>
              <w:t>X</w:t>
            </w:r>
          </w:p>
        </w:tc>
        <w:tc>
          <w:tcPr>
            <w:tcW w:w="1160" w:type="dxa"/>
            <w:vAlign w:val="bottom"/>
          </w:tcPr>
          <w:p>
            <w:pPr>
              <w:spacing w:after="0"/>
              <w:rPr>
                <w:sz w:val="21"/>
                <w:szCs w:val="21"/>
                <w:color w:val="auto"/>
              </w:rPr>
            </w:pPr>
          </w:p>
        </w:tc>
        <w:tc>
          <w:tcPr>
            <w:tcW w:w="2780" w:type="dxa"/>
            <w:vAlign w:val="bottom"/>
          </w:tcPr>
          <w:p>
            <w:pPr>
              <w:ind w:left="140"/>
              <w:spacing w:after="0"/>
              <w:rPr>
                <w:sz w:val="20"/>
                <w:szCs w:val="20"/>
                <w:color w:val="auto"/>
              </w:rPr>
            </w:pPr>
            <w:r>
              <w:rPr>
                <w:rFonts w:ascii="Arial" w:cs="Arial" w:eastAsia="Arial" w:hAnsi="Arial"/>
                <w:sz w:val="20"/>
                <w:szCs w:val="20"/>
                <w:color w:val="0000FF"/>
              </w:rPr>
              <w:t>06/13/2023</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ind w:left="380"/>
              <w:spacing w:after="0"/>
              <w:rPr>
                <w:sz w:val="20"/>
                <w:szCs w:val="20"/>
                <w:color w:val="auto"/>
              </w:rPr>
            </w:pPr>
            <w:r>
              <w:rPr>
                <w:rFonts w:ascii="Arial" w:cs="Arial" w:eastAsia="Arial" w:hAnsi="Arial"/>
                <w:sz w:val="15"/>
                <w:szCs w:val="15"/>
                <w:color w:val="auto"/>
              </w:rPr>
              <w:t>Director</w:t>
            </w:r>
          </w:p>
        </w:tc>
        <w:tc>
          <w:tcPr>
            <w:tcW w:w="400" w:type="dxa"/>
            <w:vAlign w:val="bottom"/>
            <w:vMerge w:val="continue"/>
          </w:tcPr>
          <w:p>
            <w:pPr>
              <w:spacing w:after="0"/>
              <w:rPr>
                <w:sz w:val="18"/>
                <w:szCs w:val="18"/>
                <w:color w:val="auto"/>
              </w:rPr>
            </w:pPr>
          </w:p>
        </w:tc>
        <w:tc>
          <w:tcPr>
            <w:tcW w:w="1160" w:type="dxa"/>
            <w:vAlign w:val="bottom"/>
          </w:tcPr>
          <w:p>
            <w:pPr>
              <w:ind w:left="80"/>
              <w:spacing w:after="0"/>
              <w:rPr>
                <w:sz w:val="20"/>
                <w:szCs w:val="20"/>
                <w:color w:val="auto"/>
              </w:rPr>
            </w:pPr>
            <w:r>
              <w:rPr>
                <w:rFonts w:ascii="Arial" w:cs="Arial" w:eastAsia="Arial" w:hAnsi="Arial"/>
                <w:sz w:val="15"/>
                <w:szCs w:val="15"/>
                <w:color w:val="auto"/>
              </w:rPr>
              <w:t>10% Owner</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ind w:left="380"/>
              <w:spacing w:after="0"/>
              <w:rPr>
                <w:sz w:val="20"/>
                <w:szCs w:val="20"/>
                <w:color w:val="auto"/>
              </w:rPr>
            </w:pPr>
            <w:r>
              <w:rPr>
                <w:rFonts w:ascii="Arial" w:cs="Arial" w:eastAsia="Arial" w:hAnsi="Arial"/>
                <w:sz w:val="15"/>
                <w:szCs w:val="15"/>
                <w:color w:val="auto"/>
              </w:rPr>
              <w:t>Officer (give</w:t>
            </w:r>
          </w:p>
        </w:tc>
        <w:tc>
          <w:tcPr>
            <w:tcW w:w="400" w:type="dxa"/>
            <w:vAlign w:val="bottom"/>
          </w:tcPr>
          <w:p>
            <w:pPr>
              <w:ind w:left="140"/>
              <w:spacing w:after="0" w:line="227" w:lineRule="exact"/>
              <w:rPr>
                <w:sz w:val="20"/>
                <w:szCs w:val="20"/>
                <w:color w:val="auto"/>
              </w:rPr>
            </w:pPr>
            <w:r>
              <w:rPr>
                <w:rFonts w:ascii="Arial" w:cs="Arial" w:eastAsia="Arial" w:hAnsi="Arial"/>
                <w:sz w:val="20"/>
                <w:szCs w:val="20"/>
                <w:color w:val="0000FF"/>
              </w:rPr>
              <w:t>X</w:t>
            </w:r>
          </w:p>
        </w:tc>
        <w:tc>
          <w:tcPr>
            <w:tcW w:w="1160" w:type="dxa"/>
            <w:vAlign w:val="bottom"/>
          </w:tcPr>
          <w:p>
            <w:pPr>
              <w:ind w:left="80"/>
              <w:spacing w:after="0"/>
              <w:rPr>
                <w:sz w:val="20"/>
                <w:szCs w:val="20"/>
                <w:color w:val="auto"/>
              </w:rPr>
            </w:pPr>
            <w:r>
              <w:rPr>
                <w:rFonts w:ascii="Arial" w:cs="Arial" w:eastAsia="Arial" w:hAnsi="Arial"/>
                <w:sz w:val="15"/>
                <w:szCs w:val="15"/>
                <w:color w:val="auto"/>
              </w:rPr>
              <w:t>Other (specify</w:t>
            </w: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ind w:left="380"/>
              <w:spacing w:after="0"/>
              <w:rPr>
                <w:sz w:val="20"/>
                <w:szCs w:val="20"/>
                <w:color w:val="auto"/>
              </w:rPr>
            </w:pPr>
            <w:r>
              <w:rPr>
                <w:rFonts w:ascii="Arial" w:cs="Arial" w:eastAsia="Arial" w:hAnsi="Arial"/>
                <w:sz w:val="15"/>
                <w:szCs w:val="15"/>
                <w:color w:val="auto"/>
              </w:rPr>
              <w:t>title below)</w:t>
            </w:r>
          </w:p>
        </w:tc>
        <w:tc>
          <w:tcPr>
            <w:tcW w:w="400" w:type="dxa"/>
            <w:vAlign w:val="bottom"/>
          </w:tcPr>
          <w:p>
            <w:pPr>
              <w:spacing w:after="0"/>
              <w:rPr>
                <w:sz w:val="16"/>
                <w:szCs w:val="16"/>
                <w:color w:val="auto"/>
              </w:rPr>
            </w:pPr>
          </w:p>
        </w:tc>
        <w:tc>
          <w:tcPr>
            <w:tcW w:w="1160" w:type="dxa"/>
            <w:vAlign w:val="bottom"/>
          </w:tcPr>
          <w:p>
            <w:pPr>
              <w:ind w:left="80"/>
              <w:spacing w:after="0"/>
              <w:rPr>
                <w:sz w:val="20"/>
                <w:szCs w:val="20"/>
                <w:color w:val="auto"/>
              </w:rPr>
            </w:pPr>
            <w:r>
              <w:rPr>
                <w:rFonts w:ascii="Arial" w:cs="Arial" w:eastAsia="Arial" w:hAnsi="Arial"/>
                <w:sz w:val="15"/>
                <w:szCs w:val="15"/>
                <w:color w:val="auto"/>
              </w:rPr>
              <w:t>below)</w:t>
            </w: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20"/>
        <w:spacing w:after="0"/>
        <w:rPr>
          <w:sz w:val="20"/>
          <w:szCs w:val="20"/>
          <w:color w:val="auto"/>
        </w:rPr>
      </w:pPr>
      <w:r>
        <w:rPr>
          <w:rFonts w:ascii="Arial" w:cs="Arial" w:eastAsia="Arial" w:hAnsi="Arial"/>
          <w:sz w:val="20"/>
          <w:szCs w:val="20"/>
          <w:color w:val="0000FF"/>
        </w:rPr>
        <w:t>Possible member of 10% group</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60"/>
        <w:spacing w:after="0"/>
        <w:rPr>
          <w:sz w:val="20"/>
          <w:szCs w:val="20"/>
          <w:color w:val="auto"/>
        </w:rPr>
      </w:pPr>
      <w:r>
        <w:rPr>
          <w:rFonts w:ascii="Arial" w:cs="Arial" w:eastAsia="Arial" w:hAnsi="Arial"/>
          <w:sz w:val="15"/>
          <w:szCs w:val="15"/>
          <w:color w:val="auto"/>
        </w:rPr>
        <w:t>6. Individual or Joint/Group Filing</w:t>
      </w:r>
    </w:p>
    <w:p>
      <w:pPr>
        <w:spacing w:after="0" w:line="3" w:lineRule="exact"/>
        <w:rPr>
          <w:sz w:val="20"/>
          <w:szCs w:val="20"/>
          <w:color w:val="auto"/>
        </w:rPr>
      </w:pPr>
    </w:p>
    <w:p>
      <w:pPr>
        <w:ind w:left="3360"/>
        <w:spacing w:after="0"/>
        <w:rPr>
          <w:sz w:val="20"/>
          <w:szCs w:val="20"/>
          <w:color w:val="auto"/>
        </w:rPr>
      </w:pPr>
      <w:r>
        <w:rPr>
          <w:rFonts w:ascii="Arial" w:cs="Arial" w:eastAsia="Arial" w:hAnsi="Arial"/>
          <w:sz w:val="15"/>
          <w:szCs w:val="15"/>
          <w:color w:val="auto"/>
        </w:rPr>
        <w:t>(Check Applicable Line)</w:t>
      </w:r>
    </w:p>
    <w:p>
      <w:pPr>
        <w:spacing w:after="0" w:line="28" w:lineRule="exact"/>
        <w:rPr>
          <w:sz w:val="20"/>
          <w:szCs w:val="20"/>
          <w:color w:val="auto"/>
        </w:rPr>
      </w:pPr>
    </w:p>
    <w:p>
      <w:pPr>
        <w:ind w:left="3800"/>
        <w:spacing w:after="0"/>
        <w:rPr>
          <w:sz w:val="20"/>
          <w:szCs w:val="20"/>
          <w:color w:val="auto"/>
        </w:rPr>
      </w:pPr>
      <w:r>
        <w:rPr>
          <w:rFonts w:ascii="Arial" w:cs="Arial" w:eastAsia="Arial" w:hAnsi="Arial"/>
          <w:sz w:val="15"/>
          <w:szCs w:val="15"/>
          <w:color w:val="auto"/>
        </w:rPr>
        <w:t>Form filed by One Reporting</w:t>
      </w:r>
    </w:p>
    <w:p>
      <w:pPr>
        <w:spacing w:after="0" w:line="3" w:lineRule="exact"/>
        <w:rPr>
          <w:sz w:val="20"/>
          <w:szCs w:val="20"/>
          <w:color w:val="auto"/>
        </w:rPr>
      </w:pPr>
    </w:p>
    <w:p>
      <w:pPr>
        <w:ind w:left="3800"/>
        <w:spacing w:after="0"/>
        <w:rPr>
          <w:sz w:val="20"/>
          <w:szCs w:val="20"/>
          <w:color w:val="auto"/>
        </w:rPr>
      </w:pPr>
      <w:r>
        <w:rPr>
          <w:rFonts w:ascii="Arial" w:cs="Arial" w:eastAsia="Arial" w:hAnsi="Arial"/>
          <w:sz w:val="15"/>
          <w:szCs w:val="15"/>
          <w:color w:val="auto"/>
        </w:rPr>
        <w:t>Person</w:t>
      </w:r>
    </w:p>
    <w:p>
      <w:pPr>
        <w:ind w:left="3500"/>
        <w:spacing w:after="0"/>
        <w:tabs>
          <w:tab w:leader="none" w:pos="3780"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Form filed by More than One</w:t>
      </w:r>
    </w:p>
    <w:p>
      <w:pPr>
        <w:spacing w:after="0" w:line="1" w:lineRule="exact"/>
        <w:rPr>
          <w:sz w:val="20"/>
          <w:szCs w:val="20"/>
          <w:color w:val="auto"/>
        </w:rPr>
      </w:pPr>
    </w:p>
    <w:p>
      <w:pPr>
        <w:ind w:left="3800"/>
        <w:spacing w:after="0"/>
        <w:rPr>
          <w:sz w:val="20"/>
          <w:szCs w:val="20"/>
          <w:color w:val="auto"/>
        </w:rPr>
      </w:pPr>
      <w:r>
        <w:rPr>
          <w:rFonts w:ascii="Arial" w:cs="Arial" w:eastAsia="Arial" w:hAnsi="Arial"/>
          <w:sz w:val="15"/>
          <w:szCs w:val="15"/>
          <w:color w:val="auto"/>
        </w:rPr>
        <w:t>Reporting Person</w:t>
      </w:r>
    </w:p>
    <w:p>
      <w:pPr>
        <w:spacing w:after="0" w:line="198" w:lineRule="exact"/>
        <w:rPr>
          <w:sz w:val="20"/>
          <w:szCs w:val="20"/>
          <w:color w:val="auto"/>
        </w:rPr>
      </w:pPr>
    </w:p>
    <w:p>
      <w:pPr>
        <w:sectPr>
          <w:pgSz w:w="11900" w:h="16838" w:orient="portrait"/>
          <w:cols w:equalWidth="0" w:num="2">
            <w:col w:w="4740" w:space="180"/>
            <w:col w:w="6020"/>
          </w:cols>
          <w:pgMar w:left="480" w:top="236"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2"/>
          </w:tcPr>
          <w:p>
            <w:pPr>
              <w:ind w:left="540"/>
              <w:spacing w:after="0"/>
              <w:rPr>
                <w:sz w:val="20"/>
                <w:szCs w:val="20"/>
                <w:color w:val="auto"/>
              </w:rPr>
            </w:pPr>
            <w:r>
              <w:rPr>
                <w:rFonts w:ascii="Arial" w:cs="Arial" w:eastAsia="Arial" w:hAnsi="Arial"/>
                <w:sz w:val="15"/>
                <w:szCs w:val="15"/>
                <w:b w:val="1"/>
                <w:bCs w:val="1"/>
                <w:color w:val="auto"/>
              </w:rPr>
              <w:t>2. Amount of Securities</w:t>
            </w:r>
          </w:p>
        </w:tc>
        <w:tc>
          <w:tcPr>
            <w:tcW w:w="1340" w:type="dxa"/>
            <w:vAlign w:val="bottom"/>
            <w:gridSpan w:val="3"/>
          </w:tcPr>
          <w:p>
            <w:pPr>
              <w:ind w:left="1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2"/>
          </w:tcPr>
          <w:p>
            <w:pPr>
              <w:ind w:left="54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40" w:type="dxa"/>
            <w:vAlign w:val="bottom"/>
            <w:gridSpan w:val="3"/>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gridSpan w:val="2"/>
          </w:tcPr>
          <w:p>
            <w:pPr>
              <w:ind w:left="740"/>
              <w:spacing w:after="0" w:line="165" w:lineRule="exact"/>
              <w:rPr>
                <w:sz w:val="20"/>
                <w:szCs w:val="20"/>
                <w:color w:val="auto"/>
              </w:rPr>
            </w:pPr>
            <w:r>
              <w:rPr>
                <w:rFonts w:ascii="Arial" w:cs="Arial" w:eastAsia="Arial" w:hAnsi="Arial"/>
                <w:sz w:val="15"/>
                <w:szCs w:val="15"/>
                <w:b w:val="1"/>
                <w:bCs w:val="1"/>
                <w:color w:val="auto"/>
              </w:rPr>
              <w:t>4)</w:t>
            </w:r>
          </w:p>
        </w:tc>
        <w:tc>
          <w:tcPr>
            <w:tcW w:w="1760" w:type="dxa"/>
            <w:vAlign w:val="bottom"/>
          </w:tcPr>
          <w:p>
            <w:pPr>
              <w:spacing w:after="0"/>
              <w:rPr>
                <w:sz w:val="14"/>
                <w:szCs w:val="14"/>
                <w:color w:val="auto"/>
              </w:rPr>
            </w:pPr>
          </w:p>
        </w:tc>
        <w:tc>
          <w:tcPr>
            <w:tcW w:w="1340" w:type="dxa"/>
            <w:vAlign w:val="bottom"/>
            <w:gridSpan w:val="3"/>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40" w:type="dxa"/>
            <w:vAlign w:val="bottom"/>
            <w:gridSpan w:val="3"/>
          </w:tcPr>
          <w:p>
            <w:pPr>
              <w:ind w:left="140"/>
              <w:spacing w:after="0"/>
              <w:rPr>
                <w:sz w:val="20"/>
                <w:szCs w:val="20"/>
                <w:color w:val="auto"/>
              </w:rPr>
            </w:pPr>
            <w:r>
              <w:rPr>
                <w:rFonts w:ascii="Arial" w:cs="Arial" w:eastAsia="Arial" w:hAnsi="Arial"/>
                <w:sz w:val="15"/>
                <w:szCs w:val="15"/>
                <w:b w:val="1"/>
                <w:bCs w:val="1"/>
                <w:color w:val="auto"/>
              </w:rPr>
              <w:t>(I) (Instr. 5)</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jc w:val="center"/>
              <w:ind w:right="397"/>
              <w:spacing w:after="0"/>
              <w:rPr>
                <w:sz w:val="20"/>
                <w:szCs w:val="20"/>
                <w:color w:val="auto"/>
              </w:rPr>
            </w:pPr>
            <w:r>
              <w:rPr>
                <w:rFonts w:ascii="Arial" w:cs="Arial" w:eastAsia="Arial" w:hAnsi="Arial"/>
                <w:sz w:val="20"/>
                <w:szCs w:val="20"/>
                <w:color w:val="0000FF"/>
              </w:rPr>
              <w:t>3,438,510</w:t>
            </w:r>
            <w:r>
              <w:rPr>
                <w:rFonts w:ascii="Arial" w:cs="Arial" w:eastAsia="Arial" w:hAnsi="Arial"/>
                <w:sz w:val="25"/>
                <w:szCs w:val="25"/>
                <w:color w:val="008000"/>
                <w:vertAlign w:val="superscript"/>
              </w:rPr>
              <w:t>(1)</w:t>
            </w:r>
          </w:p>
        </w:tc>
        <w:tc>
          <w:tcPr>
            <w:tcW w:w="780" w:type="dxa"/>
            <w:vAlign w:val="bottom"/>
            <w:tcBorders>
              <w:bottom w:val="single" w:sz="8" w:color="2C2C2C"/>
            </w:tcBorders>
            <w:gridSpan w:val="2"/>
          </w:tcPr>
          <w:p>
            <w:pPr>
              <w:ind w:left="600"/>
              <w:spacing w:after="0"/>
              <w:rPr>
                <w:sz w:val="20"/>
                <w:szCs w:val="20"/>
                <w:color w:val="auto"/>
              </w:rPr>
            </w:pPr>
            <w:r>
              <w:rPr>
                <w:rFonts w:ascii="Arial" w:cs="Arial" w:eastAsia="Arial" w:hAnsi="Arial"/>
                <w:sz w:val="20"/>
                <w:szCs w:val="20"/>
                <w:color w:val="0000FF"/>
              </w:rPr>
              <w:t>D</w:t>
            </w:r>
          </w:p>
        </w:tc>
        <w:tc>
          <w:tcPr>
            <w:tcW w:w="5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0"/>
                <w:szCs w:val="20"/>
                <w:color w:val="0000FF"/>
              </w:rPr>
              <w:t>Through Shanghai Pudong</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60" w:type="dxa"/>
            <w:vAlign w:val="bottom"/>
          </w:tcPr>
          <w:p>
            <w:pPr>
              <w:jc w:val="right"/>
              <w:ind w:right="497"/>
              <w:spacing w:after="0"/>
              <w:rPr>
                <w:sz w:val="20"/>
                <w:szCs w:val="20"/>
                <w:color w:val="auto"/>
              </w:rPr>
            </w:pPr>
            <w:r>
              <w:rPr>
                <w:rFonts w:ascii="Arial" w:cs="Arial" w:eastAsia="Arial" w:hAnsi="Arial"/>
                <w:sz w:val="20"/>
                <w:szCs w:val="20"/>
                <w:color w:val="0000FF"/>
              </w:rPr>
              <w:t>3,358,728</w:t>
            </w:r>
          </w:p>
        </w:tc>
        <w:tc>
          <w:tcPr>
            <w:tcW w:w="780" w:type="dxa"/>
            <w:vAlign w:val="bottom"/>
            <w:gridSpan w:val="2"/>
          </w:tcPr>
          <w:p>
            <w:pPr>
              <w:ind w:left="640"/>
              <w:spacing w:after="0"/>
              <w:rPr>
                <w:sz w:val="20"/>
                <w:szCs w:val="20"/>
                <w:color w:val="auto"/>
              </w:rPr>
            </w:pPr>
            <w:r>
              <w:rPr>
                <w:rFonts w:ascii="Arial" w:cs="Arial" w:eastAsia="Arial" w:hAnsi="Arial"/>
                <w:sz w:val="20"/>
                <w:szCs w:val="20"/>
                <w:color w:val="0000FF"/>
              </w:rPr>
              <w:t>I</w:t>
            </w:r>
          </w:p>
        </w:tc>
        <w:tc>
          <w:tcPr>
            <w:tcW w:w="560" w:type="dxa"/>
            <w:vAlign w:val="bottom"/>
          </w:tcPr>
          <w:p>
            <w:pPr>
              <w:spacing w:after="0"/>
              <w:rPr>
                <w:sz w:val="20"/>
                <w:szCs w:val="20"/>
                <w:color w:val="auto"/>
              </w:rPr>
            </w:pPr>
          </w:p>
        </w:tc>
        <w:tc>
          <w:tcPr>
            <w:tcW w:w="2780" w:type="dxa"/>
            <w:vAlign w:val="bottom"/>
            <w:gridSpan w:val="4"/>
          </w:tcPr>
          <w:p>
            <w:pPr>
              <w:spacing w:after="0"/>
              <w:rPr>
                <w:sz w:val="20"/>
                <w:szCs w:val="20"/>
                <w:color w:val="auto"/>
              </w:rPr>
            </w:pPr>
            <w:r>
              <w:rPr>
                <w:rFonts w:ascii="Arial" w:cs="Arial" w:eastAsia="Arial" w:hAnsi="Arial"/>
                <w:sz w:val="20"/>
                <w:szCs w:val="20"/>
                <w:color w:val="0000FF"/>
              </w:rPr>
              <w:t>Science and Technology</w:t>
            </w: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gridSpan w:val="4"/>
          </w:tcPr>
          <w:p>
            <w:pPr>
              <w:spacing w:after="0"/>
              <w:rPr>
                <w:sz w:val="20"/>
                <w:szCs w:val="20"/>
                <w:color w:val="auto"/>
              </w:rPr>
            </w:pPr>
            <w:r>
              <w:rPr>
                <w:rFonts w:ascii="Arial" w:cs="Arial" w:eastAsia="Arial" w:hAnsi="Arial"/>
                <w:sz w:val="20"/>
                <w:szCs w:val="20"/>
                <w:color w:val="0000FF"/>
                <w:w w:val="98"/>
              </w:rPr>
              <w:t>Investment Group Co., Ltd.</w:t>
            </w:r>
            <w:r>
              <w:rPr>
                <w:rFonts w:ascii="Arial" w:cs="Arial" w:eastAsia="Arial" w:hAnsi="Arial"/>
                <w:sz w:val="25"/>
                <w:szCs w:val="25"/>
                <w:color w:val="008000"/>
                <w:w w:val="98"/>
                <w:vertAlign w:val="superscript"/>
              </w:rPr>
              <w:t>(2)(3)</w:t>
            </w: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5000" w:type="dxa"/>
            <w:vAlign w:val="bottom"/>
            <w:tcBorders>
              <w:top w:val="single" w:sz="8" w:color="2C2C2C"/>
            </w:tcBorders>
            <w:gridSpan w:val="7"/>
          </w:tcPr>
          <w:p>
            <w:pPr>
              <w:ind w:left="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6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8"/>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80" w:type="dxa"/>
            <w:vAlign w:val="bottom"/>
          </w:tcPr>
          <w:p>
            <w:pPr>
              <w:spacing w:after="0"/>
              <w:rPr>
                <w:sz w:val="17"/>
                <w:szCs w:val="17"/>
                <w:color w:val="auto"/>
              </w:rPr>
            </w:pPr>
          </w:p>
        </w:tc>
        <w:tc>
          <w:tcPr>
            <w:tcW w:w="1900" w:type="dxa"/>
            <w:vAlign w:val="bottom"/>
            <w:gridSpan w:val="3"/>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6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2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780" w:type="dxa"/>
            <w:vAlign w:val="bottom"/>
            <w:gridSpan w:val="2"/>
          </w:tcPr>
          <w:p>
            <w:pPr>
              <w:ind w:left="80"/>
              <w:spacing w:after="0" w:line="161" w:lineRule="exact"/>
              <w:rPr>
                <w:sz w:val="20"/>
                <w:szCs w:val="20"/>
                <w:color w:val="auto"/>
              </w:rPr>
            </w:pPr>
            <w:r>
              <w:rPr>
                <w:rFonts w:ascii="Arial" w:cs="Arial" w:eastAsia="Arial" w:hAnsi="Arial"/>
                <w:sz w:val="15"/>
                <w:szCs w:val="15"/>
                <w:b w:val="1"/>
                <w:bCs w:val="1"/>
                <w:color w:val="auto"/>
              </w:rPr>
              <w:t>Number</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7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2"/>
          </w:tcPr>
          <w:p>
            <w:pPr>
              <w:ind w:left="60"/>
              <w:spacing w:after="0"/>
              <w:rPr>
                <w:sz w:val="20"/>
                <w:szCs w:val="20"/>
                <w:color w:val="auto"/>
              </w:rPr>
            </w:pPr>
            <w:r>
              <w:rPr>
                <w:rFonts w:ascii="Arial" w:cs="Arial" w:eastAsia="Arial" w:hAnsi="Arial"/>
                <w:sz w:val="15"/>
                <w:szCs w:val="15"/>
                <w:b w:val="1"/>
                <w:bCs w:val="1"/>
                <w:color w:val="auto"/>
              </w:rPr>
              <w:t>Date</w:t>
            </w:r>
          </w:p>
        </w:tc>
        <w:tc>
          <w:tcPr>
            <w:tcW w:w="1760" w:type="dxa"/>
            <w:vAlign w:val="bottom"/>
            <w:vMerge w:val="continue"/>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Shanghai Science &amp; Technology Venture</w:t>
        </w:r>
      </w:hyperlink>
    </w:p>
    <w:p>
      <w:pPr>
        <w:spacing w:after="0" w:line="1" w:lineRule="exact"/>
        <w:rPr>
          <w:sz w:val="20"/>
          <w:szCs w:val="20"/>
          <w:color w:val="auto"/>
        </w:rPr>
      </w:pP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Capital (Group) Co., Ltd.</w:t>
        </w:r>
      </w:hyperlink>
    </w:p>
    <w:p>
      <w:pPr>
        <w:spacing w:after="0" w:line="347" w:lineRule="exact"/>
        <w:rPr>
          <w:sz w:val="20"/>
          <w:szCs w:val="20"/>
          <w:color w:val="auto"/>
        </w:rPr>
      </w:pPr>
    </w:p>
    <w:p>
      <w:pPr>
        <w:ind w:left="140"/>
        <w:spacing w:after="0"/>
        <w:tabs>
          <w:tab w:leader="none" w:pos="1500" w:val="left"/>
          <w:tab w:leader="none" w:pos="290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FLOOR 16-17, #118 RONGKE ROAD</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PUDONG DISTRICT</w:t>
      </w:r>
    </w:p>
    <w:p>
      <w:pPr>
        <w:spacing w:after="0" w:line="324"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SHANGHAI</w:t>
            </w:r>
          </w:p>
        </w:tc>
        <w:tc>
          <w:tcPr>
            <w:tcW w:w="1100" w:type="dxa"/>
            <w:vAlign w:val="bottom"/>
          </w:tcPr>
          <w:p>
            <w:pPr>
              <w:ind w:left="180"/>
              <w:spacing w:after="0"/>
              <w:rPr>
                <w:sz w:val="20"/>
                <w:szCs w:val="20"/>
                <w:color w:val="auto"/>
              </w:rPr>
            </w:pPr>
            <w:r>
              <w:rPr>
                <w:rFonts w:ascii="Arial" w:cs="Arial" w:eastAsia="Arial" w:hAnsi="Arial"/>
                <w:sz w:val="20"/>
                <w:szCs w:val="20"/>
                <w:color w:val="0000FF"/>
              </w:rPr>
              <w:t>F4</w:t>
            </w:r>
          </w:p>
        </w:tc>
        <w:tc>
          <w:tcPr>
            <w:tcW w:w="1820" w:type="dxa"/>
            <w:vAlign w:val="bottom"/>
          </w:tcPr>
          <w:p>
            <w:pPr>
              <w:ind w:left="480"/>
              <w:spacing w:after="0"/>
              <w:rPr>
                <w:sz w:val="20"/>
                <w:szCs w:val="20"/>
                <w:color w:val="auto"/>
              </w:rPr>
            </w:pPr>
            <w:r>
              <w:rPr>
                <w:rFonts w:ascii="Arial" w:cs="Arial" w:eastAsia="Arial" w:hAnsi="Arial"/>
                <w:sz w:val="20"/>
                <w:szCs w:val="20"/>
                <w:color w:val="0000FF"/>
              </w:rPr>
              <w:t>201203</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2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20" w:type="dxa"/>
            <w:vAlign w:val="bottom"/>
          </w:tcPr>
          <w:p>
            <w:pPr>
              <w:ind w:left="48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Arial" w:cs="Arial" w:eastAsia="Arial" w:hAnsi="Arial"/>
          <w:sz w:val="24"/>
          <w:szCs w:val="24"/>
          <w:u w:val="single" w:color="auto"/>
          <w:color w:val="0000EE"/>
        </w:rPr>
      </w:pPr>
      <w:hyperlink r:id="rId12">
        <w:r>
          <w:rPr>
            <w:rFonts w:ascii="Arial" w:cs="Arial" w:eastAsia="Arial" w:hAnsi="Arial"/>
            <w:sz w:val="24"/>
            <w:szCs w:val="24"/>
            <w:u w:val="single" w:color="auto"/>
            <w:color w:val="0000EE"/>
          </w:rPr>
          <w:t>Shanghai Pudong Science &amp; Technology</w:t>
        </w:r>
      </w:hyperlink>
    </w:p>
    <w:p>
      <w:pPr>
        <w:spacing w:after="0" w:line="1" w:lineRule="exact"/>
        <w:rPr>
          <w:sz w:val="20"/>
          <w:szCs w:val="20"/>
          <w:color w:val="auto"/>
        </w:rPr>
      </w:pPr>
    </w:p>
    <w:p>
      <w:pPr>
        <w:ind w:left="140"/>
        <w:spacing w:after="0"/>
        <w:rPr>
          <w:rFonts w:ascii="Arial" w:cs="Arial" w:eastAsia="Arial" w:hAnsi="Arial"/>
          <w:sz w:val="24"/>
          <w:szCs w:val="24"/>
          <w:u w:val="single" w:color="auto"/>
          <w:color w:val="0000EE"/>
        </w:rPr>
      </w:pPr>
      <w:hyperlink r:id="rId12">
        <w:r>
          <w:rPr>
            <w:rFonts w:ascii="Arial" w:cs="Arial" w:eastAsia="Arial" w:hAnsi="Arial"/>
            <w:sz w:val="24"/>
            <w:szCs w:val="24"/>
            <w:u w:val="single" w:color="auto"/>
            <w:color w:val="0000EE"/>
          </w:rPr>
          <w:t>Investment Group Co., Ltd.</w:t>
        </w:r>
      </w:hyperlink>
    </w:p>
    <w:p>
      <w:pPr>
        <w:spacing w:after="0" w:line="347" w:lineRule="exact"/>
        <w:rPr>
          <w:sz w:val="20"/>
          <w:szCs w:val="20"/>
          <w:color w:val="auto"/>
        </w:rPr>
      </w:pPr>
    </w:p>
    <w:p>
      <w:pPr>
        <w:ind w:left="140"/>
        <w:spacing w:after="0"/>
        <w:tabs>
          <w:tab w:leader="none" w:pos="1500" w:val="left"/>
          <w:tab w:leader="none" w:pos="290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ectPr>
          <w:pgSz w:w="11900" w:h="16838" w:orient="portrait"/>
          <w:cols w:equalWidth="0" w:num="1">
            <w:col w:w="10940"/>
          </w:cols>
          <w:pgMar w:left="480" w:top="236" w:right="479" w:bottom="0" w:gutter="0" w:footer="0" w:header="0"/>
          <w:type w:val="continuous"/>
        </w:sectPr>
      </w:pPr>
    </w:p>
    <w:p>
      <w:pPr>
        <w:spacing w:after="0" w:line="84" w:lineRule="exact"/>
        <w:rPr>
          <w:sz w:val="20"/>
          <w:szCs w:val="20"/>
          <w:color w:val="auto"/>
        </w:rPr>
      </w:pPr>
    </w:p>
    <w:p>
      <w:pPr>
        <w:ind w:left="140"/>
        <w:spacing w:after="0"/>
        <w:rPr>
          <w:sz w:val="20"/>
          <w:szCs w:val="20"/>
          <w:color w:val="auto"/>
        </w:rPr>
      </w:pPr>
      <w:r>
        <w:rPr>
          <w:rFonts w:ascii="Arial" w:cs="Arial" w:eastAsia="Arial" w:hAnsi="Arial"/>
          <w:sz w:val="18"/>
          <w:szCs w:val="18"/>
          <w:color w:val="0000FF"/>
        </w:rPr>
        <w:t>FLOOR 16-17, #118 RONGKE ROAD</w:t>
      </w:r>
    </w:p>
    <w:p>
      <w:pPr>
        <w:sectPr>
          <w:pgSz w:w="11900" w:h="16838" w:orient="portrait"/>
          <w:cols w:equalWidth="0" w:num="1">
            <w:col w:w="10940"/>
          </w:cols>
          <w:pgMar w:left="480" w:top="236" w:right="47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20"/>
          <w:szCs w:val="20"/>
          <w:color w:val="0000FF"/>
        </w:rPr>
        <w:drawing>
          <wp:anchor simplePos="0" relativeHeight="251657728" behindDoc="1" locked="0" layoutInCell="0" allowOverlap="1">
            <wp:simplePos x="0" y="0"/>
            <wp:positionH relativeFrom="page">
              <wp:posOffset>292100</wp:posOffset>
            </wp:positionH>
            <wp:positionV relativeFrom="page">
              <wp:posOffset>88900</wp:posOffset>
            </wp:positionV>
            <wp:extent cx="2795270" cy="10801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5270" cy="1080135"/>
                    </a:xfrm>
                    <a:prstGeom prst="rect">
                      <a:avLst/>
                    </a:prstGeom>
                    <a:noFill/>
                  </pic:spPr>
                </pic:pic>
              </a:graphicData>
            </a:graphic>
          </wp:anchor>
        </w:drawing>
        <w:t>PUDONG DISTRICT</w:t>
      </w:r>
    </w:p>
    <w:p>
      <w:pPr>
        <w:spacing w:after="0" w:line="324"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SHANGHAI</w:t>
            </w:r>
          </w:p>
        </w:tc>
        <w:tc>
          <w:tcPr>
            <w:tcW w:w="1100" w:type="dxa"/>
            <w:vAlign w:val="bottom"/>
          </w:tcPr>
          <w:p>
            <w:pPr>
              <w:ind w:left="180"/>
              <w:spacing w:after="0"/>
              <w:rPr>
                <w:sz w:val="20"/>
                <w:szCs w:val="20"/>
                <w:color w:val="auto"/>
              </w:rPr>
            </w:pPr>
            <w:r>
              <w:rPr>
                <w:rFonts w:ascii="Arial" w:cs="Arial" w:eastAsia="Arial" w:hAnsi="Arial"/>
                <w:sz w:val="20"/>
                <w:szCs w:val="20"/>
                <w:color w:val="0000FF"/>
              </w:rPr>
              <w:t>F4</w:t>
            </w:r>
          </w:p>
        </w:tc>
        <w:tc>
          <w:tcPr>
            <w:tcW w:w="1820" w:type="dxa"/>
            <w:vAlign w:val="bottom"/>
          </w:tcPr>
          <w:p>
            <w:pPr>
              <w:ind w:left="480"/>
              <w:spacing w:after="0"/>
              <w:rPr>
                <w:sz w:val="20"/>
                <w:szCs w:val="20"/>
                <w:color w:val="auto"/>
              </w:rPr>
            </w:pPr>
            <w:r>
              <w:rPr>
                <w:rFonts w:ascii="Arial" w:cs="Arial" w:eastAsia="Arial" w:hAnsi="Arial"/>
                <w:sz w:val="20"/>
                <w:szCs w:val="20"/>
                <w:color w:val="0000FF"/>
              </w:rPr>
              <w:t>201203</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2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20" w:type="dxa"/>
            <w:vAlign w:val="bottom"/>
          </w:tcPr>
          <w:p>
            <w:pPr>
              <w:ind w:left="48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right="120" w:firstLine="5"/>
        <w:spacing w:after="0" w:line="241" w:lineRule="auto"/>
        <w:tabs>
          <w:tab w:leader="none" w:pos="147"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This Amendment to Form 3 is being filed to disclose that upon the closing of the Issuer's initial public offering, Shanghai Science and Technology Venture Capital (Group) Co., Ltd. beneficially owned 1,666,170 shares of Common Stock (on an unadjusted basis, without giving effect to the three-for-one stock split of the Common Stock effected by the Issuer in March 2022 through a stock dividend), which was not previously reported on a Form 3.</w:t>
      </w:r>
    </w:p>
    <w:p>
      <w:pPr>
        <w:spacing w:after="0" w:line="35" w:lineRule="exact"/>
        <w:rPr>
          <w:rFonts w:ascii="Arial" w:cs="Arial" w:eastAsia="Arial" w:hAnsi="Arial"/>
          <w:sz w:val="15"/>
          <w:szCs w:val="15"/>
          <w:color w:val="008000"/>
        </w:rPr>
      </w:pPr>
    </w:p>
    <w:p>
      <w:pPr>
        <w:ind w:right="260" w:firstLine="5"/>
        <w:spacing w:after="0" w:line="241" w:lineRule="auto"/>
        <w:tabs>
          <w:tab w:leader="none" w:pos="147"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This Form 3 is being filed by the undersigned as well as Shanghai Pudong Science and Technology Investment Group Co., Ltd., as set forth on the Joint Filer Information Statement attached as an exhibit hereto (the "Reporting Persons"). Shanghai Science and Technology Venture Capital (Group) Co., Ltd. holds a 46% equity interest in Shanghai Pudong Science and Technology Investment Group Co., Ltd.</w:t>
      </w:r>
    </w:p>
    <w:p>
      <w:pPr>
        <w:spacing w:after="0" w:line="35" w:lineRule="exact"/>
        <w:rPr>
          <w:rFonts w:ascii="Arial" w:cs="Arial" w:eastAsia="Arial" w:hAnsi="Arial"/>
          <w:sz w:val="15"/>
          <w:szCs w:val="15"/>
          <w:color w:val="008000"/>
        </w:rPr>
      </w:pPr>
    </w:p>
    <w:p>
      <w:pPr>
        <w:ind w:right="60" w:firstLine="5"/>
        <w:spacing w:after="0" w:line="291" w:lineRule="auto"/>
        <w:tabs>
          <w:tab w:leader="none" w:pos="15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accordance with Instruction 5 (b)(iv) to Form 3, the entire amount of the Issuer's securities held by the Reporting Persons is reported herein. For purposes of Section 16 of the Securities Exchange Act of 1934, as amended, each Reporting Person disclaims beneficial ownership of any such securities, except to the extent of its indirect pecuniary interest therein, if any, and this report shall not be deemed an admission that such Reporting Person is the beneficial owner of such securities for purposes of Section 16 or otherwise.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008000"/>
        </w:rPr>
        <w:t>Please see Joint Filer Information Statement attached as Exhibit 99 hereto.</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8"/>
              </w:rPr>
              <w:t>/s/ Guangda Liu,</w:t>
            </w:r>
          </w:p>
        </w:tc>
        <w:tc>
          <w:tcPr>
            <w:tcW w:w="880" w:type="dxa"/>
            <w:vAlign w:val="bottom"/>
            <w:gridSpan w:val="2"/>
          </w:tcPr>
          <w:p>
            <w:pPr>
              <w:spacing w:after="0"/>
              <w:rPr>
                <w:sz w:val="19"/>
                <w:szCs w:val="19"/>
                <w:color w:val="auto"/>
              </w:rPr>
            </w:pP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07/18/2023</w:t>
            </w:r>
          </w:p>
        </w:tc>
        <w:tc>
          <w:tcPr>
            <w:tcW w:w="0" w:type="dxa"/>
            <w:vAlign w:val="bottom"/>
          </w:tcPr>
          <w:p>
            <w:pPr>
              <w:spacing w:after="0"/>
              <w:rPr>
                <w:sz w:val="1"/>
                <w:szCs w:val="1"/>
                <w:color w:val="auto"/>
              </w:rPr>
            </w:pPr>
          </w:p>
        </w:tc>
      </w:tr>
      <w:tr>
        <w:trPr>
          <w:trHeight w:val="105"/>
        </w:trPr>
        <w:tc>
          <w:tcPr>
            <w:tcW w:w="6520" w:type="dxa"/>
            <w:vAlign w:val="bottom"/>
          </w:tcPr>
          <w:p>
            <w:pPr>
              <w:spacing w:after="0"/>
              <w:rPr>
                <w:sz w:val="8"/>
                <w:szCs w:val="8"/>
                <w:color w:val="auto"/>
              </w:rPr>
            </w:pPr>
          </w:p>
        </w:tc>
        <w:tc>
          <w:tcPr>
            <w:tcW w:w="1980" w:type="dxa"/>
            <w:vAlign w:val="bottom"/>
            <w:gridSpan w:val="2"/>
            <w:vMerge w:val="restart"/>
          </w:tcPr>
          <w:p>
            <w:pPr>
              <w:spacing w:after="0" w:line="220" w:lineRule="exact"/>
              <w:rPr>
                <w:sz w:val="20"/>
                <w:szCs w:val="20"/>
                <w:color w:val="auto"/>
              </w:rPr>
            </w:pPr>
            <w:r>
              <w:rPr>
                <w:rFonts w:ascii="Arial" w:cs="Arial" w:eastAsia="Arial" w:hAnsi="Arial"/>
                <w:sz w:val="20"/>
                <w:szCs w:val="20"/>
                <w:color w:val="0000FF"/>
                <w:w w:val="86"/>
              </w:rPr>
              <w:t>authorized representative</w:t>
            </w:r>
          </w:p>
        </w:tc>
        <w:tc>
          <w:tcPr>
            <w:tcW w:w="22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20" w:type="dxa"/>
            <w:vAlign w:val="bottom"/>
          </w:tcPr>
          <w:p>
            <w:pPr>
              <w:spacing w:after="0"/>
              <w:rPr>
                <w:sz w:val="8"/>
                <w:szCs w:val="8"/>
                <w:color w:val="auto"/>
              </w:rPr>
            </w:pPr>
          </w:p>
        </w:tc>
        <w:tc>
          <w:tcPr>
            <w:tcW w:w="1980" w:type="dxa"/>
            <w:vAlign w:val="bottom"/>
            <w:tcBorders>
              <w:bottom w:val="single" w:sz="8" w:color="auto"/>
            </w:tcBorders>
            <w:gridSpan w:val="2"/>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652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5"/>
        </w:trPr>
        <w:tc>
          <w:tcPr>
            <w:tcW w:w="6520" w:type="dxa"/>
            <w:vAlign w:val="bottom"/>
          </w:tcPr>
          <w:p>
            <w:pPr>
              <w:spacing w:after="0"/>
              <w:rPr>
                <w:sz w:val="9"/>
                <w:szCs w:val="9"/>
                <w:color w:val="auto"/>
              </w:rPr>
            </w:pPr>
          </w:p>
        </w:tc>
        <w:tc>
          <w:tcPr>
            <w:tcW w:w="220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52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45" w:right="5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Joint Filer Information</w:t>
      </w:r>
    </w:p>
    <w:p>
      <w:pPr>
        <w:sectPr>
          <w:pgSz w:w="11900" w:h="16838" w:orient="portrait"/>
          <w:cols w:equalWidth="0" w:num="1">
            <w:col w:w="10780"/>
          </w:cols>
          <w:pgMar w:left="480" w:top="393" w:right="639" w:bottom="1440" w:gutter="0" w:footer="0" w:header="0"/>
        </w:sect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Names:</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jc w:val="center"/>
        <w:ind w:right="2140"/>
        <w:spacing w:after="0"/>
        <w:rPr>
          <w:sz w:val="20"/>
          <w:szCs w:val="20"/>
          <w:color w:val="auto"/>
        </w:rPr>
      </w:pPr>
      <w:r>
        <w:rPr>
          <w:rFonts w:ascii="Arial" w:cs="Arial" w:eastAsia="Arial" w:hAnsi="Arial"/>
          <w:sz w:val="18"/>
          <w:szCs w:val="18"/>
          <w:color w:val="auto"/>
        </w:rPr>
        <w:t>Shanghai Pudong Science and Technology Investment Group Co., Ltd.</w:t>
      </w:r>
    </w:p>
    <w:p>
      <w:pPr>
        <w:spacing w:after="0" w:line="200" w:lineRule="exact"/>
        <w:rPr>
          <w:sz w:val="20"/>
          <w:szCs w:val="20"/>
          <w:color w:val="auto"/>
        </w:rPr>
      </w:pPr>
    </w:p>
    <w:p>
      <w:pPr>
        <w:sectPr>
          <w:pgSz w:w="11900" w:h="16838" w:orient="portrait"/>
          <w:cols w:equalWidth="0" w:num="2">
            <w:col w:w="2240" w:space="720"/>
            <w:col w:w="7820"/>
          </w:cols>
          <w:pgMar w:left="480" w:top="393" w:right="63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Floor 16-17, #118 Rongke Road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Pudong District, Shanghai, People’s Republic of China 201203</w:t>
      </w:r>
    </w:p>
    <w:p>
      <w:pPr>
        <w:spacing w:after="0" w:line="200" w:lineRule="exact"/>
        <w:rPr>
          <w:sz w:val="20"/>
          <w:szCs w:val="20"/>
          <w:color w:val="auto"/>
        </w:rPr>
      </w:pPr>
    </w:p>
    <w:p>
      <w:pPr>
        <w:sectPr>
          <w:pgSz w:w="11900" w:h="16838" w:orient="portrait"/>
          <w:cols w:equalWidth="0" w:num="2">
            <w:col w:w="2240" w:space="720"/>
            <w:col w:w="7820"/>
          </w:cols>
          <w:pgMar w:left="480" w:top="393" w:right="639" w:bottom="1440" w:gutter="0" w:footer="0" w:header="0"/>
          <w:type w:val="continuous"/>
        </w:sectPr>
      </w:pP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Shanghai Science and Technology Venture Capital (Group) Co., Ltd.</w:t>
      </w:r>
    </w:p>
    <w:p>
      <w:pPr>
        <w:spacing w:after="0" w:line="200" w:lineRule="exact"/>
        <w:rPr>
          <w:sz w:val="20"/>
          <w:szCs w:val="20"/>
          <w:color w:val="auto"/>
        </w:rPr>
      </w:pPr>
    </w:p>
    <w:p>
      <w:pPr>
        <w:sectPr>
          <w:pgSz w:w="11900" w:h="16838" w:orient="portrait"/>
          <w:cols w:equalWidth="0" w:num="2">
            <w:col w:w="2240" w:space="720"/>
            <w:col w:w="7820"/>
          </w:cols>
          <w:pgMar w:left="480" w:top="393" w:right="63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Issuer and Ticker Symbol:</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ACM Research, Inc. [ACM]</w:t>
      </w:r>
    </w:p>
    <w:p>
      <w:pPr>
        <w:spacing w:after="0" w:line="200" w:lineRule="exact"/>
        <w:rPr>
          <w:sz w:val="20"/>
          <w:szCs w:val="20"/>
          <w:color w:val="auto"/>
        </w:rPr>
      </w:pPr>
    </w:p>
    <w:p>
      <w:pPr>
        <w:sectPr>
          <w:pgSz w:w="11900" w:h="16838" w:orient="portrait"/>
          <w:cols w:equalWidth="0" w:num="2">
            <w:col w:w="2240" w:space="720"/>
            <w:col w:w="7820"/>
          </w:cols>
          <w:pgMar w:left="480" w:top="393" w:right="63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Date of Event Requiring Statement: May 29, 2023</w:t>
      </w:r>
    </w:p>
    <w:p>
      <w:pPr>
        <w:spacing w:after="0" w:line="280" w:lineRule="exact"/>
        <w:rPr>
          <w:sz w:val="20"/>
          <w:szCs w:val="20"/>
          <w:color w:val="auto"/>
        </w:rPr>
      </w:pPr>
    </w:p>
    <w:p>
      <w:pPr>
        <w:spacing w:after="0" w:line="264" w:lineRule="auto"/>
        <w:rPr>
          <w:sz w:val="20"/>
          <w:szCs w:val="20"/>
          <w:color w:val="auto"/>
        </w:rPr>
      </w:pPr>
      <w:r>
        <w:rPr>
          <w:rFonts w:ascii="Arial" w:cs="Arial" w:eastAsia="Arial" w:hAnsi="Arial"/>
          <w:sz w:val="20"/>
          <w:szCs w:val="20"/>
          <w:color w:val="auto"/>
        </w:rPr>
        <w:t>The undersigned, Shanghai Pudong Science and Technology Investment Group Co., Ltd., is jointly filing the attached Initial Statement of Beneficial Ownership on Form 3 with Shanghai Science and Technology Venture Capital (Group) Co., Ltd. with respect to the beneficial ownership of securities of ACM Research, Inc.</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Signatures: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SHANGHAI PUDONG SCIENCE AND TECHNOLOGY INVESTMENT (GROUP) CO., LTD.</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By: /</w:t>
      </w:r>
      <w:r>
        <w:rPr>
          <w:rFonts w:ascii="Arial" w:cs="Arial" w:eastAsia="Arial" w:hAnsi="Arial"/>
          <w:sz w:val="20"/>
          <w:szCs w:val="20"/>
          <w:u w:val="single" w:color="auto"/>
          <w:color w:val="auto"/>
        </w:rPr>
        <w:t>s/ Guangda Liu</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Name: Gyangda Liu</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Title: Authorized Representative</w:t>
      </w:r>
    </w:p>
    <w:sectPr>
      <w:pgSz w:w="11900" w:h="16838" w:orient="portrait"/>
      <w:cols w:equalWidth="0" w:num="1">
        <w:col w:w="10780"/>
      </w:cols>
      <w:pgMar w:left="480" w:top="393"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0" Type="http://schemas.openxmlformats.org/officeDocument/2006/relationships/hyperlink" Target="http://www.sec.gov/cgi-bin/browse-edgar?action=getcompany&amp;CIK=0001981092" TargetMode="External"/><Relationship Id="rId11" Type="http://schemas.openxmlformats.org/officeDocument/2006/relationships/hyperlink" Target="http://www.sec.gov/cgi-bin/browse-edgar?action=getcompany&amp;CIK=0001680062" TargetMode="External"/><Relationship Id="rId12" Type="http://schemas.openxmlformats.org/officeDocument/2006/relationships/hyperlink" Target="http://www.sec.gov/cgi-bin/browse-edgar?action=getcompany&amp;CIK=00019809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2023-07-18T07:56:07Z</dcterms:created>
  <dcterms:modified xsi:type="dcterms:W3CDTF">2023-07-18T07:56:07Z</dcterms:modified>
</cp:coreProperties>
</file>