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27,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860" w:space="720"/>
            <w:col w:w="3000"/>
          </w:cols>
          <w:pgMar w:left="320" w:top="535" w:right="339" w:bottom="1440" w:gutter="0" w:footer="0" w:header="0"/>
          <w:type w:val="continuous"/>
        </w:sectPr>
      </w:pPr>
    </w:p>
    <w:p>
      <w:pPr>
        <w:spacing w:after="0" w:line="3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9"/>
        </w:trPr>
        <w:tc>
          <w:tcPr>
            <w:tcW w:w="520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Title of each class</w:t>
            </w:r>
          </w:p>
        </w:tc>
        <w:tc>
          <w:tcPr>
            <w:tcW w:w="42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w:t>
            </w:r>
          </w:p>
        </w:tc>
        <w:tc>
          <w:tcPr>
            <w:tcW w:w="54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Class A Common Stock, par value $0.0001 per share</w:t>
            </w:r>
          </w:p>
        </w:tc>
        <w:tc>
          <w:tcPr>
            <w:tcW w:w="4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ACMR</w:t>
            </w:r>
          </w:p>
        </w:tc>
        <w:tc>
          <w:tcPr>
            <w:tcW w:w="5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300"/>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27, 2023, the primary operating subsidiary of ACM Research, Inc. (the “Company”), ACM Research (Shanghai), Inc. (“ACM Shanghai”), held its 2023 Annual Stockholder Meeting in Shanghai, China. During this meeting, the stockholders of ACM Shanghai approved and adopted various resolutions, including a proposed dividend to be paid to the stockholders of ACM Shanghai. The amount of the planned dividend is RMB 0.372 per share for an aggregate total of approximately RMB 161.28 million (approximately $22.2 million based on currency exchange rates as of July 3, 2023). The payment is expected to be completed by the end of 2023.</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owns 82.5% of the outstanding shares of ACM Shanghai. It is possible that ACM Shanghai may not pay the dividend per the approved resolutions, and even if paid, the net amount and the timing of the proceeds repatriated by the Company to the United States is uncertain. The Company intends to use the net proceeds, if any, for working capital and general corporate purposes.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20"/>
                <w:szCs w:val="20"/>
                <w:color w:val="auto"/>
              </w:rPr>
            </w:pPr>
          </w:p>
        </w:tc>
        <w:tc>
          <w:tcPr>
            <w:tcW w:w="9980" w:type="dxa"/>
            <w:vAlign w:val="bottom"/>
            <w:tcBorders>
              <w:bottom w:val="single" w:sz="8" w:color="auto"/>
            </w:tcBorders>
          </w:tcPr>
          <w:p>
            <w:pPr>
              <w:jc w:val="right"/>
              <w:ind w:right="447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020" w:type="dxa"/>
            <w:vAlign w:val="bottom"/>
          </w:tcPr>
          <w:p>
            <w:pPr>
              <w:jc w:val="right"/>
              <w:ind w:right="290"/>
              <w:spacing w:after="0"/>
              <w:rPr>
                <w:sz w:val="20"/>
                <w:szCs w:val="20"/>
                <w:color w:val="auto"/>
              </w:rPr>
            </w:pPr>
            <w:r>
              <w:rPr>
                <w:rFonts w:ascii="Arial" w:cs="Arial" w:eastAsia="Arial" w:hAnsi="Arial"/>
                <w:sz w:val="18"/>
                <w:szCs w:val="18"/>
                <w:color w:val="auto"/>
              </w:rPr>
              <w:t>104</w:t>
            </w:r>
          </w:p>
        </w:tc>
        <w:tc>
          <w:tcPr>
            <w:tcW w:w="10220" w:type="dxa"/>
            <w:vAlign w:val="bottom"/>
            <w:gridSpan w:val="2"/>
          </w:tcPr>
          <w:p>
            <w:pPr>
              <w:jc w:val="right"/>
              <w:ind w:right="4610"/>
              <w:spacing w:after="0"/>
              <w:rPr>
                <w:sz w:val="20"/>
                <w:szCs w:val="20"/>
                <w:color w:val="auto"/>
              </w:rPr>
            </w:pPr>
            <w:r>
              <w:rPr>
                <w:rFonts w:ascii="Arial" w:cs="Arial" w:eastAsia="Arial" w:hAnsi="Arial"/>
                <w:sz w:val="18"/>
                <w:szCs w:val="18"/>
                <w:color w:val="auto"/>
                <w:w w:val="94"/>
              </w:rPr>
              <w:t>Cover Page Interactive Data File (embedded within the XBRL document)</w:t>
            </w:r>
          </w:p>
        </w:tc>
      </w:tr>
      <w:tr>
        <w:trPr>
          <w:trHeight w:val="582"/>
        </w:trPr>
        <w:tc>
          <w:tcPr>
            <w:tcW w:w="1020" w:type="dxa"/>
            <w:vAlign w:val="bottom"/>
          </w:tcPr>
          <w:p>
            <w:pPr>
              <w:spacing w:after="0"/>
              <w:rPr>
                <w:sz w:val="24"/>
                <w:szCs w:val="24"/>
                <w:color w:val="auto"/>
              </w:rPr>
            </w:pPr>
          </w:p>
        </w:tc>
        <w:tc>
          <w:tcPr>
            <w:tcW w:w="10220" w:type="dxa"/>
            <w:vAlign w:val="bottom"/>
            <w:gridSpan w:val="2"/>
          </w:tcPr>
          <w:p>
            <w:pPr>
              <w:jc w:val="right"/>
              <w:ind w:right="5490"/>
              <w:spacing w:after="0"/>
              <w:rPr>
                <w:sz w:val="20"/>
                <w:szCs w:val="20"/>
                <w:color w:val="auto"/>
              </w:rPr>
            </w:pPr>
            <w:r>
              <w:rPr>
                <w:rFonts w:ascii="Arial" w:cs="Arial" w:eastAsia="Arial" w:hAnsi="Arial"/>
                <w:sz w:val="14"/>
                <w:szCs w:val="14"/>
                <w:color w:val="auto"/>
              </w:rPr>
              <w:t>2</w:t>
            </w:r>
          </w:p>
        </w:tc>
      </w:tr>
      <w:tr>
        <w:trPr>
          <w:trHeight w:val="46"/>
        </w:trPr>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9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ACM RESEARCH,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5, 2023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2023-07-05T15:36:32Z</dcterms:created>
  <dcterms:modified xsi:type="dcterms:W3CDTF">2023-07-05T15:36:32Z</dcterms:modified>
</cp:coreProperties>
</file>