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FF0000"/>
        </w:rPr>
        <w:t>As filed with the Securities and Exchange Commission on March 11, 2021</w:t>
      </w:r>
    </w:p>
    <w:p>
      <w:pPr>
        <w:spacing w:after="0" w:line="19" w:lineRule="exact"/>
        <w:rPr>
          <w:sz w:val="24"/>
          <w:szCs w:val="24"/>
          <w:color w:val="auto"/>
        </w:rPr>
      </w:pPr>
    </w:p>
    <w:p>
      <w:pPr>
        <w:ind w:left="84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18"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right"/>
              <w:ind w:right="730"/>
              <w:spacing w:after="0"/>
              <w:rPr>
                <w:sz w:val="20"/>
                <w:szCs w:val="20"/>
                <w:color w:val="auto"/>
              </w:rPr>
            </w:pPr>
            <w:r>
              <w:rPr>
                <w:rFonts w:ascii="Arial" w:cs="Arial" w:eastAsia="Arial" w:hAnsi="Arial"/>
                <w:sz w:val="18"/>
                <w:szCs w:val="18"/>
                <w:b w:val="1"/>
                <w:bCs w:val="1"/>
                <w:color w:val="auto"/>
              </w:rPr>
              <w:t>94-3290283</w:t>
            </w:r>
          </w:p>
        </w:tc>
      </w:tr>
      <w:tr>
        <w:trPr>
          <w:trHeight w:val="230"/>
        </w:trPr>
        <w:tc>
          <w:tcPr>
            <w:tcW w:w="5540" w:type="dxa"/>
            <w:vAlign w:val="bottom"/>
          </w:tcPr>
          <w:p>
            <w:pPr>
              <w:jc w:val="center"/>
              <w:ind w:right="105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050"/>
              <w:spacing w:after="0"/>
              <w:rPr>
                <w:sz w:val="20"/>
                <w:szCs w:val="20"/>
                <w:color w:val="auto"/>
              </w:rPr>
            </w:pPr>
            <w:r>
              <w:rPr>
                <w:rFonts w:ascii="Arial" w:cs="Arial" w:eastAsia="Arial" w:hAnsi="Arial"/>
                <w:sz w:val="18"/>
                <w:szCs w:val="18"/>
                <w:i w:val="1"/>
                <w:iCs w:val="1"/>
                <w:color w:val="auto"/>
                <w:w w:val="92"/>
              </w:rPr>
              <w:t>(I.R.S. Employer Identification No.</w:t>
            </w:r>
          </w:p>
        </w:tc>
      </w:tr>
      <w:tr>
        <w:trPr>
          <w:trHeight w:val="414"/>
        </w:trPr>
        <w:tc>
          <w:tcPr>
            <w:tcW w:w="5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42307 Osgood Road, Suite I</w:t>
            </w:r>
          </w:p>
        </w:tc>
        <w:tc>
          <w:tcPr>
            <w:tcW w:w="3640" w:type="dxa"/>
            <w:vAlign w:val="bottom"/>
          </w:tcPr>
          <w:p>
            <w:pPr>
              <w:spacing w:after="0"/>
              <w:rPr>
                <w:sz w:val="24"/>
                <w:szCs w:val="24"/>
                <w:color w:val="auto"/>
              </w:rPr>
            </w:pPr>
          </w:p>
        </w:tc>
      </w:tr>
      <w:tr>
        <w:trPr>
          <w:trHeight w:val="220"/>
        </w:trPr>
        <w:tc>
          <w:tcPr>
            <w:tcW w:w="5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4"/>
              </w:rPr>
              <w:t>Fremont, California</w:t>
            </w:r>
          </w:p>
        </w:tc>
        <w:tc>
          <w:tcPr>
            <w:tcW w:w="3640" w:type="dxa"/>
            <w:vAlign w:val="bottom"/>
          </w:tcPr>
          <w:p>
            <w:pPr>
              <w:jc w:val="right"/>
              <w:ind w:right="930"/>
              <w:spacing w:after="0"/>
              <w:rPr>
                <w:sz w:val="20"/>
                <w:szCs w:val="20"/>
                <w:color w:val="auto"/>
              </w:rPr>
            </w:pPr>
            <w:r>
              <w:rPr>
                <w:rFonts w:ascii="Arial" w:cs="Arial" w:eastAsia="Arial" w:hAnsi="Arial"/>
                <w:sz w:val="18"/>
                <w:szCs w:val="18"/>
                <w:b w:val="1"/>
                <w:bCs w:val="1"/>
                <w:color w:val="auto"/>
              </w:rPr>
              <w:t>94539</w:t>
            </w:r>
          </w:p>
        </w:tc>
      </w:tr>
      <w:tr>
        <w:trPr>
          <w:trHeight w:val="230"/>
        </w:trPr>
        <w:tc>
          <w:tcPr>
            <w:tcW w:w="5540" w:type="dxa"/>
            <w:vAlign w:val="bottom"/>
          </w:tcPr>
          <w:p>
            <w:pPr>
              <w:jc w:val="center"/>
              <w:ind w:right="10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i w:val="1"/>
                <w:iCs w:val="1"/>
                <w:color w:val="auto"/>
                <w:w w:val="91"/>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154305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2016 Omnibus Incentive Plan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David H. Wang</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Chief Executive Officer and President</w:t>
      </w:r>
    </w:p>
    <w:p>
      <w:pPr>
        <w:jc w:val="center"/>
        <w:spacing w:after="0" w:line="230" w:lineRule="auto"/>
        <w:rPr>
          <w:sz w:val="20"/>
          <w:szCs w:val="20"/>
          <w:color w:val="auto"/>
        </w:rPr>
      </w:pPr>
      <w:r>
        <w:rPr>
          <w:rFonts w:ascii="Arial" w:cs="Arial" w:eastAsia="Arial" w:hAnsi="Arial"/>
          <w:sz w:val="22"/>
          <w:szCs w:val="22"/>
          <w:b w:val="1"/>
          <w:bCs w:val="1"/>
          <w:color w:val="auto"/>
        </w:rPr>
        <w:t>ACM Research, Inc.</w:t>
      </w:r>
    </w:p>
    <w:p>
      <w:pPr>
        <w:jc w:val="center"/>
        <w:spacing w:after="0" w:line="231" w:lineRule="auto"/>
        <w:rPr>
          <w:sz w:val="20"/>
          <w:szCs w:val="20"/>
          <w:color w:val="auto"/>
        </w:rPr>
      </w:pPr>
      <w:r>
        <w:rPr>
          <w:rFonts w:ascii="Arial" w:cs="Arial" w:eastAsia="Arial" w:hAnsi="Arial"/>
          <w:sz w:val="22"/>
          <w:szCs w:val="22"/>
          <w:b w:val="1"/>
          <w:bCs w:val="1"/>
          <w:color w:val="auto"/>
        </w:rPr>
        <w:t>42307 Osgood Road, Suite I</w:t>
      </w:r>
    </w:p>
    <w:p>
      <w:pPr>
        <w:jc w:val="center"/>
        <w:spacing w:after="0" w:line="230" w:lineRule="auto"/>
        <w:rPr>
          <w:sz w:val="20"/>
          <w:szCs w:val="20"/>
          <w:color w:val="auto"/>
        </w:rPr>
      </w:pPr>
      <w:r>
        <w:rPr>
          <w:rFonts w:ascii="Arial" w:cs="Arial" w:eastAsia="Arial" w:hAnsi="Arial"/>
          <w:sz w:val="22"/>
          <w:szCs w:val="22"/>
          <w:b w:val="1"/>
          <w:bCs w:val="1"/>
          <w:color w:val="auto"/>
        </w:rPr>
        <w:t>Fremont, California 94539</w:t>
      </w:r>
    </w:p>
    <w:p>
      <w:pPr>
        <w:jc w:val="center"/>
        <w:spacing w:after="0" w:line="231" w:lineRule="auto"/>
        <w:rPr>
          <w:sz w:val="20"/>
          <w:szCs w:val="20"/>
          <w:color w:val="auto"/>
        </w:rPr>
      </w:pPr>
      <w:r>
        <w:rPr>
          <w:rFonts w:ascii="Arial" w:cs="Arial" w:eastAsia="Arial" w:hAnsi="Arial"/>
          <w:sz w:val="22"/>
          <w:szCs w:val="22"/>
          <w:b w:val="1"/>
          <w:bCs w:val="1"/>
          <w:color w:val="auto"/>
        </w:rPr>
        <w:t>(510) 445-3700</w:t>
      </w:r>
    </w:p>
    <w:p>
      <w:pPr>
        <w:jc w:val="center"/>
        <w:spacing w:after="0"/>
        <w:rPr>
          <w:sz w:val="20"/>
          <w:szCs w:val="20"/>
          <w:color w:val="auto"/>
        </w:rPr>
      </w:pPr>
      <w:r>
        <w:rPr>
          <w:rFonts w:ascii="Arial" w:cs="Arial" w:eastAsia="Arial" w:hAnsi="Arial"/>
          <w:sz w:val="22"/>
          <w:szCs w:val="22"/>
          <w:i w:val="1"/>
          <w:iCs w:val="1"/>
          <w:color w:val="auto"/>
        </w:rPr>
        <w:t>(Name, address, including zip code, and telephone number, including area code, of agent for service)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With a copy to:</w:t>
      </w:r>
    </w:p>
    <w:p>
      <w:pPr>
        <w:jc w:val="center"/>
        <w:spacing w:after="0" w:line="238" w:lineRule="auto"/>
        <w:rPr>
          <w:sz w:val="20"/>
          <w:szCs w:val="20"/>
          <w:color w:val="auto"/>
        </w:rPr>
      </w:pPr>
      <w:r>
        <w:rPr>
          <w:rFonts w:ascii="Arial" w:cs="Arial" w:eastAsia="Arial" w:hAnsi="Arial"/>
          <w:sz w:val="22"/>
          <w:szCs w:val="22"/>
          <w:b w:val="1"/>
          <w:bCs w:val="1"/>
          <w:color w:val="auto"/>
        </w:rPr>
        <w:t>Mark L. Johnson</w:t>
      </w:r>
    </w:p>
    <w:p>
      <w:pPr>
        <w:jc w:val="center"/>
        <w:spacing w:after="0" w:line="230" w:lineRule="auto"/>
        <w:rPr>
          <w:sz w:val="20"/>
          <w:szCs w:val="20"/>
          <w:color w:val="auto"/>
        </w:rPr>
      </w:pPr>
      <w:r>
        <w:rPr>
          <w:rFonts w:ascii="Arial" w:cs="Arial" w:eastAsia="Arial" w:hAnsi="Arial"/>
          <w:sz w:val="22"/>
          <w:szCs w:val="22"/>
          <w:b w:val="1"/>
          <w:bCs w:val="1"/>
          <w:color w:val="auto"/>
        </w:rPr>
        <w:t>Bella Zaslavsky</w:t>
      </w:r>
    </w:p>
    <w:p>
      <w:pPr>
        <w:jc w:val="center"/>
        <w:spacing w:after="0" w:line="231" w:lineRule="auto"/>
        <w:rPr>
          <w:sz w:val="20"/>
          <w:szCs w:val="20"/>
          <w:color w:val="auto"/>
        </w:rPr>
      </w:pPr>
      <w:r>
        <w:rPr>
          <w:rFonts w:ascii="Arial" w:cs="Arial" w:eastAsia="Arial" w:hAnsi="Arial"/>
          <w:sz w:val="22"/>
          <w:szCs w:val="22"/>
          <w:b w:val="1"/>
          <w:bCs w:val="1"/>
          <w:color w:val="auto"/>
        </w:rPr>
        <w:t>K&amp;L Gates LLP</w:t>
      </w:r>
    </w:p>
    <w:p>
      <w:pPr>
        <w:jc w:val="center"/>
        <w:spacing w:after="0" w:line="230" w:lineRule="auto"/>
        <w:rPr>
          <w:sz w:val="20"/>
          <w:szCs w:val="20"/>
          <w:color w:val="auto"/>
        </w:rPr>
      </w:pPr>
      <w:r>
        <w:rPr>
          <w:rFonts w:ascii="Arial" w:cs="Arial" w:eastAsia="Arial" w:hAnsi="Arial"/>
          <w:sz w:val="22"/>
          <w:szCs w:val="22"/>
          <w:b w:val="1"/>
          <w:bCs w:val="1"/>
          <w:color w:val="auto"/>
        </w:rPr>
        <w:t>One Lincoln Street</w:t>
      </w:r>
    </w:p>
    <w:p>
      <w:pPr>
        <w:jc w:val="center"/>
        <w:spacing w:after="0" w:line="231" w:lineRule="auto"/>
        <w:rPr>
          <w:sz w:val="20"/>
          <w:szCs w:val="20"/>
          <w:color w:val="auto"/>
        </w:rPr>
      </w:pPr>
      <w:r>
        <w:rPr>
          <w:rFonts w:ascii="Arial" w:cs="Arial" w:eastAsia="Arial" w:hAnsi="Arial"/>
          <w:sz w:val="22"/>
          <w:szCs w:val="22"/>
          <w:b w:val="1"/>
          <w:bCs w:val="1"/>
          <w:color w:val="auto"/>
        </w:rPr>
        <w:t>Boston, MA 02111</w:t>
      </w:r>
    </w:p>
    <w:p>
      <w:pPr>
        <w:jc w:val="center"/>
        <w:spacing w:after="0"/>
        <w:rPr>
          <w:sz w:val="20"/>
          <w:szCs w:val="20"/>
          <w:color w:val="auto"/>
        </w:rPr>
      </w:pPr>
      <w:r>
        <w:rPr>
          <w:rFonts w:ascii="Arial" w:cs="Arial" w:eastAsia="Arial" w:hAnsi="Arial"/>
          <w:sz w:val="22"/>
          <w:szCs w:val="22"/>
          <w:b w:val="1"/>
          <w:bCs w:val="1"/>
          <w:color w:val="auto"/>
        </w:rPr>
        <w:t>(617) 261-3260</w:t>
      </w:r>
    </w:p>
    <w:p>
      <w:pPr>
        <w:spacing w:after="0" w:line="215" w:lineRule="exact"/>
        <w:rPr>
          <w:sz w:val="24"/>
          <w:szCs w:val="24"/>
          <w:color w:val="auto"/>
        </w:rPr>
      </w:pPr>
    </w:p>
    <w:p>
      <w:pPr>
        <w:ind w:right="18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0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480" w:type="dxa"/>
            <w:vAlign w:val="bottom"/>
          </w:tcPr>
          <w:p>
            <w:pPr>
              <w:ind w:left="30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jc w:val="both"/>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 financial accounting standards provided pursuant to Section 7(a)(2)(B) of the Securities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133350</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960" w:type="dxa"/>
            <w:vAlign w:val="bottom"/>
            <w:tcBorders>
              <w:top w:val="single" w:sz="8" w:color="auto"/>
              <w:bottom w:val="single" w:sz="8" w:color="auto"/>
              <w:right w:val="single" w:sz="8" w:color="auto"/>
            </w:tcBorders>
          </w:tcPr>
          <w:p>
            <w:pPr>
              <w:spacing w:after="0"/>
              <w:rPr>
                <w:sz w:val="3"/>
                <w:szCs w:val="3"/>
                <w:color w:val="auto"/>
              </w:rPr>
            </w:pPr>
          </w:p>
        </w:tc>
        <w:tc>
          <w:tcPr>
            <w:tcW w:w="1380" w:type="dxa"/>
            <w:vAlign w:val="bottom"/>
            <w:tcBorders>
              <w:top w:val="single" w:sz="8" w:color="auto"/>
              <w:bottom w:val="single" w:sz="8" w:color="auto"/>
              <w:right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right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right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2"/>
        </w:trPr>
        <w:tc>
          <w:tcPr>
            <w:tcW w:w="49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gridSpan w:val="2"/>
          </w:tcPr>
          <w:p>
            <w:pPr>
              <w:jc w:val="center"/>
              <w:spacing w:after="0" w:line="172" w:lineRule="exact"/>
              <w:rPr>
                <w:sz w:val="20"/>
                <w:szCs w:val="20"/>
                <w:color w:val="auto"/>
              </w:rPr>
            </w:pPr>
            <w:r>
              <w:rPr>
                <w:rFonts w:ascii="Arial" w:cs="Arial" w:eastAsia="Arial" w:hAnsi="Arial"/>
                <w:sz w:val="18"/>
                <w:szCs w:val="18"/>
                <w:b w:val="1"/>
                <w:bCs w:val="1"/>
                <w:color w:val="auto"/>
                <w:w w:val="89"/>
              </w:rPr>
              <w:t>Proposed maximum</w:t>
            </w:r>
          </w:p>
        </w:tc>
        <w:tc>
          <w:tcPr>
            <w:tcW w:w="1780" w:type="dxa"/>
            <w:vAlign w:val="bottom"/>
            <w:tcBorders>
              <w:right w:val="single" w:sz="8" w:color="auto"/>
            </w:tcBorders>
            <w:gridSpan w:val="2"/>
          </w:tcPr>
          <w:p>
            <w:pPr>
              <w:jc w:val="center"/>
              <w:spacing w:after="0" w:line="172" w:lineRule="exact"/>
              <w:rPr>
                <w:sz w:val="20"/>
                <w:szCs w:val="20"/>
                <w:color w:val="auto"/>
              </w:rPr>
            </w:pPr>
            <w:r>
              <w:rPr>
                <w:rFonts w:ascii="Arial" w:cs="Arial" w:eastAsia="Arial" w:hAnsi="Arial"/>
                <w:sz w:val="18"/>
                <w:szCs w:val="18"/>
                <w:b w:val="1"/>
                <w:bCs w:val="1"/>
                <w:color w:val="auto"/>
                <w:w w:val="89"/>
              </w:rPr>
              <w:t>Proposed maximum</w:t>
            </w:r>
          </w:p>
        </w:tc>
        <w:tc>
          <w:tcPr>
            <w:tcW w:w="200" w:type="dxa"/>
            <w:vAlign w:val="bottom"/>
          </w:tcPr>
          <w:p>
            <w:pPr>
              <w:spacing w:after="0"/>
              <w:rPr>
                <w:sz w:val="14"/>
                <w:szCs w:val="14"/>
                <w:color w:val="auto"/>
              </w:rPr>
            </w:pPr>
          </w:p>
        </w:tc>
        <w:tc>
          <w:tcPr>
            <w:tcW w:w="1120" w:type="dxa"/>
            <w:vAlign w:val="bottom"/>
            <w:gridSpan w:val="2"/>
          </w:tcPr>
          <w:p>
            <w:pPr>
              <w:jc w:val="center"/>
              <w:ind w:right="200"/>
              <w:spacing w:after="0" w:line="172" w:lineRule="exact"/>
              <w:rPr>
                <w:sz w:val="20"/>
                <w:szCs w:val="20"/>
                <w:color w:val="auto"/>
              </w:rPr>
            </w:pPr>
            <w:r>
              <w:rPr>
                <w:rFonts w:ascii="Arial" w:cs="Arial" w:eastAsia="Arial" w:hAnsi="Arial"/>
                <w:sz w:val="18"/>
                <w:szCs w:val="18"/>
                <w:b w:val="1"/>
                <w:bCs w:val="1"/>
                <w:color w:val="auto"/>
                <w:w w:val="93"/>
              </w:rPr>
              <w:t>Amount of</w:t>
            </w:r>
          </w:p>
        </w:tc>
      </w:tr>
      <w:tr>
        <w:trPr>
          <w:trHeight w:val="216"/>
        </w:trPr>
        <w:tc>
          <w:tcPr>
            <w:tcW w:w="49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220" w:type="dxa"/>
            <w:vAlign w:val="bottom"/>
          </w:tcPr>
          <w:p>
            <w:pPr>
              <w:spacing w:after="0"/>
              <w:rPr>
                <w:sz w:val="18"/>
                <w:szCs w:val="18"/>
                <w:color w:val="auto"/>
              </w:rPr>
            </w:pPr>
          </w:p>
        </w:tc>
        <w:tc>
          <w:tcPr>
            <w:tcW w:w="15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offering price per</w:t>
            </w:r>
          </w:p>
        </w:tc>
        <w:tc>
          <w:tcPr>
            <w:tcW w:w="17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registration</w:t>
            </w:r>
          </w:p>
        </w:tc>
      </w:tr>
      <w:tr>
        <w:trPr>
          <w:trHeight w:val="241"/>
        </w:trPr>
        <w:tc>
          <w:tcPr>
            <w:tcW w:w="496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Title of Securities to be Registered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registered(1)</w:t>
            </w:r>
          </w:p>
        </w:tc>
        <w:tc>
          <w:tcPr>
            <w:tcW w:w="220" w:type="dxa"/>
            <w:vAlign w:val="bottom"/>
          </w:tcPr>
          <w:p>
            <w:pPr>
              <w:spacing w:after="0"/>
              <w:rPr>
                <w:sz w:val="20"/>
                <w:szCs w:val="20"/>
                <w:color w:val="auto"/>
              </w:rPr>
            </w:pPr>
          </w:p>
        </w:tc>
        <w:tc>
          <w:tcPr>
            <w:tcW w:w="15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share(2)</w:t>
            </w:r>
          </w:p>
        </w:tc>
        <w:tc>
          <w:tcPr>
            <w:tcW w:w="360" w:type="dxa"/>
            <w:vAlign w:val="bottom"/>
          </w:tcPr>
          <w:p>
            <w:pPr>
              <w:spacing w:after="0"/>
              <w:rPr>
                <w:sz w:val="20"/>
                <w:szCs w:val="20"/>
                <w:color w:val="auto"/>
              </w:rPr>
            </w:pPr>
          </w:p>
        </w:tc>
        <w:tc>
          <w:tcPr>
            <w:tcW w:w="142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2"/>
              </w:rPr>
              <w:t>price(2)</w:t>
            </w:r>
          </w:p>
        </w:tc>
        <w:tc>
          <w:tcPr>
            <w:tcW w:w="2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fee</w:t>
            </w:r>
          </w:p>
        </w:tc>
      </w:tr>
      <w:tr>
        <w:trPr>
          <w:trHeight w:val="256"/>
        </w:trPr>
        <w:tc>
          <w:tcPr>
            <w:tcW w:w="496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 $0.0001 par value per share</w:t>
            </w:r>
          </w:p>
        </w:tc>
        <w:tc>
          <w:tcPr>
            <w:tcW w:w="138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1,469,761</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85.055</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125,010,521.86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13,638.65</w:t>
            </w:r>
          </w:p>
        </w:tc>
        <w:tc>
          <w:tcPr>
            <w:tcW w:w="100" w:type="dxa"/>
            <w:vAlign w:val="bottom"/>
            <w:tcBorders>
              <w:bottom w:val="single" w:sz="8" w:color="CCEEFF"/>
            </w:tcBorders>
            <w:shd w:val="clear" w:color="auto" w:fill="CCEEFF"/>
          </w:tcPr>
          <w:p>
            <w:pPr>
              <w:spacing w:after="0"/>
              <w:rPr>
                <w:sz w:val="22"/>
                <w:szCs w:val="22"/>
                <w:color w:val="auto"/>
              </w:rPr>
            </w:pPr>
          </w:p>
        </w:tc>
      </w:tr>
    </w:tbl>
    <w:p>
      <w:pPr>
        <w:jc w:val="both"/>
        <w:ind w:left="340" w:hanging="332"/>
        <w:spacing w:after="0" w:line="32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additional shares available for issuance under the registrant’s 2016 Omnibus Incentive Plan as the result of annual increases effective as of December 31, 2019 and 2020. In accordance with Rule 416 under the Securities Act of 1933, this registration statement shall be deemed to cover any</w:t>
      </w:r>
    </w:p>
    <w:p>
      <w:pPr>
        <w:sectPr>
          <w:pgSz w:w="11900" w:h="16838" w:orient="portrait"/>
          <w:cols w:equalWidth="0" w:num="1">
            <w:col w:w="11240"/>
          </w:cols>
          <w:pgMar w:left="320" w:top="220" w:right="339" w:bottom="0" w:gutter="0" w:footer="0" w:header="0"/>
        </w:sectPr>
      </w:pPr>
    </w:p>
    <w:bookmarkStart w:id="1" w:name="page2"/>
    <w:bookmarkEnd w:id="1"/>
    <w:p>
      <w:pPr>
        <w:ind w:left="332"/>
        <w:spacing w:after="0" w:line="258" w:lineRule="auto"/>
        <w:rPr>
          <w:sz w:val="20"/>
          <w:szCs w:val="20"/>
          <w:color w:val="auto"/>
        </w:rPr>
      </w:pPr>
      <w:r>
        <w:rPr>
          <w:rFonts w:ascii="Arial" w:cs="Arial" w:eastAsia="Arial" w:hAnsi="Arial"/>
          <w:sz w:val="18"/>
          <w:szCs w:val="18"/>
          <w:color w:val="auto"/>
        </w:rPr>
        <w:t>additional securities that may from time to time be offered or issued to prevent dilution resulting from stock splits, stock dividends or similar transactions.</w:t>
      </w:r>
    </w:p>
    <w:p>
      <w:pPr>
        <w:spacing w:after="0" w:line="1" w:lineRule="exact"/>
        <w:rPr>
          <w:sz w:val="20"/>
          <w:szCs w:val="20"/>
          <w:color w:val="auto"/>
        </w:rPr>
      </w:pPr>
    </w:p>
    <w:p>
      <w:pPr>
        <w:ind w:left="332" w:hanging="332"/>
        <w:spacing w:after="0" w:line="323" w:lineRule="auto"/>
        <w:tabs>
          <w:tab w:leader="none" w:pos="332"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(h) under the Securities Act of 1933 and based upon the average of the high and low prices of the registrant’s Class A common stock as reported on The NASDAQ Global Market on 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STATEMENT OF INCORPORATION BY REFERENCE</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This Registration Statement on Form S-8 relating to the 2016 Omnibus Incentive Plan of the registrant is being filed for the purpose of registering additional securities of the same class as other securities for which a Registration Statement on Form S-8 has previously been filed and is effective. Pursuant to General Instruction E to Form S-8, except as otherwise set forth below, this Registration Statement incorporates by reference the contents of the Registration Statement on Form S-8, File No. 333-222702, filed by the registrant with the Securities and Exchange Commission on January 25,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41"/>
        </w:trPr>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4.01</w:t>
              </w:r>
            </w:hyperlink>
          </w:p>
        </w:tc>
        <w:tc>
          <w:tcPr>
            <w:tcW w:w="10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Restated Certificate of Incorporation of ACM Research, Inc.</w:t>
            </w:r>
          </w:p>
        </w:tc>
      </w:tr>
      <w:tr>
        <w:trPr>
          <w:trHeight w:val="216"/>
        </w:trPr>
        <w:tc>
          <w:tcPr>
            <w:tcW w:w="1040" w:type="dxa"/>
            <w:vAlign w:val="bottom"/>
          </w:tcPr>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4.02</w:t>
              </w:r>
            </w:hyperlink>
          </w:p>
        </w:tc>
        <w:tc>
          <w:tcPr>
            <w:tcW w:w="10200" w:type="dxa"/>
            <w:vAlign w:val="bottom"/>
            <w:gridSpan w:val="2"/>
          </w:tcPr>
          <w:p>
            <w:pPr>
              <w:ind w:left="160"/>
              <w:spacing w:after="0"/>
              <w:rPr>
                <w:sz w:val="20"/>
                <w:szCs w:val="20"/>
                <w:color w:val="auto"/>
              </w:rPr>
            </w:pPr>
            <w:r>
              <w:rPr>
                <w:rFonts w:ascii="Arial" w:cs="Arial" w:eastAsia="Arial" w:hAnsi="Arial"/>
                <w:sz w:val="18"/>
                <w:szCs w:val="18"/>
                <w:color w:val="auto"/>
              </w:rPr>
              <w:t>Restated Bylaws of ACM Research, Inc.</w:t>
            </w:r>
          </w:p>
        </w:tc>
      </w:tr>
      <w:tr>
        <w:trPr>
          <w:trHeight w:val="216"/>
        </w:trPr>
        <w:tc>
          <w:tcPr>
            <w:tcW w:w="104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5.01</w:t>
              </w:r>
            </w:hyperlink>
          </w:p>
        </w:tc>
        <w:tc>
          <w:tcPr>
            <w:tcW w:w="10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Opinion of K&amp;L Gates LLP</w:t>
            </w: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23.01</w:t>
              </w:r>
            </w:hyperlink>
          </w:p>
        </w:tc>
        <w:tc>
          <w:tcPr>
            <w:tcW w:w="10200" w:type="dxa"/>
            <w:vAlign w:val="bottom"/>
            <w:gridSpan w:val="2"/>
          </w:tcPr>
          <w:p>
            <w:pPr>
              <w:ind w:left="160"/>
              <w:spacing w:after="0"/>
              <w:rPr>
                <w:sz w:val="20"/>
                <w:szCs w:val="20"/>
                <w:color w:val="auto"/>
              </w:rPr>
            </w:pPr>
            <w:r>
              <w:rPr>
                <w:rFonts w:ascii="Arial" w:cs="Arial" w:eastAsia="Arial" w:hAnsi="Arial"/>
                <w:sz w:val="18"/>
                <w:szCs w:val="18"/>
                <w:color w:val="auto"/>
              </w:rPr>
              <w:t>Consent of BDO China Shu Lan Pan Certified Public Accountants LLP</w:t>
            </w:r>
          </w:p>
        </w:tc>
      </w:tr>
      <w:tr>
        <w:trPr>
          <w:trHeight w:val="216"/>
        </w:trPr>
        <w:tc>
          <w:tcPr>
            <w:tcW w:w="1040" w:type="dxa"/>
            <w:vAlign w:val="bottom"/>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23.02</w:t>
              </w:r>
            </w:hyperlink>
          </w:p>
        </w:tc>
        <w:tc>
          <w:tcPr>
            <w:tcW w:w="10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Consent of K&amp;L Gates LLP (included in Exhibit 5.01)</w:t>
            </w:r>
          </w:p>
        </w:tc>
      </w:tr>
      <w:tr>
        <w:trPr>
          <w:trHeight w:val="216"/>
        </w:trPr>
        <w:tc>
          <w:tcPr>
            <w:tcW w:w="10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24.01</w:t>
              </w:r>
            </w:hyperlink>
          </w:p>
        </w:tc>
        <w:tc>
          <w:tcPr>
            <w:tcW w:w="10200" w:type="dxa"/>
            <w:vAlign w:val="bottom"/>
            <w:gridSpan w:val="2"/>
          </w:tcPr>
          <w:p>
            <w:pPr>
              <w:ind w:left="160"/>
              <w:spacing w:after="0"/>
              <w:rPr>
                <w:sz w:val="20"/>
                <w:szCs w:val="20"/>
                <w:color w:val="auto"/>
              </w:rPr>
            </w:pPr>
            <w:r>
              <w:rPr>
                <w:rFonts w:ascii="Arial" w:cs="Arial" w:eastAsia="Arial" w:hAnsi="Arial"/>
                <w:sz w:val="18"/>
                <w:szCs w:val="18"/>
                <w:color w:val="auto"/>
              </w:rPr>
              <w:t>Power of Attorney (included on the signature page of this registration statement)</w:t>
            </w:r>
          </w:p>
        </w:tc>
      </w:tr>
      <w:tr>
        <w:trPr>
          <w:trHeight w:val="216"/>
        </w:trPr>
        <w:tc>
          <w:tcPr>
            <w:tcW w:w="1040" w:type="dxa"/>
            <w:vAlign w:val="bottom"/>
            <w:shd w:val="clear" w:color="auto" w:fill="CCEEFF"/>
          </w:tcPr>
          <w:p>
            <w:pPr>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99.01</w:t>
              </w:r>
            </w:hyperlink>
          </w:p>
        </w:tc>
        <w:tc>
          <w:tcPr>
            <w:tcW w:w="10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ACM Research, Inc. 2016 Omnibus Incentive Plan</w:t>
            </w:r>
          </w:p>
        </w:tc>
      </w:tr>
      <w:tr>
        <w:trPr>
          <w:trHeight w:val="426"/>
        </w:trPr>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as of March 11, 2021.</w:t>
      </w:r>
    </w:p>
    <w:p>
      <w:pPr>
        <w:spacing w:after="0" w:line="164"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ACM RESEARCH, INC.</w:t>
      </w:r>
    </w:p>
    <w:p>
      <w:pPr>
        <w:spacing w:after="0" w:line="2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ARK</w:t>
      </w:r>
      <w:r>
        <w:rPr>
          <w:rFonts w:ascii="Arial" w:cs="Arial" w:eastAsia="Arial" w:hAnsi="Arial"/>
          <w:sz w:val="18"/>
          <w:szCs w:val="18"/>
          <w:color w:val="auto"/>
        </w:rPr>
        <w:t xml:space="preserve"> A. M</w:t>
      </w:r>
      <w:r>
        <w:rPr>
          <w:rFonts w:ascii="Arial" w:cs="Arial" w:eastAsia="Arial" w:hAnsi="Arial"/>
          <w:sz w:val="12"/>
          <w:szCs w:val="12"/>
          <w:color w:val="auto"/>
        </w:rPr>
        <w:t>C</w:t>
      </w:r>
      <w:r>
        <w:rPr>
          <w:rFonts w:ascii="Arial" w:cs="Arial" w:eastAsia="Arial" w:hAnsi="Arial"/>
          <w:sz w:val="18"/>
          <w:szCs w:val="18"/>
          <w:color w:val="auto"/>
        </w:rPr>
        <w:t>K</w:t>
      </w:r>
      <w:r>
        <w:rPr>
          <w:rFonts w:ascii="Arial" w:cs="Arial" w:eastAsia="Arial" w:hAnsi="Arial"/>
          <w:sz w:val="12"/>
          <w:szCs w:val="12"/>
          <w:color w:val="auto"/>
        </w:rPr>
        <w:t>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A. McKechnie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and Treasurer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 AND SIGNATURES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KNOW ALL PERSONS BY THESE PRESENTS that each person whose signature appears below constitutes and appoints David H. Wang and Mark A. McKechnie,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below by the following persons on behalf of the registrant in the capacities and on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p>
        </w:tc>
        <w:tc>
          <w:tcPr>
            <w:tcW w:w="120" w:type="dxa"/>
            <w:vAlign w:val="bottom"/>
          </w:tcPr>
          <w:p>
            <w:pPr>
              <w:spacing w:after="0"/>
              <w:rPr>
                <w:sz w:val="22"/>
                <w:szCs w:val="22"/>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w:t>
            </w:r>
          </w:p>
        </w:tc>
        <w:tc>
          <w:tcPr>
            <w:tcW w:w="100" w:type="dxa"/>
            <w:vAlign w:val="bottom"/>
          </w:tcPr>
          <w:p>
            <w:pPr>
              <w:spacing w:after="0"/>
              <w:rPr>
                <w:sz w:val="22"/>
                <w:szCs w:val="22"/>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w:t>
            </w:r>
          </w:p>
        </w:tc>
      </w:tr>
      <w:tr>
        <w:trPr>
          <w:trHeight w:val="453"/>
        </w:trPr>
        <w:tc>
          <w:tcPr>
            <w:tcW w:w="4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AVID</w:t>
            </w:r>
            <w:r>
              <w:rPr>
                <w:rFonts w:ascii="Arial" w:cs="Arial" w:eastAsia="Arial" w:hAnsi="Arial"/>
                <w:sz w:val="18"/>
                <w:szCs w:val="18"/>
                <w:color w:val="auto"/>
              </w:rPr>
              <w:t xml:space="preserve"> H. W</w:t>
            </w:r>
            <w:r>
              <w:rPr>
                <w:rFonts w:ascii="Arial" w:cs="Arial" w:eastAsia="Arial" w:hAnsi="Arial"/>
                <w:sz w:val="12"/>
                <w:szCs w:val="12"/>
                <w:color w:val="auto"/>
              </w:rPr>
              <w:t>ANG</w:t>
            </w:r>
          </w:p>
        </w:tc>
        <w:tc>
          <w:tcPr>
            <w:tcW w:w="1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Chief Executive Officer, President</w:t>
            </w:r>
          </w:p>
        </w:tc>
        <w:tc>
          <w:tcPr>
            <w:tcW w:w="224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188"/>
        </w:trPr>
        <w:tc>
          <w:tcPr>
            <w:tcW w:w="4400" w:type="dxa"/>
            <w:vAlign w:val="bottom"/>
          </w:tcPr>
          <w:p>
            <w:pPr>
              <w:spacing w:after="0" w:line="189" w:lineRule="exact"/>
              <w:rPr>
                <w:sz w:val="20"/>
                <w:szCs w:val="20"/>
                <w:color w:val="auto"/>
              </w:rPr>
            </w:pPr>
            <w:r>
              <w:rPr>
                <w:rFonts w:ascii="Arial" w:cs="Arial" w:eastAsia="Arial" w:hAnsi="Arial"/>
                <w:sz w:val="18"/>
                <w:szCs w:val="18"/>
                <w:color w:val="auto"/>
              </w:rPr>
              <w:t>David H Wang</w:t>
            </w:r>
          </w:p>
        </w:tc>
        <w:tc>
          <w:tcPr>
            <w:tcW w:w="120" w:type="dxa"/>
            <w:vAlign w:val="bottom"/>
          </w:tcPr>
          <w:p>
            <w:pPr>
              <w:spacing w:after="0"/>
              <w:rPr>
                <w:sz w:val="16"/>
                <w:szCs w:val="16"/>
                <w:color w:val="auto"/>
              </w:rPr>
            </w:pPr>
          </w:p>
        </w:tc>
        <w:tc>
          <w:tcPr>
            <w:tcW w:w="4480" w:type="dxa"/>
            <w:vAlign w:val="bottom"/>
            <w:gridSpan w:val="2"/>
          </w:tcPr>
          <w:p>
            <w:pPr>
              <w:spacing w:after="0" w:line="189" w:lineRule="exact"/>
              <w:rPr>
                <w:sz w:val="20"/>
                <w:szCs w:val="20"/>
                <w:color w:val="auto"/>
              </w:rPr>
            </w:pPr>
            <w:r>
              <w:rPr>
                <w:rFonts w:ascii="Arial" w:cs="Arial" w:eastAsia="Arial" w:hAnsi="Arial"/>
                <w:sz w:val="18"/>
                <w:szCs w:val="18"/>
                <w:color w:val="auto"/>
              </w:rPr>
              <w:t>and Chair of the Board</w:t>
            </w:r>
          </w:p>
        </w:tc>
        <w:tc>
          <w:tcPr>
            <w:tcW w:w="2240" w:type="dxa"/>
            <w:vAlign w:val="bottom"/>
          </w:tcPr>
          <w:p>
            <w:pPr>
              <w:spacing w:after="0"/>
              <w:rPr>
                <w:sz w:val="16"/>
                <w:szCs w:val="16"/>
                <w:color w:val="auto"/>
              </w:rPr>
            </w:pPr>
          </w:p>
        </w:tc>
      </w:tr>
      <w:tr>
        <w:trPr>
          <w:trHeight w:val="230"/>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240" w:type="dxa"/>
            <w:vAlign w:val="bottom"/>
          </w:tcPr>
          <w:p>
            <w:pPr>
              <w:spacing w:after="0"/>
              <w:rPr>
                <w:sz w:val="20"/>
                <w:szCs w:val="20"/>
                <w:color w:val="auto"/>
              </w:rPr>
            </w:pPr>
          </w:p>
        </w:tc>
      </w:tr>
      <w:tr>
        <w:trPr>
          <w:trHeight w:val="452"/>
        </w:trPr>
        <w:tc>
          <w:tcPr>
            <w:tcW w:w="4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ARK</w:t>
            </w:r>
            <w:r>
              <w:rPr>
                <w:rFonts w:ascii="Arial" w:cs="Arial" w:eastAsia="Arial" w:hAnsi="Arial"/>
                <w:sz w:val="18"/>
                <w:szCs w:val="18"/>
                <w:color w:val="auto"/>
              </w:rPr>
              <w:t xml:space="preserve"> A. M</w:t>
            </w:r>
            <w:r>
              <w:rPr>
                <w:rFonts w:ascii="Arial" w:cs="Arial" w:eastAsia="Arial" w:hAnsi="Arial"/>
                <w:sz w:val="12"/>
                <w:szCs w:val="12"/>
                <w:color w:val="auto"/>
              </w:rPr>
              <w:t>C</w:t>
            </w:r>
            <w:r>
              <w:rPr>
                <w:rFonts w:ascii="Arial" w:cs="Arial" w:eastAsia="Arial" w:hAnsi="Arial"/>
                <w:sz w:val="18"/>
                <w:szCs w:val="18"/>
                <w:color w:val="auto"/>
              </w:rPr>
              <w:t>K</w:t>
            </w:r>
            <w:r>
              <w:rPr>
                <w:rFonts w:ascii="Arial" w:cs="Arial" w:eastAsia="Arial" w:hAnsi="Arial"/>
                <w:sz w:val="12"/>
                <w:szCs w:val="12"/>
                <w:color w:val="auto"/>
              </w:rPr>
              <w:t>ECHNIE</w:t>
            </w:r>
          </w:p>
        </w:tc>
        <w:tc>
          <w:tcPr>
            <w:tcW w:w="1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240" w:type="dxa"/>
            <w:vAlign w:val="bottom"/>
          </w:tcPr>
          <w:p>
            <w:pPr>
              <w:spacing w:after="0"/>
              <w:rPr>
                <w:sz w:val="20"/>
                <w:szCs w:val="20"/>
                <w:color w:val="auto"/>
              </w:rPr>
            </w:pPr>
            <w:r>
              <w:rPr>
                <w:rFonts w:ascii="Arial" w:cs="Arial" w:eastAsia="Arial" w:hAnsi="Arial"/>
                <w:sz w:val="18"/>
                <w:szCs w:val="18"/>
                <w:color w:val="auto"/>
              </w:rPr>
              <w:t>March 11, 2021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Mark A. McKechnie</w:t>
            </w:r>
          </w:p>
        </w:tc>
        <w:tc>
          <w:tcPr>
            <w:tcW w:w="120" w:type="dxa"/>
            <w:vAlign w:val="bottom"/>
          </w:tcPr>
          <w:p>
            <w:pPr>
              <w:spacing w:after="0"/>
              <w:rPr>
                <w:sz w:val="20"/>
                <w:szCs w:val="20"/>
                <w:color w:val="auto"/>
              </w:rPr>
            </w:pPr>
          </w:p>
        </w:tc>
        <w:tc>
          <w:tcPr>
            <w:tcW w:w="44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(Principal Financial and Accounting Officer)</w:t>
            </w:r>
          </w:p>
        </w:tc>
        <w:tc>
          <w:tcPr>
            <w:tcW w:w="22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H</w:t>
            </w:r>
            <w:r>
              <w:rPr>
                <w:rFonts w:ascii="Arial" w:cs="Arial" w:eastAsia="Arial" w:hAnsi="Arial"/>
                <w:sz w:val="12"/>
                <w:szCs w:val="12"/>
                <w:color w:val="auto"/>
              </w:rPr>
              <w:t>AIPING</w:t>
            </w:r>
            <w:r>
              <w:rPr>
                <w:rFonts w:ascii="Arial" w:cs="Arial" w:eastAsia="Arial" w:hAnsi="Arial"/>
                <w:sz w:val="18"/>
                <w:szCs w:val="18"/>
                <w:color w:val="auto"/>
              </w:rPr>
              <w:t xml:space="preserve"> D</w:t>
            </w:r>
            <w:r>
              <w:rPr>
                <w:rFonts w:ascii="Arial" w:cs="Arial" w:eastAsia="Arial" w:hAnsi="Arial"/>
                <w:sz w:val="12"/>
                <w:szCs w:val="12"/>
                <w:color w:val="auto"/>
              </w:rPr>
              <w:t>UN</w:t>
            </w:r>
          </w:p>
        </w:tc>
        <w:tc>
          <w:tcPr>
            <w:tcW w:w="1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9, 2021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Haiping Dun</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C</w:t>
            </w:r>
            <w:r>
              <w:rPr>
                <w:rFonts w:ascii="Arial" w:cs="Arial" w:eastAsia="Arial" w:hAnsi="Arial"/>
                <w:sz w:val="12"/>
                <w:szCs w:val="12"/>
                <w:color w:val="auto"/>
              </w:rPr>
              <w:t>HENMING</w:t>
            </w:r>
            <w:r>
              <w:rPr>
                <w:rFonts w:ascii="Arial" w:cs="Arial" w:eastAsia="Arial" w:hAnsi="Arial"/>
                <w:sz w:val="18"/>
                <w:szCs w:val="18"/>
                <w:color w:val="auto"/>
              </w:rPr>
              <w:t xml:space="preserve"> H</w:t>
            </w:r>
            <w:r>
              <w:rPr>
                <w:rFonts w:ascii="Arial" w:cs="Arial" w:eastAsia="Arial" w:hAnsi="Arial"/>
                <w:sz w:val="12"/>
                <w:szCs w:val="12"/>
                <w:color w:val="auto"/>
              </w:rPr>
              <w:t>U</w:t>
            </w:r>
          </w:p>
        </w:tc>
        <w:tc>
          <w:tcPr>
            <w:tcW w:w="1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9, 2021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Chenming Hu</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T</w:t>
            </w:r>
            <w:r>
              <w:rPr>
                <w:rFonts w:ascii="Arial" w:cs="Arial" w:eastAsia="Arial" w:hAnsi="Arial"/>
                <w:sz w:val="12"/>
                <w:szCs w:val="12"/>
                <w:color w:val="auto"/>
              </w:rPr>
              <w:t>RACY</w:t>
            </w:r>
            <w:r>
              <w:rPr>
                <w:rFonts w:ascii="Arial" w:cs="Arial" w:eastAsia="Arial" w:hAnsi="Arial"/>
                <w:sz w:val="18"/>
                <w:szCs w:val="18"/>
                <w:color w:val="auto"/>
              </w:rPr>
              <w:t xml:space="preserve"> L</w:t>
            </w:r>
            <w:r>
              <w:rPr>
                <w:rFonts w:ascii="Arial" w:cs="Arial" w:eastAsia="Arial" w:hAnsi="Arial"/>
                <w:sz w:val="12"/>
                <w:szCs w:val="12"/>
                <w:color w:val="auto"/>
              </w:rPr>
              <w:t>IU</w:t>
            </w:r>
          </w:p>
        </w:tc>
        <w:tc>
          <w:tcPr>
            <w:tcW w:w="1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9, 2021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Tracy Liu</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r>
              <w:rPr>
                <w:rFonts w:ascii="Arial" w:cs="Arial" w:eastAsia="Arial" w:hAnsi="Arial"/>
                <w:sz w:val="9"/>
                <w:szCs w:val="9"/>
                <w:color w:val="auto"/>
              </w:rPr>
              <w:t>S</w:t>
            </w:r>
            <w:r>
              <w:rPr>
                <w:rFonts w:ascii="Arial" w:cs="Arial" w:eastAsia="Arial" w:hAnsi="Arial"/>
                <w:sz w:val="14"/>
                <w:szCs w:val="14"/>
                <w:color w:val="auto"/>
              </w:rPr>
              <w:t>/ Y</w:t>
            </w:r>
            <w:r>
              <w:rPr>
                <w:rFonts w:ascii="Arial" w:cs="Arial" w:eastAsia="Arial" w:hAnsi="Arial"/>
                <w:sz w:val="9"/>
                <w:szCs w:val="9"/>
                <w:color w:val="auto"/>
              </w:rPr>
              <w:t>INAN</w:t>
            </w:r>
            <w:r>
              <w:rPr>
                <w:rFonts w:ascii="Arial" w:cs="Arial" w:eastAsia="Arial" w:hAnsi="Arial"/>
                <w:sz w:val="14"/>
                <w:szCs w:val="14"/>
                <w:color w:val="auto"/>
              </w:rPr>
              <w:t xml:space="preserve"> X</w:t>
            </w:r>
            <w:r>
              <w:rPr>
                <w:rFonts w:ascii="Arial" w:cs="Arial" w:eastAsia="Arial" w:hAnsi="Arial"/>
                <w:sz w:val="9"/>
                <w:szCs w:val="9"/>
                <w:color w:val="auto"/>
              </w:rPr>
              <w:t>IANG</w:t>
            </w:r>
          </w:p>
        </w:tc>
        <w:tc>
          <w:tcPr>
            <w:tcW w:w="1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11, 2021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Yinan Xiang</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March ___, 2021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Zhengfan Yang</w:t>
            </w: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587"/>
        </w:trPr>
        <w:tc>
          <w:tcPr>
            <w:tcW w:w="4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5.01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K&amp;L Gates LLP</w:t>
      </w:r>
    </w:p>
    <w:p>
      <w:pPr>
        <w:jc w:val="center"/>
        <w:spacing w:after="0" w:line="238" w:lineRule="auto"/>
        <w:rPr>
          <w:sz w:val="20"/>
          <w:szCs w:val="20"/>
          <w:color w:val="auto"/>
        </w:rPr>
      </w:pPr>
      <w:r>
        <w:rPr>
          <w:rFonts w:ascii="Arial" w:cs="Arial" w:eastAsia="Arial" w:hAnsi="Arial"/>
          <w:sz w:val="22"/>
          <w:szCs w:val="22"/>
          <w:color w:val="auto"/>
        </w:rPr>
        <w:t>State Street Financial Center, One Lincoln Street</w:t>
      </w:r>
    </w:p>
    <w:p>
      <w:pPr>
        <w:jc w:val="center"/>
        <w:spacing w:after="0"/>
        <w:rPr>
          <w:sz w:val="20"/>
          <w:szCs w:val="20"/>
          <w:color w:val="auto"/>
        </w:rPr>
      </w:pPr>
      <w:r>
        <w:rPr>
          <w:rFonts w:ascii="Arial" w:cs="Arial" w:eastAsia="Arial" w:hAnsi="Arial"/>
          <w:sz w:val="22"/>
          <w:szCs w:val="22"/>
          <w:color w:val="auto"/>
        </w:rPr>
        <w:t>Boston, Massachusetts 02111-2950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11,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ACM R</w:t>
      </w:r>
      <w:r>
        <w:rPr>
          <w:rFonts w:ascii="Arial" w:cs="Arial" w:eastAsia="Arial" w:hAnsi="Arial"/>
          <w:sz w:val="14"/>
          <w:szCs w:val="14"/>
          <w:color w:val="auto"/>
        </w:rPr>
        <w:t>ESEARCH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42307 Osgood Road, Suite I</w:t>
      </w:r>
    </w:p>
    <w:p>
      <w:pPr>
        <w:spacing w:after="0"/>
        <w:rPr>
          <w:sz w:val="20"/>
          <w:szCs w:val="20"/>
          <w:color w:val="auto"/>
        </w:rPr>
      </w:pPr>
      <w:r>
        <w:rPr>
          <w:rFonts w:ascii="Arial" w:cs="Arial" w:eastAsia="Arial" w:hAnsi="Arial"/>
          <w:sz w:val="22"/>
          <w:szCs w:val="22"/>
          <w:color w:val="auto"/>
        </w:rPr>
        <w:t>Fremont, California 94539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We are counsel to ACM Research, Inc.,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we have acted as counsel to the Company in connection with the preparation of the Registration Statement on Form S-8 (the “</w:t>
      </w:r>
      <w:r>
        <w:rPr>
          <w:rFonts w:ascii="Arial" w:cs="Arial" w:eastAsia="Arial" w:hAnsi="Arial"/>
          <w:sz w:val="19"/>
          <w:szCs w:val="19"/>
          <w:i w:val="1"/>
          <w:iCs w:val="1"/>
          <w:color w:val="auto"/>
        </w:rPr>
        <w:t>Registration Statement</w:t>
      </w:r>
      <w:r>
        <w:rPr>
          <w:rFonts w:ascii="Arial" w:cs="Arial" w:eastAsia="Arial" w:hAnsi="Arial"/>
          <w:sz w:val="19"/>
          <w:szCs w:val="19"/>
          <w:color w:val="auto"/>
        </w:rPr>
        <w:t>”) to be filed by the Company with the Securities and Exchange Commission for the registration under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of 1,469,761 shares (the “</w:t>
      </w:r>
      <w:r>
        <w:rPr>
          <w:rFonts w:ascii="Arial" w:cs="Arial" w:eastAsia="Arial" w:hAnsi="Arial"/>
          <w:sz w:val="19"/>
          <w:szCs w:val="19"/>
          <w:i w:val="1"/>
          <w:iCs w:val="1"/>
          <w:color w:val="auto"/>
        </w:rPr>
        <w:t>Shares</w:t>
      </w:r>
      <w:r>
        <w:rPr>
          <w:rFonts w:ascii="Arial" w:cs="Arial" w:eastAsia="Arial" w:hAnsi="Arial"/>
          <w:sz w:val="19"/>
          <w:szCs w:val="19"/>
          <w:color w:val="auto"/>
        </w:rPr>
        <w:t>”) of the Company’s Class A common stock, $0.0001 par value per share, which are to be issued from time to time in connection with the Company’s the 2016 Omnibus Incentive Plan (the “</w:t>
      </w:r>
      <w:r>
        <w:rPr>
          <w:rFonts w:ascii="Arial" w:cs="Arial" w:eastAsia="Arial" w:hAnsi="Arial"/>
          <w:sz w:val="19"/>
          <w:szCs w:val="19"/>
          <w:i w:val="1"/>
          <w:iCs w:val="1"/>
          <w:color w:val="auto"/>
        </w:rPr>
        <w:t>Plan</w:t>
      </w:r>
      <w:r>
        <w:rPr>
          <w:rFonts w:ascii="Arial" w:cs="Arial" w:eastAsia="Arial" w:hAnsi="Arial"/>
          <w:sz w:val="19"/>
          <w:szCs w:val="19"/>
          <w:color w:val="auto"/>
        </w:rPr>
        <w:t>”).</w:t>
      </w:r>
    </w:p>
    <w:p>
      <w:pPr>
        <w:spacing w:after="0" w:line="17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This opinion is being delivered in accordance with the requirements of Item 601(b)(5) of Regulation S-K under the Securities Act.</w:t>
      </w:r>
    </w:p>
    <w:p>
      <w:pPr>
        <w:spacing w:after="0" w:line="20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You have requested our opinion as to the matters set forth below in connection with the Registration Statement. For purposes of rendering that opinion, we have examined copies of the Plan, the Registration Statement, the Company’s Restated Certificate of Incorporation and Restated Bylaws, and the corporate actions of the Company that provide for the issuance of the Shares, and we have made such other investigation as we have deemed appropriate. We also have examined and relied upon certificates of public officials and, in rendering our opinion, we have made the assumptions that are customary in opinion letters of this kind. We have not verified any of those assumptions.</w:t>
      </w:r>
    </w:p>
    <w:p>
      <w:pPr>
        <w:spacing w:after="0" w:line="20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Based upon and subject to the foregoing and the additional qualifications and other matters set forth below, we are of the opinion that the Shares have been duly and validly authorized and reserved for issuance and that the Shares, when issued in accordance with the terms of the Plan, will be validly issued, fully paid and nonassessable.</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opinion expressed in this opinion letter is limited to the laws of the State of Delaware. The foregoing opinion is rendered as of the date of this letter. We assume no obligation to update or supplement such opinion in order to reflect any changes of law or fact that may occur.</w:t>
      </w:r>
    </w:p>
    <w:p>
      <w:pPr>
        <w:spacing w:after="0" w:line="21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We are furnishing this opinion letter to you solely in connection with the Registration Statement. You may not rely on this opinion letter in any other connection, and it may not be furnished to or relied upon by any other person for any purpose, without our specific prior written consent. We hereby consent to the filing of this opinion as Exhibit 5.01 to the Registration Statement. In giving our consent we do not thereby admit that we are in the category of persons whose consent is required under Section 7 of the Securities Act or the rules and regulations thereunder.</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K&amp;L Gates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23.01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ACM Research, Inc.</w:t>
      </w:r>
    </w:p>
    <w:p>
      <w:pPr>
        <w:spacing w:after="0" w:line="238" w:lineRule="auto"/>
        <w:rPr>
          <w:sz w:val="20"/>
          <w:szCs w:val="20"/>
          <w:color w:val="auto"/>
        </w:rPr>
      </w:pPr>
      <w:r>
        <w:rPr>
          <w:rFonts w:ascii="Arial" w:cs="Arial" w:eastAsia="Arial" w:hAnsi="Arial"/>
          <w:sz w:val="22"/>
          <w:szCs w:val="22"/>
          <w:color w:val="auto"/>
        </w:rPr>
        <w:t>42307 Osgood Road, Suite I</w:t>
      </w:r>
    </w:p>
    <w:p>
      <w:pPr>
        <w:spacing w:after="0" w:line="230" w:lineRule="auto"/>
        <w:rPr>
          <w:sz w:val="20"/>
          <w:szCs w:val="20"/>
          <w:color w:val="auto"/>
        </w:rPr>
      </w:pPr>
      <w:r>
        <w:rPr>
          <w:rFonts w:ascii="Arial" w:cs="Arial" w:eastAsia="Arial" w:hAnsi="Arial"/>
          <w:sz w:val="22"/>
          <w:szCs w:val="22"/>
          <w:color w:val="auto"/>
        </w:rPr>
        <w:t>Fremont, California 94539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United States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hereby consent to the incorporation by reference in the Registration Statement on Form S-8 of our reports dated March 1, 2021, relating to the consolidated financial statements and the effectiveness of internal control over financial reporting of ACM Research, Inc. appearing in its Annual Report on Form 10-K for the year ended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/s/ BDO China Shu Lun Pan Certified Public Accountants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BDO China Shu Lun Pan Certified Public Accountants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Shenzhen, The People’s Republic of China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8" Type="http://schemas.openxmlformats.org/officeDocument/2006/relationships/hyperlink" Target="https://www.sec.gov/Archives/edgar/data/1680062/000119312517342650/d407541dex301.htm" TargetMode="External"/><Relationship Id="rId19" Type="http://schemas.openxmlformats.org/officeDocument/2006/relationships/hyperlink" Target="https://www.sec.gov/Archives/edgar/data/1680062/000119312517342650/d407541dex302.htm" TargetMode="External"/><Relationship Id="rId20" Type="http://schemas.openxmlformats.org/officeDocument/2006/relationships/hyperlink" Target="https://www.sec.gov/Archives/edgar/data/1680062/000119312517364926/d481028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2021-03-11T15:59:41Z</dcterms:created>
  <dcterms:modified xsi:type="dcterms:W3CDTF">2021-03-11T15:59:41Z</dcterms:modified>
</cp:coreProperties>
</file>