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27, 2022</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32"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6"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466"/>
        </w:trPr>
        <w:tc>
          <w:tcPr>
            <w:tcW w:w="532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 symbol</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100" w:type="dxa"/>
            <w:vAlign w:val="bottom"/>
          </w:tcPr>
          <w:p>
            <w:pPr>
              <w:spacing w:after="0"/>
              <w:rPr>
                <w:sz w:val="20"/>
                <w:szCs w:val="20"/>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27, 2022, we issued a press release entitled “ACM Research Announces Preliminary Unaudited Revenue Range for Third Quarter 2022.” The full text of the press release is furnished as Exhibit 99.01 hereto and is incorporated herein by reference</w:t>
      </w:r>
      <w:r>
        <w:rPr>
          <w:rFonts w:ascii="Arial" w:cs="Arial" w:eastAsia="Arial" w:hAnsi="Arial"/>
          <w:sz w:val="18"/>
          <w:szCs w:val="18"/>
          <w:i w:val="1"/>
          <w:iCs w:val="1"/>
          <w:color w:val="auto"/>
        </w:rPr>
        <w:t>.</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860" w:type="dxa"/>
            <w:vAlign w:val="bottom"/>
            <w:tcBorders>
              <w:top w:val="single" w:sz="8" w:color="auto"/>
            </w:tcBorders>
            <w:gridSpan w:val="3"/>
          </w:tcPr>
          <w:p>
            <w:pPr>
              <w:jc w:val="center"/>
              <w:ind w:right="200"/>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01</w:t>
            </w:r>
          </w:p>
        </w:tc>
        <w:tc>
          <w:tcPr>
            <w:tcW w:w="300" w:type="dxa"/>
            <w:vAlign w:val="bottom"/>
          </w:tcPr>
          <w:p>
            <w:pPr>
              <w:spacing w:after="0"/>
              <w:rPr>
                <w:sz w:val="15"/>
                <w:szCs w:val="15"/>
                <w:color w:val="auto"/>
              </w:rPr>
            </w:pPr>
          </w:p>
        </w:tc>
        <w:tc>
          <w:tcPr>
            <w:tcW w:w="100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Press Release of ACM Research, Inc. dated October 27, 2022</w:t>
            </w:r>
          </w:p>
        </w:tc>
      </w:tr>
      <w:tr>
        <w:trPr>
          <w:trHeight w:val="453"/>
        </w:trPr>
        <w:tc>
          <w:tcPr>
            <w:tcW w:w="240" w:type="dxa"/>
            <w:vAlign w:val="bottom"/>
          </w:tcPr>
          <w:p>
            <w:pPr>
              <w:spacing w:after="0"/>
              <w:rPr>
                <w:sz w:val="24"/>
                <w:szCs w:val="24"/>
                <w:color w:val="auto"/>
              </w:rPr>
            </w:pPr>
          </w:p>
        </w:tc>
        <w:tc>
          <w:tcPr>
            <w:tcW w:w="40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XBRL document)</w:t>
            </w:r>
          </w:p>
        </w:tc>
      </w:tr>
      <w:tr>
        <w:trPr>
          <w:trHeight w:val="582"/>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80" w:type="dxa"/>
            <w:vAlign w:val="bottom"/>
          </w:tcPr>
          <w:p>
            <w:pPr>
              <w:jc w:val="right"/>
              <w:ind w:right="5495"/>
              <w:spacing w:after="0"/>
              <w:rPr>
                <w:sz w:val="20"/>
                <w:szCs w:val="20"/>
                <w:color w:val="auto"/>
              </w:rPr>
            </w:pPr>
            <w:r>
              <w:rPr>
                <w:rFonts w:ascii="Arial" w:cs="Arial" w:eastAsia="Arial" w:hAnsi="Arial"/>
                <w:sz w:val="14"/>
                <w:szCs w:val="14"/>
                <w:color w:val="auto"/>
              </w:rPr>
              <w:t>2</w:t>
            </w:r>
          </w:p>
        </w:tc>
      </w:tr>
      <w:tr>
        <w:trPr>
          <w:trHeight w:val="46"/>
        </w:trPr>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2022</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165100</wp:posOffset>
            </wp:positionV>
            <wp:extent cx="882650" cy="539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26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Announces Preliminary Unaudited Revenue Range for Third Quarter 2022</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FREMONT, Calif., Oct. 27, 2022 (GLOBE NEWSWIRE) -- </w:t>
      </w:r>
      <w:r>
        <w:rPr>
          <w:rFonts w:ascii="Arial" w:cs="Arial" w:eastAsia="Arial" w:hAnsi="Arial"/>
          <w:sz w:val="18"/>
          <w:szCs w:val="18"/>
          <w:u w:val="single" w:color="auto"/>
          <w:color w:val="auto"/>
        </w:rPr>
        <w:t>ACM Research, Inc</w:t>
      </w:r>
      <w:r>
        <w:rPr>
          <w:rFonts w:ascii="Arial" w:cs="Arial" w:eastAsia="Arial" w:hAnsi="Arial"/>
          <w:sz w:val="18"/>
          <w:szCs w:val="18"/>
          <w:color w:val="auto"/>
        </w:rPr>
        <w:t>. (“ACM”) (NASDAQ: ACMR), a leading supplier of wafer processing</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for semiconductor and advanced wafer-level packaging (WLP) applications, today announced that its preliminary unaudited revenue for the third quarter of 2022 is expected to be in the range of $128 million to $133 million. Actual unaudited third quarter 2022 results are subject to the completion of ACM’s quarter end closing procedures and review by ACM’s independent registered public accounting firm. ACM will discuss its full financial results for the third quarter of 2022 and its revenue outlook for the remainder of the year on its earnings call on Friday, November 4, 2022, at 8 a.m. Eastern Time (8 p.m. China Time).</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Today’s release of ACM’s third quarter 2022 preliminary unaudited expected revenue range coincides with the release of unaudited financial results by ACM Research (Shanghai), Inc., ACM’s principal operating subsidiary (ACM Shanghai), to the Shanghai Stock Exchange website [</w:t>
      </w:r>
      <w:r>
        <w:rPr>
          <w:rFonts w:ascii="Arial" w:cs="Arial" w:eastAsia="Arial" w:hAnsi="Arial"/>
          <w:sz w:val="17"/>
          <w:szCs w:val="17"/>
          <w:u w:val="single" w:color="auto"/>
          <w:color w:val="auto"/>
        </w:rPr>
        <w:t>link to China</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Disclosure</w:t>
      </w:r>
      <w:r>
        <w:rPr>
          <w:rFonts w:ascii="Arial" w:cs="Arial" w:eastAsia="Arial" w:hAnsi="Arial"/>
          <w:sz w:val="17"/>
          <w:szCs w:val="17"/>
          <w:color w:val="auto"/>
        </w:rPr>
        <w:t>]. ACM currently owns an 82.5% equity interest in ACM Shanghai, and a substantial majority of ACM’s consolidated revenue and net income is contributed by ACM Shanghai. The stand-alone financial results of ACM Shanghai are reported in RMB as prepared in accordance with Chinese GAAP,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ACM develops, manufactures, and sells semiconductor process equipment for single-wafer or batch wet cleaning, electroplating, stress-free polishing and thermal processes, which are critical to advanced semiconductor device manufacturing and wafer-level packaging. ACM is committed to delivering customized, high-performance, cost-effective process solutions that semiconductor manufacturers can use in numerous manufacturing steps to improve productivity and product yield. For more information, visit </w:t>
      </w:r>
      <w:r>
        <w:rPr>
          <w:rFonts w:ascii="Arial" w:cs="Arial" w:eastAsia="Arial" w:hAnsi="Arial"/>
          <w:sz w:val="18"/>
          <w:szCs w:val="18"/>
          <w:u w:val="single" w:color="auto"/>
          <w:color w:val="auto"/>
        </w:rPr>
        <w:t>www.acmrcsh.com</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Information presented in this press release includes forward-looking statements for purposes of the safe harbor provisions of the Private Securities Litigation Reform Act of 1995. All statements contained in this press release that do not relate to matters of historical fact should be considered forward-looking statements, including statements in the first paragraph with respect to the estimated amount and timing of revenue in 2022.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ACM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 products and in disruption of capital and credit markets; ACM’s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and adversely affect ACM due to its substantial non-U.S. customer and supplier base and its substantial non-U.S. manufacturing operations. A further description of these risks, uncertainties and other matters can be found in filings ACM makes with the U.S. Securities and Exchange Commission. Because forward-looking statements involve risks and uncertainties, actual results and events may differ materially from results and events currently expected by ACM.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ind w:firstLine="8"/>
        <w:spacing w:after="0" w:line="308" w:lineRule="auto"/>
        <w:tabs>
          <w:tab w:leader="none" w:pos="205" w:val="left"/>
        </w:tabs>
        <w:numPr>
          <w:ilvl w:val="0"/>
          <w:numId w:val="3"/>
        </w:numPr>
        <w:rPr>
          <w:rFonts w:ascii="Arial" w:cs="Arial" w:eastAsia="Arial" w:hAnsi="Arial"/>
          <w:sz w:val="17"/>
          <w:szCs w:val="17"/>
          <w:color w:val="auto"/>
        </w:rPr>
      </w:pPr>
      <w:r>
        <w:rPr>
          <w:rFonts w:ascii="Arial" w:cs="Arial" w:eastAsia="Arial" w:hAnsi="Arial"/>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9360" w:type="dxa"/>
            <w:vAlign w:val="bottom"/>
          </w:tcPr>
          <w:p>
            <w:pPr>
              <w:ind w:left="380"/>
              <w:spacing w:after="0"/>
              <w:rPr>
                <w:sz w:val="20"/>
                <w:szCs w:val="20"/>
                <w:color w:val="auto"/>
              </w:rPr>
            </w:pPr>
            <w:r>
              <w:rPr>
                <w:rFonts w:ascii="Arial" w:cs="Arial" w:eastAsia="Arial" w:hAnsi="Arial"/>
                <w:sz w:val="18"/>
                <w:szCs w:val="18"/>
                <w:color w:val="auto"/>
              </w:rPr>
              <w:t>The Blueshirt Group</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360" w:type="dxa"/>
            <w:vAlign w:val="bottom"/>
          </w:tcPr>
          <w:p>
            <w:pPr>
              <w:ind w:left="380"/>
              <w:spacing w:after="0"/>
              <w:rPr>
                <w:sz w:val="20"/>
                <w:szCs w:val="20"/>
                <w:color w:val="auto"/>
              </w:rPr>
            </w:pPr>
            <w:r>
              <w:rPr>
                <w:rFonts w:ascii="Arial" w:cs="Arial" w:eastAsia="Arial" w:hAnsi="Arial"/>
                <w:sz w:val="18"/>
                <w:szCs w:val="18"/>
                <w:color w:val="auto"/>
              </w:rPr>
              <w:t>Yujia Zhai</w:t>
            </w:r>
          </w:p>
        </w:tc>
      </w:tr>
      <w:tr>
        <w:trPr>
          <w:trHeight w:val="216"/>
        </w:trPr>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360" w:type="dxa"/>
            <w:vAlign w:val="bottom"/>
          </w:tcPr>
          <w:p>
            <w:pPr>
              <w:ind w:left="380"/>
              <w:spacing w:after="0"/>
              <w:rPr>
                <w:sz w:val="20"/>
                <w:szCs w:val="20"/>
                <w:color w:val="auto"/>
              </w:rPr>
            </w:pPr>
            <w:r>
              <w:rPr>
                <w:rFonts w:ascii="Arial" w:cs="Arial" w:eastAsia="Arial" w:hAnsi="Arial"/>
                <w:sz w:val="18"/>
                <w:szCs w:val="18"/>
                <w:color w:val="auto"/>
              </w:rPr>
              <w:t>+1 (860) 214-0809</w:t>
            </w:r>
          </w:p>
        </w:tc>
      </w:tr>
      <w:tr>
        <w:trPr>
          <w:trHeight w:val="230"/>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60" w:type="dxa"/>
            <w:vAlign w:val="bottom"/>
          </w:tcPr>
          <w:p>
            <w:pPr>
              <w:ind w:left="380"/>
              <w:spacing w:after="0"/>
              <w:rPr>
                <w:sz w:val="20"/>
                <w:szCs w:val="20"/>
                <w:color w:val="auto"/>
              </w:rPr>
            </w:pPr>
            <w:r>
              <w:rPr>
                <w:rFonts w:ascii="Arial" w:cs="Arial" w:eastAsia="Arial" w:hAnsi="Arial"/>
                <w:sz w:val="18"/>
                <w:szCs w:val="18"/>
                <w:i w:val="1"/>
                <w:iCs w:val="1"/>
                <w:color w:val="auto"/>
              </w:rPr>
              <w:t>yujia@blueshirtgroup.com</w:t>
            </w:r>
          </w:p>
        </w:tc>
      </w:tr>
      <w:tr>
        <w:trPr>
          <w:trHeight w:val="392"/>
        </w:trPr>
        <w:tc>
          <w:tcPr>
            <w:tcW w:w="188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9360" w:type="dxa"/>
            <w:vAlign w:val="bottom"/>
          </w:tcPr>
          <w:p>
            <w:pPr>
              <w:ind w:left="380"/>
              <w:spacing w:after="0"/>
              <w:rPr>
                <w:sz w:val="20"/>
                <w:szCs w:val="20"/>
                <w:color w:val="auto"/>
              </w:rPr>
            </w:pPr>
            <w:r>
              <w:rPr>
                <w:rFonts w:ascii="Arial" w:cs="Arial" w:eastAsia="Arial" w:hAnsi="Arial"/>
                <w:sz w:val="18"/>
                <w:szCs w:val="18"/>
                <w:color w:val="auto"/>
              </w:rPr>
              <w:t>The Blueshirt Group Asia</w:t>
            </w:r>
          </w:p>
        </w:tc>
      </w:tr>
      <w:tr>
        <w:trPr>
          <w:trHeight w:val="222"/>
        </w:trPr>
        <w:tc>
          <w:tcPr>
            <w:tcW w:w="64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60" w:type="dxa"/>
            <w:vAlign w:val="bottom"/>
          </w:tcPr>
          <w:p>
            <w:pPr>
              <w:ind w:left="380"/>
              <w:spacing w:after="0"/>
              <w:rPr>
                <w:sz w:val="20"/>
                <w:szCs w:val="20"/>
                <w:color w:val="auto"/>
              </w:rPr>
            </w:pPr>
            <w:r>
              <w:rPr>
                <w:rFonts w:ascii="Arial" w:cs="Arial" w:eastAsia="Arial" w:hAnsi="Arial"/>
                <w:sz w:val="18"/>
                <w:szCs w:val="18"/>
                <w:color w:val="auto"/>
              </w:rPr>
              <w:t>Gary Dvorchak, CFA</w:t>
            </w:r>
          </w:p>
        </w:tc>
      </w:tr>
      <w:tr>
        <w:trPr>
          <w:trHeight w:val="230"/>
        </w:trPr>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60" w:type="dxa"/>
            <w:vAlign w:val="bottom"/>
          </w:tcPr>
          <w:p>
            <w:pPr>
              <w:ind w:left="380"/>
              <w:spacing w:after="0"/>
              <w:rPr>
                <w:sz w:val="20"/>
                <w:szCs w:val="20"/>
                <w:color w:val="auto"/>
              </w:rPr>
            </w:pPr>
            <w:r>
              <w:rPr>
                <w:rFonts w:ascii="Arial" w:cs="Arial" w:eastAsia="Arial" w:hAnsi="Arial"/>
                <w:sz w:val="18"/>
                <w:szCs w:val="18"/>
                <w:color w:val="auto"/>
              </w:rPr>
              <w:t>+86 (138) 1079-1480</w:t>
            </w:r>
          </w:p>
        </w:tc>
      </w:tr>
      <w:tr>
        <w:trPr>
          <w:trHeight w:val="601"/>
        </w:trPr>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2022-10-27T17:20:26Z</dcterms:created>
  <dcterms:modified xsi:type="dcterms:W3CDTF">2022-10-27T17:20:26Z</dcterms:modified>
</cp:coreProperties>
</file>