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4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w:t>
            </w:r>
          </w:p>
        </w:tc>
        <w:tc>
          <w:tcPr>
            <w:tcW w:w="2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4"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2024, the primary operating subsidiary of ACM Research, Inc. (the “Company”), ACM Research (Shanghai), Inc. (“ACM Shanghai”), held its Annual Stockholder Meeting in Shanghai, China. During this meeting, the stockholders of ACM Shanghai approved and adopted various resolutions, including the following:</w:t>
      </w:r>
    </w:p>
    <w:p>
      <w:pPr>
        <w:spacing w:after="0" w:line="176"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dividend to be paid to the stockholders of ACM Shanghai for an aggregate total of approximately RMB 273.2 million (approximately $37.7 million based on currency exchange rates as of June 18, 2024). The payment is expected to be completed by the end of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2024 financial budget plan for ACM Shanghai, under Chinese generally accepted accounting principles, which included estimated revenue growth of 29%-49% and an estimated growth rate of research and development expenses of 22%-58%.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82.1% of the outstanding shares of ACM Shanghai. It is possible that ACM Shanghai may not pay the dividend per the approved resolutions, and even if paid, the net amount and the timing of any proceeds to be repatriated by the Company to the United States would be uncertain. If the proposed dividend is paid, the Company intends to use the net proceeds, if any, for working capital and general corporate purposes.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majority of the Company’s consolidated revenue and net income is contributed by ACM Shanghai. The stand-alone financial results of ACM Shanghai are reported in RMB as prepared in accordance with Chinese generally accepted accounting principles, and those results will differ, potentially materially, from the Company’s consolidated revenue and net profit for the period, which will reflect additional financial and operational items and will be prepared in U.S. dollars in accordance with U.S. generally accepted accounting principles.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report are not historical facts and may be forward-looking statements within the meaning of the Private Securities Litigation Reform Act of 1995. Words such as “plans,” “expects,” “believes,” “anticipates,” “designed,” “estimated,” and similar words are intended to identify forward looking statements. Forward-looking statements are based on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the Company makes with the U.S. Securities and Exchange Commission, all of which are available at www.sec.gov. Because forward-looking statements involve risks and uncertainties, actual results and events may differ materially from results and events currently expected by the Company. Readers are cautioned not to place undue reliance on these forward-looking statements, which speak only as of the date hereof. The Company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2024-06-20T15:48:43Z</dcterms:created>
  <dcterms:modified xsi:type="dcterms:W3CDTF">2024-06-20T15:48:43Z</dcterms:modified>
</cp:coreProperties>
</file>