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5" w:lineRule="exact"/>
        <w:rPr>
          <w:sz w:val="24"/>
          <w:szCs w:val="24"/>
          <w:color w:val="auto"/>
        </w:rPr>
      </w:pPr>
    </w:p>
    <w:p>
      <w:pPr>
        <w:ind w:left="3940" w:right="2160" w:hanging="3932"/>
        <w:spacing w:after="0" w:line="261" w:lineRule="auto"/>
        <w:tabs>
          <w:tab w:leader="none" w:pos="3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or</w:t>
      </w:r>
    </w:p>
    <w:p>
      <w:pPr>
        <w:spacing w:after="0" w:line="152" w:lineRule="exact"/>
        <w:rPr>
          <w:sz w:val="24"/>
          <w:szCs w:val="24"/>
          <w:color w:val="auto"/>
        </w:rPr>
      </w:pPr>
    </w:p>
    <w:p>
      <w:pPr>
        <w:ind w:left="3480" w:right="1820" w:hanging="3472"/>
        <w:spacing w:after="0" w:line="275" w:lineRule="auto"/>
        <w:tabs>
          <w:tab w:leader="none" w:pos="66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001-38273</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706" w:right="239" w:bottom="1440" w:gutter="0" w:footer="0" w:header="0"/>
        </w:sectPr>
      </w:pPr>
    </w:p>
    <w:p>
      <w:pPr>
        <w:spacing w:after="0" w:line="20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108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94-3290283</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6"/>
          <w:szCs w:val="16"/>
          <w:i w:val="1"/>
          <w:iCs w:val="1"/>
          <w:color w:val="auto"/>
        </w:rPr>
        <w:t>(I.R.S. EmployerIdentification No.)</w:t>
      </w:r>
    </w:p>
    <w:p>
      <w:pPr>
        <w:spacing w:after="0" w:line="128" w:lineRule="exact"/>
        <w:rPr>
          <w:sz w:val="24"/>
          <w:szCs w:val="24"/>
          <w:color w:val="auto"/>
        </w:rPr>
      </w:pPr>
    </w:p>
    <w:p>
      <w:pPr>
        <w:sectPr>
          <w:pgSz w:w="11900" w:h="16838" w:orient="portrait"/>
          <w:cols w:equalWidth="0" w:num="2">
            <w:col w:w="6660" w:space="720"/>
            <w:col w:w="4040"/>
          </w:cols>
          <w:pgMar w:left="240" w:top="706" w:right="239" w:bottom="1440" w:gutter="0" w:footer="0" w:header="0"/>
          <w:type w:val="continuous"/>
        </w:sectPr>
      </w:pPr>
    </w:p>
    <w:p>
      <w:pPr>
        <w:ind w:left="3640"/>
        <w:spacing w:after="0"/>
        <w:rPr>
          <w:sz w:val="20"/>
          <w:szCs w:val="20"/>
          <w:color w:val="auto"/>
        </w:rPr>
      </w:pPr>
      <w:r>
        <w:rPr>
          <w:rFonts w:ascii="Arial" w:cs="Arial" w:eastAsia="Arial" w:hAnsi="Arial"/>
          <w:sz w:val="18"/>
          <w:szCs w:val="18"/>
          <w:b w:val="1"/>
          <w:bCs w:val="1"/>
          <w:color w:val="auto"/>
        </w:rPr>
        <w:t>42307 Osgood Road, Suite I, Fremont, California 94539</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51" w:lineRule="exact"/>
        <w:rPr>
          <w:sz w:val="24"/>
          <w:szCs w:val="24"/>
          <w:color w:val="auto"/>
        </w:rPr>
      </w:pPr>
    </w:p>
    <w:p>
      <w:pPr>
        <w:jc w:val="both"/>
        <w:ind w:right="200" w:firstLine="44"/>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4"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tbl>
      <w:tblPr>
        <w:tblLayout w:type="fixed"/>
        <w:tblInd w:w="60" w:type="dxa"/>
        <w:tblCellMar>
          <w:top w:w="0" w:type="dxa"/>
          <w:left w:w="0" w:type="dxa"/>
          <w:bottom w:w="0" w:type="dxa"/>
          <w:right w:w="0" w:type="dxa"/>
        </w:tblCellMar>
      </w:tblPr>
      <w:tr>
        <w:trPr>
          <w:trHeight w:val="178"/>
        </w:trPr>
        <w:tc>
          <w:tcPr>
            <w:tcW w:w="2180" w:type="dxa"/>
            <w:vAlign w:val="bottom"/>
          </w:tcPr>
          <w:p>
            <w:pPr>
              <w:spacing w:after="0" w:line="177" w:lineRule="exact"/>
              <w:rPr>
                <w:sz w:val="20"/>
                <w:szCs w:val="20"/>
                <w:color w:val="auto"/>
              </w:rPr>
            </w:pPr>
            <w:r>
              <w:rPr>
                <w:rFonts w:ascii="Arial" w:cs="Arial" w:eastAsia="Arial" w:hAnsi="Arial"/>
                <w:sz w:val="18"/>
                <w:szCs w:val="18"/>
                <w:color w:val="auto"/>
              </w:rPr>
              <w:t>Large accelerated filer</w:t>
            </w:r>
          </w:p>
        </w:tc>
        <w:tc>
          <w:tcPr>
            <w:tcW w:w="2300" w:type="dxa"/>
            <w:vAlign w:val="bottom"/>
          </w:tcPr>
          <w:p>
            <w:pPr>
              <w:ind w:left="640"/>
              <w:spacing w:after="0" w:line="178"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240"/>
              <w:spacing w:after="0" w:line="177" w:lineRule="exact"/>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78"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Non-accelerated file</w:t>
            </w:r>
          </w:p>
        </w:tc>
        <w:tc>
          <w:tcPr>
            <w:tcW w:w="23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(Do not check if a smaller reporting company)</w:t>
            </w:r>
          </w:p>
        </w:tc>
        <w:tc>
          <w:tcPr>
            <w:tcW w:w="378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2440"/>
              <w:spacing w:after="0"/>
              <w:rPr>
                <w:sz w:val="20"/>
                <w:szCs w:val="20"/>
                <w:color w:val="auto"/>
              </w:rPr>
            </w:pPr>
            <w:r>
              <w:rPr>
                <w:rFonts w:ascii="Arial" w:cs="Arial" w:eastAsia="Arial" w:hAnsi="Arial"/>
                <w:sz w:val="18"/>
                <w:szCs w:val="18"/>
                <w:b w:val="1"/>
                <w:bCs w:val="1"/>
                <w:color w:val="auto"/>
              </w:rPr>
              <w:t>Class</w:t>
            </w:r>
          </w:p>
        </w:tc>
        <w:tc>
          <w:tcPr>
            <w:tcW w:w="6360" w:type="dxa"/>
            <w:vAlign w:val="bottom"/>
          </w:tcPr>
          <w:p>
            <w:pPr>
              <w:jc w:val="center"/>
              <w:ind w:left="1012"/>
              <w:spacing w:after="0"/>
              <w:rPr>
                <w:sz w:val="20"/>
                <w:szCs w:val="20"/>
                <w:color w:val="auto"/>
              </w:rPr>
            </w:pPr>
            <w:r>
              <w:rPr>
                <w:rFonts w:ascii="Arial" w:cs="Arial" w:eastAsia="Arial" w:hAnsi="Arial"/>
                <w:sz w:val="18"/>
                <w:szCs w:val="18"/>
                <w:b w:val="1"/>
                <w:bCs w:val="1"/>
                <w:color w:val="auto"/>
                <w:w w:val="87"/>
              </w:rPr>
              <w:t>Number of Shares Outstanding</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Class A Common Stock, $0.0001 par value</w:t>
            </w:r>
          </w:p>
        </w:tc>
        <w:tc>
          <w:tcPr>
            <w:tcW w:w="6360" w:type="dxa"/>
            <w:vAlign w:val="bottom"/>
          </w:tcPr>
          <w:p>
            <w:pPr>
              <w:jc w:val="center"/>
              <w:ind w:left="1012"/>
              <w:spacing w:after="0"/>
              <w:rPr>
                <w:sz w:val="20"/>
                <w:szCs w:val="20"/>
                <w:color w:val="auto"/>
              </w:rPr>
            </w:pPr>
            <w:r>
              <w:rPr>
                <w:rFonts w:ascii="Arial" w:cs="Arial" w:eastAsia="Arial" w:hAnsi="Arial"/>
                <w:sz w:val="18"/>
                <w:szCs w:val="18"/>
                <w:color w:val="auto"/>
                <w:w w:val="87"/>
              </w:rPr>
              <w:t>13,626,637 shares outstanding as of May 9, 2018</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Class B Common Stock, $0.0001 par value</w:t>
            </w:r>
          </w:p>
        </w:tc>
        <w:tc>
          <w:tcPr>
            <w:tcW w:w="6360" w:type="dxa"/>
            <w:vAlign w:val="bottom"/>
          </w:tcPr>
          <w:p>
            <w:pPr>
              <w:jc w:val="center"/>
              <w:ind w:left="1032"/>
              <w:spacing w:after="0"/>
              <w:rPr>
                <w:sz w:val="20"/>
                <w:szCs w:val="20"/>
                <w:color w:val="auto"/>
              </w:rPr>
            </w:pPr>
            <w:r>
              <w:rPr>
                <w:rFonts w:ascii="Arial" w:cs="Arial" w:eastAsia="Arial" w:hAnsi="Arial"/>
                <w:sz w:val="18"/>
                <w:szCs w:val="18"/>
                <w:color w:val="auto"/>
                <w:w w:val="87"/>
              </w:rPr>
              <w:t>2,213,510 shares outstanding as of May 9, 2018</w:t>
            </w:r>
          </w:p>
        </w:tc>
      </w:tr>
      <w:tr>
        <w:trPr>
          <w:trHeight w:val="218"/>
        </w:trPr>
        <w:tc>
          <w:tcPr>
            <w:tcW w:w="5060" w:type="dxa"/>
            <w:vAlign w:val="bottom"/>
            <w:tcBorders>
              <w:bottom w:val="single" w:sz="8" w:color="auto"/>
            </w:tcBorders>
          </w:tcPr>
          <w:p>
            <w:pPr>
              <w:spacing w:after="0"/>
              <w:rPr>
                <w:sz w:val="18"/>
                <w:szCs w:val="18"/>
                <w:color w:val="auto"/>
              </w:rPr>
            </w:pPr>
          </w:p>
        </w:tc>
        <w:tc>
          <w:tcPr>
            <w:tcW w:w="6360" w:type="dxa"/>
            <w:vAlign w:val="bottom"/>
            <w:tcBorders>
              <w:bottom w:val="single" w:sz="8" w:color="auto"/>
            </w:tcBorders>
          </w:tcPr>
          <w:p>
            <w:pPr>
              <w:spacing w:after="0"/>
              <w:rPr>
                <w:sz w:val="18"/>
                <w:szCs w:val="18"/>
                <w:color w:val="auto"/>
              </w:rPr>
            </w:pPr>
          </w:p>
        </w:tc>
      </w:tr>
      <w:tr>
        <w:trPr>
          <w:trHeight w:val="136"/>
        </w:trPr>
        <w:tc>
          <w:tcPr>
            <w:tcW w:w="5060" w:type="dxa"/>
            <w:vAlign w:val="bottom"/>
            <w:tcBorders>
              <w:bottom w:val="single" w:sz="8" w:color="auto"/>
            </w:tcBorders>
          </w:tcPr>
          <w:p>
            <w:pPr>
              <w:spacing w:after="0"/>
              <w:rPr>
                <w:sz w:val="11"/>
                <w:szCs w:val="11"/>
                <w:color w:val="auto"/>
              </w:rPr>
            </w:pPr>
          </w:p>
        </w:tc>
        <w:tc>
          <w:tcPr>
            <w:tcW w:w="6360" w:type="dxa"/>
            <w:vAlign w:val="bottom"/>
            <w:tcBorders>
              <w:bottom w:val="single" w:sz="8" w:color="auto"/>
            </w:tcBorders>
          </w:tcPr>
          <w:p>
            <w:pPr>
              <w:spacing w:after="0"/>
              <w:rPr>
                <w:sz w:val="11"/>
                <w:szCs w:val="11"/>
                <w:color w:val="auto"/>
              </w:rPr>
            </w:pPr>
          </w:p>
        </w:tc>
      </w:tr>
      <w:tr>
        <w:trPr>
          <w:trHeight w:val="297"/>
        </w:trPr>
        <w:tc>
          <w:tcPr>
            <w:tcW w:w="50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We are filing this Amendment No. 1 on Form 10-Q/A, or this Amendment, to amend our Quarterly Report on Form 10-Q for the quarterly period ended March 31, 2018, as filed with the Securities and Exchange Commission on May 14, 2018, or the Original Form 10-Q. This Amendment is being filed solely for the purpose of filing Exhibits 10.05 and 10.06. In accordance with Rule 12b-15 under the Securities Exchange Act of 1934, new certifications by our principal executive officer and principal financial officer are filed as Exhibits 31.01 and 31.02 to this Amendment. We are not including new certifications pursuant to Section 1350 of Chapter 63 of Title 18 of the United States Code (18 U.S.C. 1350), as no financial statements are being filed with this Amendment.</w:t>
      </w:r>
    </w:p>
    <w:p>
      <w:pPr>
        <w:spacing w:after="0" w:line="10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Accordingly, this Amendment consists of only the facing page, this explanatory note, Item 6 of Part II, “Exhibits,” and Exhibits 10.05, 10.06, 31.01 and 31.02 hereto. This Amendment is presented as of the filing date of the Original Form 10-Q and does not reflect events occurring after that date, or modify or update disclosures or exhibits in any way, other than as required to reflect the filing of Exhibits 10.05 and 10.06.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10380" w:type="dxa"/>
            <w:vAlign w:val="bottom"/>
            <w:tcBorders>
              <w:bottom w:val="single" w:sz="8" w:color="auto"/>
            </w:tcBorders>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10.01*</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Advisory Board Agreement dated May 1, 2016 by and between ACM Research, Inc. and Chenming Hu</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Warrant Exercise Agreement dated March 30, 2018 by and among ACM Research, Inc., ACM Research (Shanghai), Inc., and Shengxin (Shanghai)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Management Consulting Limited Partnership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2"/>
              </w:rPr>
              <w:t>Senior Secured Promissory Note dated March 30, 2018 issued by Shengxin (Shanghai) Management Consulting Limited Partnership to ACM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Research (Shanghai),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10.04*</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Intercompany Promissory Note dated March 30, 2018 issued by ACM Research (Shanghai), Inc. to ACM Research, Inc.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05</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Lease Agreement dated January 18, 2018 between ACM Research (Shanghai), Inc. and Shanghai Shengyu Culture Development Co.,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06</w:t>
              </w:r>
            </w:hyperlink>
          </w:p>
        </w:tc>
        <w:tc>
          <w:tcPr>
            <w:tcW w:w="4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3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Lease Amendment dated February 28, 2018 between ACM Research, Inc. and D&amp;J Construction,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4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3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32.01*</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2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Filed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spacing w:after="0"/>
              <w:rPr>
                <w:sz w:val="19"/>
                <w:szCs w:val="19"/>
                <w:color w:val="auto"/>
              </w:rPr>
            </w:pPr>
          </w:p>
        </w:tc>
        <w:tc>
          <w:tcPr>
            <w:tcW w:w="8460" w:type="dxa"/>
            <w:vAlign w:val="bottom"/>
            <w:gridSpan w:val="3"/>
          </w:tcPr>
          <w:p>
            <w:pPr>
              <w:ind w:left="126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610"/>
        </w:trPr>
        <w:tc>
          <w:tcPr>
            <w:tcW w:w="2960" w:type="dxa"/>
            <w:vAlign w:val="bottom"/>
          </w:tcPr>
          <w:p>
            <w:pPr>
              <w:spacing w:after="0"/>
              <w:rPr>
                <w:sz w:val="20"/>
                <w:szCs w:val="20"/>
                <w:color w:val="auto"/>
              </w:rPr>
            </w:pPr>
            <w:r>
              <w:rPr>
                <w:rFonts w:ascii="Arial" w:cs="Arial" w:eastAsia="Arial" w:hAnsi="Arial"/>
                <w:sz w:val="18"/>
                <w:szCs w:val="18"/>
                <w:color w:val="auto"/>
              </w:rPr>
              <w:t>Dated: October15, 2018</w:t>
            </w:r>
          </w:p>
        </w:tc>
        <w:tc>
          <w:tcPr>
            <w:tcW w:w="2040" w:type="dxa"/>
            <w:vAlign w:val="bottom"/>
          </w:tcPr>
          <w:p>
            <w:pPr>
              <w:ind w:left="1260"/>
              <w:spacing w:after="0"/>
              <w:rPr>
                <w:sz w:val="20"/>
                <w:szCs w:val="20"/>
                <w:color w:val="auto"/>
              </w:rPr>
            </w:pPr>
            <w:r>
              <w:rPr>
                <w:rFonts w:ascii="Arial" w:cs="Arial" w:eastAsia="Arial" w:hAnsi="Arial"/>
                <w:sz w:val="18"/>
                <w:szCs w:val="18"/>
                <w:color w:val="auto"/>
              </w:rPr>
              <w:t>By:</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AVID</w:t>
            </w:r>
            <w:r>
              <w:rPr>
                <w:rFonts w:ascii="Arial" w:cs="Arial" w:eastAsia="Arial" w:hAnsi="Arial"/>
                <w:sz w:val="18"/>
                <w:szCs w:val="18"/>
                <w:color w:val="auto"/>
                <w:w w:val="95"/>
              </w:rPr>
              <w:t xml:space="preserve"> H. W</w:t>
            </w:r>
            <w:r>
              <w:rPr>
                <w:rFonts w:ascii="Arial" w:cs="Arial" w:eastAsia="Arial" w:hAnsi="Arial"/>
                <w:sz w:val="12"/>
                <w:szCs w:val="12"/>
                <w:color w:val="auto"/>
                <w:w w:val="95"/>
              </w:rPr>
              <w:t>ANG</w:t>
            </w:r>
          </w:p>
        </w:tc>
        <w:tc>
          <w:tcPr>
            <w:tcW w:w="5100" w:type="dxa"/>
            <w:vAlign w:val="bottom"/>
          </w:tcPr>
          <w:p>
            <w:pPr>
              <w:spacing w:after="0"/>
              <w:rPr>
                <w:sz w:val="24"/>
                <w:szCs w:val="24"/>
                <w:color w:val="auto"/>
              </w:rPr>
            </w:pPr>
          </w:p>
        </w:tc>
      </w:tr>
      <w:tr>
        <w:trPr>
          <w:trHeight w:val="228"/>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David H. Wang</w:t>
            </w:r>
          </w:p>
        </w:tc>
      </w:tr>
      <w:tr>
        <w:trPr>
          <w:trHeight w:val="222"/>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3027"/>
        </w:trPr>
        <w:tc>
          <w:tcPr>
            <w:tcW w:w="2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3" w:right="239" w:bottom="1440" w:gutter="0" w:footer="0" w:header="0"/>
        </w:sectPr>
      </w:pPr>
    </w:p>
    <w:bookmarkStart w:id="3" w:name="page4"/>
    <w:bookmarkEnd w:id="3"/>
    <w:p>
      <w:pPr>
        <w:ind w:left="9320"/>
        <w:spacing w:after="0"/>
        <w:rPr>
          <w:sz w:val="20"/>
          <w:szCs w:val="20"/>
          <w:color w:val="auto"/>
        </w:rPr>
      </w:pPr>
      <w:r>
        <w:rPr>
          <w:rFonts w:ascii="Arial" w:cs="Arial" w:eastAsia="Arial" w:hAnsi="Arial"/>
          <w:sz w:val="16"/>
          <w:szCs w:val="16"/>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782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7910195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829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ind w:left="9320"/>
        <w:spacing w:after="0"/>
        <w:rPr>
          <w:sz w:val="20"/>
          <w:szCs w:val="20"/>
          <w:color w:val="auto"/>
        </w:rPr>
      </w:pPr>
      <w:r>
        <w:rPr>
          <w:rFonts w:ascii="Arial" w:cs="Arial" w:eastAsia="Arial" w:hAnsi="Arial"/>
          <w:sz w:val="16"/>
          <w:szCs w:val="16"/>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7829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782955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158" w:lineRule="exact"/>
        <w:rPr>
          <w:sz w:val="20"/>
          <w:szCs w:val="20"/>
          <w:color w:val="auto"/>
        </w:rPr>
      </w:pPr>
    </w:p>
    <w:p>
      <w:pPr>
        <w:ind w:left="6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Amendment No. 1 on Form 10-Q/A to the Quarterly Report on Form 10-Q of ACM Research, Inc. for the quarterly period ended March 31, 2018 (as so amended, “this quarterly report”).</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Dated: October 15, 2018</w:t>
            </w:r>
          </w:p>
        </w:tc>
        <w:tc>
          <w:tcPr>
            <w:tcW w:w="1780" w:type="dxa"/>
            <w:vAlign w:val="bottom"/>
          </w:tcPr>
          <w:p>
            <w:pPr>
              <w:ind w:left="124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AVID</w:t>
            </w:r>
            <w:r>
              <w:rPr>
                <w:rFonts w:ascii="Arial" w:cs="Arial" w:eastAsia="Arial" w:hAnsi="Arial"/>
                <w:sz w:val="18"/>
                <w:szCs w:val="18"/>
                <w:color w:val="auto"/>
              </w:rPr>
              <w:t xml:space="preserve"> H. W</w:t>
            </w:r>
            <w:r>
              <w:rPr>
                <w:rFonts w:ascii="Arial" w:cs="Arial" w:eastAsia="Arial" w:hAnsi="Arial"/>
                <w:sz w:val="12"/>
                <w:szCs w:val="12"/>
                <w:color w:val="auto"/>
              </w:rPr>
              <w:t>ANG</w:t>
            </w:r>
          </w:p>
        </w:tc>
      </w:tr>
      <w:tr>
        <w:trPr>
          <w:trHeight w:val="20"/>
        </w:trPr>
        <w:tc>
          <w:tcPr>
            <w:tcW w:w="2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David H. Wang</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29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r>
      <w:tr>
        <w:trPr>
          <w:trHeight w:val="1082"/>
        </w:trPr>
        <w:tc>
          <w:tcPr>
            <w:tcW w:w="2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31.02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158" w:lineRule="exact"/>
        <w:rPr>
          <w:sz w:val="20"/>
          <w:szCs w:val="20"/>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Amendment No. 1 on Form 10-Q/A to the Quarterly Report on Form 10-Q of ACM Research, Inc. for the quarterly period ended March 31, 2018 (as so amended, “this quarterly report”).</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rPr>
              <w:t>Dated: October 15, 2018</w:t>
            </w:r>
          </w:p>
        </w:tc>
        <w:tc>
          <w:tcPr>
            <w:tcW w:w="1860" w:type="dxa"/>
            <w:vAlign w:val="bottom"/>
          </w:tcPr>
          <w:p>
            <w:pPr>
              <w:ind w:left="1240"/>
              <w:spacing w:after="0"/>
              <w:rPr>
                <w:sz w:val="20"/>
                <w:szCs w:val="20"/>
                <w:color w:val="auto"/>
              </w:rPr>
            </w:pPr>
            <w:r>
              <w:rPr>
                <w:rFonts w:ascii="Arial" w:cs="Arial" w:eastAsia="Arial" w:hAnsi="Arial"/>
                <w:sz w:val="18"/>
                <w:szCs w:val="18"/>
                <w:color w:val="auto"/>
              </w:rPr>
              <w:t>By:</w:t>
            </w:r>
          </w:p>
        </w:tc>
        <w:tc>
          <w:tcPr>
            <w:tcW w:w="4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L</w:t>
            </w:r>
            <w:r>
              <w:rPr>
                <w:rFonts w:ascii="Arial" w:cs="Arial" w:eastAsia="Arial" w:hAnsi="Arial"/>
                <w:sz w:val="12"/>
                <w:szCs w:val="12"/>
                <w:color w:val="auto"/>
                <w:w w:val="92"/>
              </w:rPr>
              <w:t>ISA</w:t>
            </w:r>
            <w:r>
              <w:rPr>
                <w:rFonts w:ascii="Arial" w:cs="Arial" w:eastAsia="Arial" w:hAnsi="Arial"/>
                <w:sz w:val="18"/>
                <w:szCs w:val="18"/>
                <w:color w:val="auto"/>
                <w:w w:val="92"/>
              </w:rPr>
              <w:t xml:space="preserve"> F</w:t>
            </w:r>
            <w:r>
              <w:rPr>
                <w:rFonts w:ascii="Arial" w:cs="Arial" w:eastAsia="Arial" w:hAnsi="Arial"/>
                <w:sz w:val="12"/>
                <w:szCs w:val="12"/>
                <w:color w:val="auto"/>
                <w:w w:val="92"/>
              </w:rPr>
              <w:t>ENG</w:t>
            </w:r>
          </w:p>
        </w:tc>
        <w:tc>
          <w:tcPr>
            <w:tcW w:w="5280" w:type="dxa"/>
            <w:vAlign w:val="bottom"/>
          </w:tcPr>
          <w:p>
            <w:pPr>
              <w:spacing w:after="0"/>
              <w:rPr>
                <w:sz w:val="17"/>
                <w:szCs w:val="17"/>
                <w:color w:val="auto"/>
              </w:rPr>
            </w:pPr>
          </w:p>
        </w:tc>
      </w:tr>
      <w:tr>
        <w:trPr>
          <w:trHeight w:val="228"/>
        </w:trPr>
        <w:tc>
          <w:tcPr>
            <w:tcW w:w="2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580" w:type="dxa"/>
            <w:vAlign w:val="bottom"/>
            <w:gridSpan w:val="3"/>
          </w:tcPr>
          <w:p>
            <w:pPr>
              <w:ind w:left="360"/>
              <w:spacing w:after="0"/>
              <w:rPr>
                <w:sz w:val="20"/>
                <w:szCs w:val="20"/>
                <w:color w:val="auto"/>
              </w:rPr>
            </w:pPr>
            <w:r>
              <w:rPr>
                <w:rFonts w:ascii="Arial" w:cs="Arial" w:eastAsia="Arial" w:hAnsi="Arial"/>
                <w:sz w:val="18"/>
                <w:szCs w:val="18"/>
                <w:color w:val="auto"/>
              </w:rPr>
              <w:t>Lisa Feng</w:t>
            </w:r>
          </w:p>
        </w:tc>
      </w:tr>
      <w:tr>
        <w:trPr>
          <w:trHeight w:val="216"/>
        </w:trPr>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80" w:type="dxa"/>
            <w:vAlign w:val="bottom"/>
            <w:gridSpan w:val="3"/>
          </w:tcPr>
          <w:p>
            <w:pPr>
              <w:ind w:left="360"/>
              <w:spacing w:after="0"/>
              <w:rPr>
                <w:sz w:val="20"/>
                <w:szCs w:val="20"/>
                <w:color w:val="auto"/>
              </w:rPr>
            </w:pPr>
            <w:r>
              <w:rPr>
                <w:rFonts w:ascii="Arial" w:cs="Arial" w:eastAsia="Arial" w:hAnsi="Arial"/>
                <w:sz w:val="18"/>
                <w:szCs w:val="18"/>
                <w:color w:val="auto"/>
              </w:rPr>
              <w:t>Interim Chief Financial Officer, Chief Accounting Officer and Treasurer</w:t>
            </w:r>
          </w:p>
        </w:tc>
      </w:tr>
      <w:tr>
        <w:trPr>
          <w:trHeight w:val="222"/>
        </w:trPr>
        <w:tc>
          <w:tcPr>
            <w:tcW w:w="29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580" w:type="dxa"/>
            <w:vAlign w:val="bottom"/>
            <w:gridSpan w:val="3"/>
          </w:tcPr>
          <w:p>
            <w:pPr>
              <w:ind w:left="360"/>
              <w:spacing w:after="0"/>
              <w:rPr>
                <w:sz w:val="20"/>
                <w:szCs w:val="20"/>
                <w:color w:val="auto"/>
              </w:rPr>
            </w:pPr>
            <w:r>
              <w:rPr>
                <w:rFonts w:ascii="Arial" w:cs="Arial" w:eastAsia="Arial" w:hAnsi="Arial"/>
                <w:sz w:val="18"/>
                <w:szCs w:val="18"/>
                <w:color w:val="auto"/>
              </w:rPr>
              <w:t>(Principal Financial Officer)</w:t>
            </w:r>
          </w:p>
        </w:tc>
      </w:tr>
      <w:tr>
        <w:trPr>
          <w:trHeight w:val="1082"/>
        </w:trPr>
        <w:tc>
          <w:tcPr>
            <w:tcW w:w="29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2019-12-28T19:13:54Z</dcterms:created>
  <dcterms:modified xsi:type="dcterms:W3CDTF">2019-12-28T19:13:54Z</dcterms:modified>
</cp:coreProperties>
</file>