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6"/>
        </w:trPr>
        <w:tc>
          <w:tcPr>
            <w:tcW w:w="13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color w:val="auto"/>
              </w:rPr>
              <w:t>SEC Form 4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 w:line="26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4</w:t>
            </w:r>
          </w:p>
        </w:tc>
        <w:tc>
          <w:tcPr>
            <w:tcW w:w="6200" w:type="dxa"/>
            <w:vAlign w:val="bottom"/>
            <w:gridSpan w:val="21"/>
          </w:tcPr>
          <w:p>
            <w:pPr>
              <w:jc w:val="center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320" w:type="dxa"/>
            <w:vAlign w:val="bottom"/>
            <w:gridSpan w:val="6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80" w:type="dxa"/>
            <w:vAlign w:val="bottom"/>
            <w:gridSpan w:val="9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Check this box if no longer subject to</w:t>
            </w:r>
          </w:p>
        </w:tc>
        <w:tc>
          <w:tcPr>
            <w:tcW w:w="6200" w:type="dxa"/>
            <w:vAlign w:val="bottom"/>
            <w:gridSpan w:val="21"/>
            <w:vMerge w:val="restart"/>
          </w:tcPr>
          <w:p>
            <w:pPr>
              <w:jc w:val="center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0" w:type="dxa"/>
            <w:vAlign w:val="bottom"/>
            <w:gridSpan w:val="21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7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Section 16. Form 4 or Form 5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180" w:type="dxa"/>
            <w:vAlign w:val="bottom"/>
            <w:gridSpan w:val="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 xml:space="preserve">obligations may continue. </w:t>
            </w:r>
            <w:r>
              <w:rPr>
                <w:rFonts w:ascii="Arial" w:cs="Arial" w:eastAsia="Arial" w:hAnsi="Arial"/>
                <w:sz w:val="12"/>
                <w:szCs w:val="12"/>
                <w:i w:val="1"/>
                <w:iCs w:val="1"/>
                <w:color w:val="auto"/>
              </w:rPr>
              <w:t>See</w:t>
            </w:r>
          </w:p>
        </w:tc>
        <w:tc>
          <w:tcPr>
            <w:tcW w:w="5520" w:type="dxa"/>
            <w:vAlign w:val="bottom"/>
            <w:gridSpan w:val="19"/>
            <w:vMerge w:val="restart"/>
          </w:tcPr>
          <w:p>
            <w:pPr>
              <w:jc w:val="center"/>
              <w:ind w:left="5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right"/>
              <w:ind w:right="1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26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Instruction 1(b).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520" w:type="dxa"/>
            <w:vAlign w:val="bottom"/>
            <w:gridSpan w:val="19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520" w:type="dxa"/>
            <w:vAlign w:val="bottom"/>
            <w:gridSpan w:val="19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80" w:type="dxa"/>
            <w:vAlign w:val="bottom"/>
            <w:gridSpan w:val="11"/>
          </w:tcPr>
          <w:p>
            <w:pPr>
              <w:jc w:val="center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or Section 30(h) of the Investment Company Act of 1940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80" w:type="dxa"/>
            <w:vAlign w:val="bottom"/>
            <w:tcBorders>
              <w:bottom w:val="single" w:sz="8" w:color="2C2C2C"/>
            </w:tcBorders>
            <w:gridSpan w:val="1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60" w:type="dxa"/>
            <w:vAlign w:val="bottom"/>
            <w:gridSpan w:val="8"/>
          </w:tcPr>
          <w:p>
            <w:pPr>
              <w:ind w:left="60"/>
              <w:spacing w:after="0" w:line="2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6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0" w:type="dxa"/>
            <w:vAlign w:val="bottom"/>
            <w:gridSpan w:val="1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  <w:w w:val="85"/>
              </w:rPr>
            </w:pPr>
            <w:hyperlink r:id="rId8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85"/>
                </w:rPr>
                <w:t>Cheav Sotheara</w:t>
              </w:r>
            </w:hyperlink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60" w:type="dxa"/>
            <w:vAlign w:val="bottom"/>
            <w:gridSpan w:val="10"/>
          </w:tcPr>
          <w:p>
            <w:pPr>
              <w:spacing w:after="0" w:line="105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9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ACM Research, Inc.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ACMR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gridSpan w:val="7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Director</w:t>
            </w: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80" w:type="dxa"/>
            <w:vAlign w:val="bottom"/>
            <w:gridSpan w:val="7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0000EE"/>
            </w:tcBorders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ind w:left="1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gridSpan w:val="7"/>
            <w:vMerge w:val="restart"/>
          </w:tcPr>
          <w:p>
            <w:pPr>
              <w:ind w:left="2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60" w:type="dxa"/>
            <w:vAlign w:val="bottom"/>
            <w:gridSpan w:val="10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EEEEEE"/>
            </w:tcBorders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6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0" w:type="dxa"/>
            <w:vAlign w:val="bottom"/>
            <w:gridSpan w:val="8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06/06/2023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See remarks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20" w:type="dxa"/>
            <w:vAlign w:val="bottom"/>
            <w:gridSpan w:val="6"/>
            <w:vMerge w:val="restart"/>
          </w:tcPr>
          <w:p>
            <w:pPr>
              <w:ind w:left="20"/>
              <w:spacing w:after="0" w:line="17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ACM RESEARCH, INC.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2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42307 OSGOOD ROAD, SUITE I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520" w:type="dxa"/>
            <w:vAlign w:val="bottom"/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0" w:type="dxa"/>
            <w:vAlign w:val="bottom"/>
            <w:gridSpan w:val="1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0" w:type="dxa"/>
            <w:vAlign w:val="bottom"/>
            <w:gridSpan w:val="15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0" w:type="dxa"/>
            <w:vAlign w:val="bottom"/>
            <w:gridSpan w:val="15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1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FREMONT</w:t>
            </w:r>
          </w:p>
        </w:tc>
        <w:tc>
          <w:tcPr>
            <w:tcW w:w="11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94539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4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20" w:type="dxa"/>
            <w:vAlign w:val="bottom"/>
            <w:gridSpan w:val="1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color w:val="auto"/>
                <w:w w:val="99"/>
              </w:rPr>
              <w:t>Rule 10b5-1(c) Transaction Indication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52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0" w:type="dxa"/>
            <w:vAlign w:val="bottom"/>
            <w:gridSpan w:val="26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Check this box to indicate that a transaction was made pursuant to a contract, instruction or written plan that is intended to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0" w:type="dxa"/>
            <w:vAlign w:val="bottom"/>
            <w:gridSpan w:val="2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40" w:type="dxa"/>
            <w:vAlign w:val="bottom"/>
            <w:gridSpan w:val="15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satisfy the affirmative defense conditions of Rule 10b5-1(c). See Instruction 10.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7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3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7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60" w:type="dxa"/>
            <w:vAlign w:val="bottom"/>
            <w:gridSpan w:val="6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5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7"/>
          </w:tcPr>
          <w:p>
            <w:pPr>
              <w:ind w:left="7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5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5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5"/>
            <w:vMerge w:val="restart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left="1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06/06/2023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85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5"/>
              </w:rPr>
              <w:t>(1)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22,500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4.62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132,502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06/06/2023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85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5"/>
              </w:rPr>
              <w:t>(2)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16,500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5.33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149,002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06/06/2023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79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(3)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39,000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110,002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9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7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5"/>
          </w:tcPr>
          <w:p>
            <w:pPr>
              <w:ind w:left="1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7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5"/>
          </w:tcPr>
          <w:p>
            <w:pPr>
              <w:ind w:left="1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4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5"/>
          </w:tcPr>
          <w:p>
            <w:pPr>
              <w:ind w:left="1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or 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5"/>
          </w:tcPr>
          <w:p>
            <w:pPr>
              <w:ind w:left="1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  <w:gridSpan w:val="5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center"/>
              <w:ind w:right="1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Class A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22,500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4.62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jc w:val="right"/>
              <w:ind w:right="112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06/06/2022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22,500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(4)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07/31/2028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0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ind w:left="22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12,500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32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right="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  <w:gridSpan w:val="5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center"/>
              <w:ind w:right="1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Class A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16,500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5.33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jc w:val="right"/>
              <w:ind w:right="112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06/06/2023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16,500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(4)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08/03/2029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0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ind w:left="22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13,500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32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right="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-9525</wp:posOffset>
            </wp:positionH>
            <wp:positionV relativeFrom="paragraph">
              <wp:posOffset>-6812915</wp:posOffset>
            </wp:positionV>
            <wp:extent cx="7045960" cy="682625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68262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4" w:lineRule="exact"/>
        <w:rPr>
          <w:sz w:val="20"/>
          <w:szCs w:val="20"/>
          <w:color w:val="auto"/>
        </w:rPr>
      </w:pPr>
    </w:p>
    <w:p>
      <w:pPr>
        <w:ind w:left="180" w:hanging="136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On June 6, 2023, the reporting person exercised a previously issued stock option to purchase 22,500 shares of Class A Common Stock of the Issuer.</w:t>
      </w:r>
    </w:p>
    <w:p>
      <w:pPr>
        <w:spacing w:after="0" w:line="46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6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On June 6, 2023, the reporting person exercised a previously issued stock option to purchase 16,500 shares of Class A Common Stock of the Issuer.</w:t>
      </w:r>
    </w:p>
    <w:p>
      <w:pPr>
        <w:spacing w:after="0" w:line="46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6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sales reported on this Form 4 were effected pursuant to a Rule 10b5-1 trading plan adopted by the reporting person.</w:t>
      </w:r>
    </w:p>
    <w:p>
      <w:pPr>
        <w:spacing w:after="0" w:line="46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6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is fully vested and exercisable.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6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Senior Vice President, Manufacturing of ACM Research (Shanghai), Inc., a subsidiary of the Issuer</w:t>
      </w:r>
    </w:p>
    <w:p>
      <w:pPr>
        <w:ind w:left="6580"/>
        <w:spacing w:after="0" w:line="18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Mark McKechnie, Attorney- </w:t>
      </w:r>
      <w:r>
        <w:rPr>
          <w:rFonts w:ascii="Arial" w:cs="Arial" w:eastAsia="Arial" w:hAnsi="Arial"/>
          <w:sz w:val="33"/>
          <w:szCs w:val="33"/>
          <w:color w:val="0000FF"/>
          <w:vertAlign w:val="subscript"/>
        </w:rPr>
        <w:t>06/08/2023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-27940</wp:posOffset>
            </wp:positionV>
            <wp:extent cx="1359535" cy="82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95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 for Sotheara Cheav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-19050</wp:posOffset>
            </wp:positionV>
            <wp:extent cx="1164590" cy="82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45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5581015</wp:posOffset>
            </wp:positionH>
            <wp:positionV relativeFrom="paragraph">
              <wp:posOffset>-85725</wp:posOffset>
            </wp:positionV>
            <wp:extent cx="491490" cy="8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14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jc w:val="both"/>
        <w:ind w:left="40" w:right="3500" w:firstLine="4"/>
        <w:spacing w:after="0" w:line="312" w:lineRule="auto"/>
        <w:tabs>
          <w:tab w:leader="none" w:pos="178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3" w:right="35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10" Type="http://schemas.openxmlformats.org/officeDocument/2006/relationships/image" Target="media/image1.png"/><Relationship Id="rId11" Type="http://schemas.openxmlformats.org/officeDocument/2006/relationships/image" Target="media/image2.png"/><Relationship Id="rId12" Type="http://schemas.openxmlformats.org/officeDocument/2006/relationships/image" Target="media/image3.png"/><Relationship Id="rId13" Type="http://schemas.openxmlformats.org/officeDocument/2006/relationships/image" Target="media/image4.png"/><Relationship Id="rId8" Type="http://schemas.openxmlformats.org/officeDocument/2006/relationships/hyperlink" Target="http://www.sec.gov/cgi-bin/browse-edgar?action=getcompany&amp;CIK=0001721279" TargetMode="External"/><Relationship Id="rId9" Type="http://schemas.openxmlformats.org/officeDocument/2006/relationships/hyperlink" Target="http://www.sec.gov/cgi-bin/browse-edgar?action=getcompany&amp;CIK=000168006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2023-06-08T20:58:21Z</dcterms:created>
  <dcterms:modified xsi:type="dcterms:W3CDTF">2023-06-08T20:58:21Z</dcterms:modified>
</cp:coreProperties>
</file>