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Feng Lisa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42307 OSGOOD ROAD, SUITE 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72,501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-6240780</wp:posOffset>
            </wp:positionV>
            <wp:extent cx="7045960" cy="62541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fully vested and exercisable.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4"/>
        <w:spacing w:after="0" w:line="254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Due to an administrative error, the reporting person's previous Form 4 filed on March 13, 2023 reflected an incorrect amount of zero for number of derivative securities beneficially owned following reported transaction(s) in Column 9 rather than 22,500. This filing corrects that error.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Financial Officer of ACM Research (Shanghai), Inc., a subsidiary of the Issuer</w:t>
      </w:r>
    </w:p>
    <w:p>
      <w:pPr>
        <w:ind w:left="658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McKechnie,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-27940</wp:posOffset>
            </wp:positionV>
            <wp:extent cx="13595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Lisa Feng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-19050</wp:posOffset>
            </wp:positionV>
            <wp:extent cx="91313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79777" TargetMode="External"/><Relationship Id="rId9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2023-07-05T17:55:09Z</dcterms:created>
  <dcterms:modified xsi:type="dcterms:W3CDTF">2023-07-05T17:55:09Z</dcterms:modified>
</cp:coreProperties>
</file>