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August 7, 2024</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ACM Research,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516" w:right="33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001-38273</w:t>
      </w:r>
    </w:p>
    <w:p>
      <w:pPr>
        <w:spacing w:after="0" w:line="3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7"/>
          <w:szCs w:val="17"/>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94-3290283</w:t>
      </w:r>
    </w:p>
    <w:p>
      <w:pPr>
        <w:spacing w:after="0" w:line="3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i w:val="1"/>
          <w:iCs w:val="1"/>
          <w:color w:val="auto"/>
        </w:rPr>
        <w:t>(IRS Employer Identification No.)</w:t>
      </w:r>
    </w:p>
    <w:p>
      <w:pPr>
        <w:spacing w:after="0" w:line="211" w:lineRule="exact"/>
        <w:rPr>
          <w:sz w:val="24"/>
          <w:szCs w:val="24"/>
          <w:color w:val="auto"/>
        </w:rPr>
      </w:pPr>
    </w:p>
    <w:p>
      <w:pPr>
        <w:sectPr>
          <w:pgSz w:w="11900" w:h="16838" w:orient="portrait"/>
          <w:cols w:equalWidth="0" w:num="3">
            <w:col w:w="3900" w:space="720"/>
            <w:col w:w="2820" w:space="720"/>
            <w:col w:w="3080"/>
          </w:cols>
          <w:pgMar w:left="320" w:top="516" w:right="339" w:bottom="1440" w:gutter="0" w:footer="0" w:header="0"/>
          <w:type w:val="continuous"/>
        </w:sectPr>
      </w:pPr>
    </w:p>
    <w:p>
      <w:pPr>
        <w:spacing w:after="0" w:line="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42307 Osgood Road, Suite I</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Fremont, California</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94539</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16"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445-3700</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439"/>
        </w:trPr>
        <w:tc>
          <w:tcPr>
            <w:tcW w:w="56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8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5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440" w:type="dxa"/>
            <w:vAlign w:val="bottom"/>
          </w:tcPr>
          <w:p>
            <w:pPr>
              <w:spacing w:after="0"/>
              <w:rPr>
                <w:sz w:val="20"/>
                <w:szCs w:val="20"/>
                <w:color w:val="auto"/>
              </w:rPr>
            </w:pPr>
          </w:p>
        </w:tc>
        <w:tc>
          <w:tcPr>
            <w:tcW w:w="1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ACMR</w:t>
            </w:r>
          </w:p>
        </w:tc>
        <w:tc>
          <w:tcPr>
            <w:tcW w:w="440" w:type="dxa"/>
            <w:vAlign w:val="bottom"/>
          </w:tcPr>
          <w:p>
            <w:pPr>
              <w:spacing w:after="0"/>
              <w:rPr>
                <w:sz w:val="20"/>
                <w:szCs w:val="20"/>
                <w:color w:val="auto"/>
              </w:rPr>
            </w:pPr>
          </w:p>
        </w:tc>
        <w:tc>
          <w:tcPr>
            <w:tcW w:w="3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ind w:right="28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7, 2024, we issued a press release announcing financial results for the second quarter of 2024. The full text of the press release is furnished as Exhibit 99.1 hereto and is incorporated herein by reference</w:t>
      </w:r>
      <w:r>
        <w:rPr>
          <w:rFonts w:ascii="Times New Roman" w:cs="Times New Roman" w:eastAsia="Times New Roman" w:hAnsi="Times New Roman"/>
          <w:sz w:val="18"/>
          <w:szCs w:val="18"/>
          <w:i w:val="1"/>
          <w:iCs w:val="1"/>
          <w:color w:val="auto"/>
        </w:rPr>
        <w: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Item 2.02, including the exhibit furnished hereto, is intended to be furnished and shall not be deemed “filed” for purposes of Section 18 of the Securities Exchange Act of 1934 or otherwise subject to the liabilities of that section, nor shall it be deemed incorporated by reference in any filing under the Securities Act of 1933, or the Securities Exchange Act of 1934, except as expressly set forth by specific reference in such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500" w:hanging="492"/>
        <w:spacing w:after="0"/>
        <w:tabs>
          <w:tab w:leader="none" w:pos="5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5" w:lineRule="exact"/>
        <w:rPr>
          <w:sz w:val="20"/>
          <w:szCs w:val="20"/>
          <w:color w:val="auto"/>
        </w:rPr>
      </w:pPr>
    </w:p>
    <w:p>
      <w:pPr>
        <w:ind w:left="140"/>
        <w:spacing w:after="0"/>
        <w:tabs>
          <w:tab w:leader="none" w:pos="570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ind w:left="280"/>
        <w:spacing w:after="0"/>
        <w:tabs>
          <w:tab w:leader="none" w:pos="106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color w:val="auto"/>
        </w:rPr>
        <w:t>Press Release of ACM Research, Inc. dated August 7, 2024</w:t>
      </w:r>
    </w:p>
    <w:p>
      <w:pPr>
        <w:spacing w:after="0" w:line="225" w:lineRule="exact"/>
        <w:rPr>
          <w:sz w:val="20"/>
          <w:szCs w:val="20"/>
          <w:color w:val="auto"/>
        </w:rPr>
      </w:pPr>
    </w:p>
    <w:p>
      <w:pPr>
        <w:ind w:left="300"/>
        <w:spacing w:after="0"/>
        <w:tabs>
          <w:tab w:leader="none" w:pos="10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XBRL document)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ACM RESEARCH,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Mark McKechnie</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7, 2024</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156845</wp:posOffset>
            </wp:positionV>
            <wp:extent cx="720090" cy="4457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09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Reports Second Quarter 2024 Results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FREMONT, Calif., Aug 07, 2024 (Globe Newswire) – ACM Research, Inc. (“ACM”) (NASDAQ: ACMR), a leading supplier of wafer processing solutions for semiconductor and advanced wafer-level packaging applications, today reported financial results for its second quarter ended June 30, 2024.</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 am pleased with our second quarter results. We delivered record revenue, strong profitability and positive cash flow from operations,” said ACM’s President and Chief Executive Officer, Dr. David Wang. “We are benefiting from continued investments by our customers, and market share gains from our existing and new products. I am also thrilled to announce today our new Panel Electrochemical Plating (Ultra ECP ap-p) tool, which we believe positions ACM to participate in the growing demand for AI solutions. Our proprietary horizontal plating enables advanced packaging with sub-micron features on square panels, which is especially applicable to GPUs and high-density high bandwidth memory (HBM). We are also making good progress with our global development activities, and we recently entered into an agreement to purchase a R&amp;D facility with a clean room in Oregon, to expand our U.S. footprint to help accelerate our new customer initiatives.”</w:t>
      </w:r>
    </w:p>
    <w:p>
      <w:pPr>
        <w:spacing w:after="0" w:line="18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Dr. Wang continued, "We have raised our 2024 revenue outlook to reflect continued investments by our customers, market share gains, and strong product cycles for the second half of the year. We have also taken the opportunity to raise our long-term revenue target to $3 billion based on increased confidence in our new product cycles and our international opportunities.”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6"/>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23"/>
        </w:trPr>
        <w:tc>
          <w:tcPr>
            <w:tcW w:w="5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GAAP</w:t>
            </w:r>
          </w:p>
        </w:tc>
        <w:tc>
          <w:tcPr>
            <w:tcW w:w="8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Non-GAAP(1)</w:t>
            </w:r>
          </w:p>
        </w:tc>
        <w:tc>
          <w:tcPr>
            <w:tcW w:w="160" w:type="dxa"/>
            <w:vAlign w:val="bottom"/>
          </w:tcPr>
          <w:p>
            <w:pPr>
              <w:spacing w:after="0"/>
              <w:rPr>
                <w:sz w:val="19"/>
                <w:szCs w:val="19"/>
                <w:color w:val="auto"/>
              </w:rPr>
            </w:pPr>
          </w:p>
        </w:tc>
      </w:tr>
      <w:tr>
        <w:trPr>
          <w:trHeight w:val="223"/>
        </w:trPr>
        <w:tc>
          <w:tcPr>
            <w:tcW w:w="5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9"/>
                <w:szCs w:val="19"/>
                <w:color w:val="auto"/>
              </w:rPr>
            </w:pPr>
          </w:p>
        </w:tc>
      </w:t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60" w:type="dxa"/>
            <w:vAlign w:val="bottom"/>
            <w:gridSpan w:val="6"/>
          </w:tcPr>
          <w:p>
            <w:pPr>
              <w:spacing w:after="0"/>
              <w:rPr>
                <w:sz w:val="20"/>
                <w:szCs w:val="20"/>
                <w:color w:val="auto"/>
              </w:rPr>
            </w:pPr>
            <w:r>
              <w:rPr>
                <w:rFonts w:ascii="Times New Roman" w:cs="Times New Roman" w:eastAsia="Times New Roman" w:hAnsi="Times New Roman"/>
                <w:sz w:val="18"/>
                <w:szCs w:val="18"/>
                <w:i w:val="1"/>
                <w:iCs w:val="1"/>
                <w:color w:val="auto"/>
              </w:rPr>
              <w:t>(dollars in thousands, except EPS)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202,480</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144,577</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202,480</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144,577</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47.5%</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48.2%</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47.6%</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37,593</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30,430</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51,935</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32,447</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ACM Research, Inc.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24,210</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26,825</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37,521</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31,297</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EPS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0.39</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0.45</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0.60</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0.52</w:t>
            </w: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Diluted EPS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0.35</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0.41</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0.55</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0.48</w:t>
            </w: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23"/>
        </w:trPr>
        <w:tc>
          <w:tcPr>
            <w:tcW w:w="5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GAAP</w:t>
            </w:r>
          </w:p>
        </w:tc>
        <w:tc>
          <w:tcPr>
            <w:tcW w:w="9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Non-GAAP(1)</w:t>
            </w:r>
          </w:p>
        </w:tc>
        <w:tc>
          <w:tcPr>
            <w:tcW w:w="160" w:type="dxa"/>
            <w:vAlign w:val="bottom"/>
          </w:tcPr>
          <w:p>
            <w:pPr>
              <w:spacing w:after="0"/>
              <w:rPr>
                <w:sz w:val="19"/>
                <w:szCs w:val="19"/>
                <w:color w:val="auto"/>
              </w:rPr>
            </w:pPr>
          </w:p>
        </w:tc>
      </w:tr>
      <w:tr>
        <w:trPr>
          <w:trHeight w:val="223"/>
        </w:trPr>
        <w:tc>
          <w:tcPr>
            <w:tcW w:w="5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9"/>
                <w:szCs w:val="19"/>
                <w:color w:val="auto"/>
              </w:rPr>
            </w:pPr>
          </w:p>
        </w:tc>
      </w:t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60" w:type="dxa"/>
            <w:vAlign w:val="bottom"/>
            <w:gridSpan w:val="6"/>
          </w:tcPr>
          <w:p>
            <w:pPr>
              <w:spacing w:after="0"/>
              <w:rPr>
                <w:sz w:val="20"/>
                <w:szCs w:val="20"/>
                <w:color w:val="auto"/>
              </w:rPr>
            </w:pPr>
            <w:r>
              <w:rPr>
                <w:rFonts w:ascii="Times New Roman" w:cs="Times New Roman" w:eastAsia="Times New Roman" w:hAnsi="Times New Roman"/>
                <w:sz w:val="18"/>
                <w:szCs w:val="18"/>
                <w:i w:val="1"/>
                <w:iCs w:val="1"/>
                <w:color w:val="auto"/>
              </w:rPr>
              <w:t>(dollars in thousands, except EPS)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354,671</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218,833</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354,671</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218,833</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49.6%</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49.8%</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62,825</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39,292</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91,736</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43,377</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ACM Research, Inc.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41,643</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33,970</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72,118</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41,164</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EPS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0.67</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0.57</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1.17</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0.69</w:t>
            </w: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Diluted EPS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0.61</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0.52</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1.07</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0.63</w:t>
            </w:r>
          </w:p>
        </w:tc>
      </w:tr>
    </w:tbl>
    <w:p>
      <w:pPr>
        <w:spacing w:after="0" w:line="179" w:lineRule="exact"/>
        <w:rPr>
          <w:sz w:val="20"/>
          <w:szCs w:val="20"/>
          <w:color w:val="auto"/>
        </w:rPr>
      </w:pPr>
    </w:p>
    <w:p>
      <w:pPr>
        <w:ind w:left="500" w:right="100" w:hanging="492"/>
        <w:spacing w:after="0" w:line="261"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Reconciliations to U.S. generally accepted accounting principles (“GAAP”) financial measures from non-GAAP financial measures are presented below under “Reconciliation of GAAP to Non-GAAP Financial Measures.” Non-GAAP financial measures exclude stock-based compensation and, with respect to net income (loss) attributable to ACM Research, Inc. and basic and diluted earnings per share, also exclude unrealized gain (loss) on 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Outlook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ACM is increasing its revenue guidance for fiscal year 2024 to a range of $695 million to $735 million from the prior range of $650 million to $725 million. This expectation is based on ACM management’s current assessment of the continuing impact from international trade policy, together with various expected spending scenarios of key customers, supply chain constraints, and the timing of acceptances for first tools under evaluation in the field, among other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Highlights and Recent Announcements</w:t>
      </w:r>
    </w:p>
    <w:p>
      <w:pPr>
        <w:spacing w:after="0" w:line="225" w:lineRule="exact"/>
        <w:rPr>
          <w:sz w:val="20"/>
          <w:szCs w:val="20"/>
          <w:color w:val="auto"/>
        </w:rPr>
      </w:pPr>
    </w:p>
    <w:p>
      <w:pPr>
        <w:ind w:left="340" w:hanging="332"/>
        <w:spacing w:after="0" w:line="28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Shipments. </w:t>
      </w:r>
      <w:r>
        <w:rPr>
          <w:rFonts w:ascii="Times New Roman" w:cs="Times New Roman" w:eastAsia="Times New Roman" w:hAnsi="Times New Roman"/>
          <w:sz w:val="18"/>
          <w:szCs w:val="18"/>
          <w:color w:val="auto"/>
        </w:rPr>
        <w:t>Total shipments in the second quarter of 2024 were $202.5 million, up 32% from the second quarter of 2023. Total shipments include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deliveries for revenue in the quarter and deliveries of first tool systems awaiting customer acceptance for potential revenue in future quarters.</w:t>
      </w:r>
    </w:p>
    <w:p>
      <w:pPr>
        <w:spacing w:after="0" w:line="154"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Introduced New Panel ECP Plating Tool to Strengthen FOPLP Portfolio. </w:t>
      </w:r>
      <w:r>
        <w:rPr>
          <w:rFonts w:ascii="Times New Roman" w:cs="Times New Roman" w:eastAsia="Times New Roman" w:hAnsi="Times New Roman"/>
          <w:sz w:val="18"/>
          <w:szCs w:val="18"/>
          <w:color w:val="auto"/>
        </w:rPr>
        <w:t>ACM introduced its new Panel Electrochemical Plating (Ultra ECP ap-p)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tool designed for fan-out panel-level packaging (FOPLP). This new tool employs a horizontal plating approach and integrates ACM’s proprietary multi-anode technology, achieving uniformity and precision across the entire panel.</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Entered FOPLP Market with Introduction of Ultra C vac-p Flux Cleaning Tool for Chiplets. </w:t>
      </w:r>
      <w:r>
        <w:rPr>
          <w:rFonts w:ascii="Times New Roman" w:cs="Times New Roman" w:eastAsia="Times New Roman" w:hAnsi="Times New Roman"/>
          <w:sz w:val="18"/>
          <w:szCs w:val="18"/>
          <w:color w:val="auto"/>
        </w:rPr>
        <w:t>ACM announced the Ultra C vac-p flux cleaning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tool for fan-out panel-level packaging (FOPLP). Utilizing vacuum technology, the new tool efficiently removes flux residues from chiplet structures. ACM also announced it received a purchase order from a new China semiconductor manufacturer which has been shipped to the customer’s facility in July.</w:t>
      </w:r>
    </w:p>
    <w:p>
      <w:pPr>
        <w:spacing w:after="0" w:line="176"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Received Order from U.S.-based Foundry and Wafer-level packing (WLP) Customer </w:t>
      </w:r>
      <w:r>
        <w:rPr>
          <w:rFonts w:ascii="Times New Roman" w:cs="Times New Roman" w:eastAsia="Times New Roman" w:hAnsi="Times New Roman"/>
          <w:sz w:val="18"/>
          <w:szCs w:val="18"/>
          <w:color w:val="auto"/>
        </w:rPr>
        <w:t>for an advanced packaging tool to be delivered to their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facility in the first half of 2025.</w:t>
      </w:r>
    </w:p>
    <w:p>
      <w:pPr>
        <w:spacing w:after="0" w:line="154"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Entered Agreement to Purchase a Clean Room in Hillsboro Oregon. </w:t>
      </w:r>
      <w:r>
        <w:rPr>
          <w:rFonts w:ascii="Times New Roman" w:cs="Times New Roman" w:eastAsia="Times New Roman" w:hAnsi="Times New Roman"/>
          <w:sz w:val="18"/>
          <w:szCs w:val="18"/>
          <w:color w:val="auto"/>
        </w:rPr>
        <w:t>On July 30, 2024, ACM entered into an agreement to purchase a 39,500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square foot facility, including a 5,200 square foot functional clean room. This facility is intended to replace ACM’s current Oregon facility and further expand R&amp;D and demonstration capability in the U.S. market. The purchase is scheduled to close in the fourth quarter of 2024.</w:t>
      </w:r>
    </w:p>
    <w:p>
      <w:pPr>
        <w:spacing w:after="0" w:line="170"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New General Counsel and Vice President of Corporate Strategy. </w:t>
      </w:r>
      <w:r>
        <w:rPr>
          <w:rFonts w:ascii="Times New Roman" w:cs="Times New Roman" w:eastAsia="Times New Roman" w:hAnsi="Times New Roman"/>
          <w:sz w:val="18"/>
          <w:szCs w:val="18"/>
          <w:color w:val="auto"/>
        </w:rPr>
        <w:t>ACM announced the appointment of Howard Chen as General Counsel and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of Corporate Strategy, effective July 1,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Second Quarter 2024 Financial Summary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Unless otherwise noted, the following figures refer to the second quarter of 2024 and comparisons are with the second quarter of 2023.</w:t>
      </w:r>
    </w:p>
    <w:p>
      <w:pPr>
        <w:spacing w:after="0" w:line="223" w:lineRule="exact"/>
        <w:rPr>
          <w:sz w:val="20"/>
          <w:szCs w:val="20"/>
          <w:color w:val="auto"/>
        </w:rPr>
      </w:pPr>
    </w:p>
    <w:p>
      <w:pPr>
        <w:ind w:left="340" w:hanging="332"/>
        <w:spacing w:after="0" w:line="28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was $202.5 million, up 40%, reflecting higher sales of single wafer cleaning, Tahoe and semi-critical cleaning equipment and ECP (front-end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packaging), furnace and other technologies, partly offset by lower sales of advanced packaging (excluding ECP), services &amp; spares.</w:t>
      </w:r>
    </w:p>
    <w:p>
      <w:pPr>
        <w:spacing w:after="0" w:line="154"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was 47.8% versus 47.5%. Non-GAAP gross margin, which excludes stock-based compensation, was 48.2%% versus 47.6%. Gross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margin exceeded ACM’s long-term business model range of 40% to 45%. ACM expects gross margin to vary from period to period due to a variety of factors, such as product mix, currency impacts and sales volume.</w:t>
      </w:r>
    </w:p>
    <w:p>
      <w:pPr>
        <w:spacing w:after="0" w:line="345" w:lineRule="exact"/>
        <w:rPr>
          <w:rFonts w:ascii="Times New Roman" w:cs="Times New Roman" w:eastAsia="Times New Roman" w:hAnsi="Times New Roman"/>
          <w:sz w:val="18"/>
          <w:szCs w:val="18"/>
          <w:color w:val="auto"/>
        </w:rPr>
      </w:pPr>
    </w:p>
    <w:p>
      <w:pPr>
        <w:ind w:left="5580" w:hanging="76"/>
        <w:spacing w:after="0"/>
        <w:tabs>
          <w:tab w:leader="none" w:pos="558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both"/>
        <w:ind w:left="340" w:hanging="332"/>
        <w:spacing w:after="0" w:line="268"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were $59.2 million, an increase of 55%. Operating expenses as a percentage of revenue increased to 29.2% from 26.4%. Non-GAAP operating expenses, which exclude the effect of stock-based compensation, were $45.6 million, up 25.7%. Non-GAAP operating expenses as a percentage of revenue decreased to 22.5% from 25.1%.</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income </w:t>
      </w:r>
      <w:r>
        <w:rPr>
          <w:rFonts w:ascii="Times New Roman" w:cs="Times New Roman" w:eastAsia="Times New Roman" w:hAnsi="Times New Roman"/>
          <w:sz w:val="18"/>
          <w:szCs w:val="18"/>
          <w:color w:val="auto"/>
        </w:rPr>
        <w:t>was $37.6 million, compared to $30.4 million. Operating margin was 18.6% compared to 21.0%. Non-GAAP operating income,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excludes the effect of stock-based compensation, was $51.9 million, compared to $32.4 million. Non-GAAP operating margin, which excludes stock-based compensation, was 25.6% compared to 22.4%.</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Unrealized gain (loss) on short-term investments </w:t>
      </w:r>
      <w:r>
        <w:rPr>
          <w:rFonts w:ascii="Times New Roman" w:cs="Times New Roman" w:eastAsia="Times New Roman" w:hAnsi="Times New Roman"/>
          <w:sz w:val="18"/>
          <w:szCs w:val="18"/>
          <w:color w:val="auto"/>
        </w:rPr>
        <w:t>was $1.0 million, compared to $(2.5) million. Unrealized gain (loss) reflects the change in market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of the investments by ACM’s principal operating subsidiary, ACM Research (Shanghai), Inc., in short-term investments. The value is marked-to-market quarterly and is excluded in the non-GAAP financial metrics.</w:t>
      </w:r>
    </w:p>
    <w:p>
      <w:pPr>
        <w:spacing w:after="0" w:line="17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Income tax expense </w:t>
      </w:r>
      <w:r>
        <w:rPr>
          <w:rFonts w:ascii="Times New Roman" w:cs="Times New Roman" w:eastAsia="Times New Roman" w:hAnsi="Times New Roman"/>
          <w:sz w:val="18"/>
          <w:szCs w:val="18"/>
          <w:color w:val="auto"/>
        </w:rPr>
        <w:t>was $9.3 million, compared to $7.6 million.</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attributable to ACM Research, Inc. </w:t>
      </w:r>
      <w:r>
        <w:rPr>
          <w:rFonts w:ascii="Times New Roman" w:cs="Times New Roman" w:eastAsia="Times New Roman" w:hAnsi="Times New Roman"/>
          <w:sz w:val="18"/>
          <w:szCs w:val="18"/>
          <w:color w:val="auto"/>
        </w:rPr>
        <w:t>was $24.2 million, compared to $26.8 million. Non-GAAP net income attributable to ACM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Research, Inc., which excludes the effect of stock-based compensation and unrealized gain on short-term investments, was $37.5 million, compared to $31.3 million.</w:t>
      </w:r>
    </w:p>
    <w:p>
      <w:pPr>
        <w:spacing w:after="0" w:line="170" w:lineRule="exact"/>
        <w:rPr>
          <w:rFonts w:ascii="Times New Roman" w:cs="Times New Roman" w:eastAsia="Times New Roman" w:hAnsi="Times New Roman"/>
          <w:sz w:val="18"/>
          <w:szCs w:val="18"/>
          <w:color w:val="auto"/>
        </w:rPr>
      </w:pPr>
    </w:p>
    <w:p>
      <w:pPr>
        <w:ind w:left="340" w:right="20" w:hanging="332"/>
        <w:spacing w:after="0" w:line="28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per diluted share attributable to ACM Research, Inc. </w:t>
      </w:r>
      <w:r>
        <w:rPr>
          <w:rFonts w:ascii="Times New Roman" w:cs="Times New Roman" w:eastAsia="Times New Roman" w:hAnsi="Times New Roman"/>
          <w:sz w:val="18"/>
          <w:szCs w:val="18"/>
          <w:color w:val="auto"/>
        </w:rPr>
        <w:t>was $0.35, compared to $0.41. Non-GAAP net income per diluted share,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excludes the effect of stock-based compensation and unrealized gain on short-term investments, was $0.55, compared to $0.48.</w:t>
      </w:r>
    </w:p>
    <w:p>
      <w:pPr>
        <w:spacing w:after="0" w:line="154"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plus restricted cash and short-term and long-term time deposits were $366.8 million at June 30, 2024, compared to $288.3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at March 31,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Details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conference call to discuss results will be held on Wednesday, August 7, 2024, at 8:00 a.m. Eastern Time (8:00 p.m. China Time). To join the conference call via telephone, participants must use the following link to complete an online registration process. Upon registering, each participant will receive email instructions to access the conference call, including dial-in information and a PIN number allowing access to the conference call. This pre-registration process is designed by the operator to reduce delays due to operator congestion when accessing the live call.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Online Registration: </w:t>
      </w:r>
      <w:r>
        <w:rPr>
          <w:rFonts w:ascii="Times New Roman" w:cs="Times New Roman" w:eastAsia="Times New Roman" w:hAnsi="Times New Roman"/>
          <w:sz w:val="18"/>
          <w:szCs w:val="18"/>
          <w:color w:val="auto"/>
        </w:rPr>
        <w:t>https://register.vevent.com/register/BIcf4dbc584cf54892966d5353590ab648</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who have not pre-registered may join the webcast by accessing the link at ir.acmrcsh.com/events.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live and archived webcast will be available on the Investors section of the ACM website at </w:t>
      </w:r>
      <w:r>
        <w:rPr>
          <w:rFonts w:ascii="Times New Roman" w:cs="Times New Roman" w:eastAsia="Times New Roman" w:hAnsi="Times New Roman"/>
          <w:sz w:val="18"/>
          <w:szCs w:val="18"/>
          <w:u w:val="single" w:color="auto"/>
          <w:color w:val="auto"/>
        </w:rPr>
        <w:t>www.acmrcsh.com.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Use of Non-GAAP Financial Measures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ACM presents non-GAAP gross margin, operating expenses, operating income, net income attributable to ACM Research, Inc. and basic and diluted earnings per share as supplemental measures to GAAP financial measures regarding ACM’s operational performance. These supplemental measures exclude the impact of stock-based compensation, which ACM does not believe is indicative of its core operating results. In addition, non-GAAP net income attributable to ACM Research, Inc. and basic and diluted earnings per share exclude the effect of stock-based compensation and unrealized gain (loss) on short-term investments, which ACM also believes are not indicative of its core operating results. A reconciliation of each non-GAAP financial measure to the most directly comparable GAAP financial measure is provided below under “Reconciliation of GAAP to non-GAAP Financial Measures.”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both"/>
        <w:spacing w:after="0" w:line="261" w:lineRule="auto"/>
        <w:rPr>
          <w:sz w:val="20"/>
          <w:szCs w:val="20"/>
          <w:color w:val="auto"/>
        </w:rPr>
      </w:pPr>
      <w:r>
        <w:rPr>
          <w:rFonts w:ascii="Times New Roman" w:cs="Times New Roman" w:eastAsia="Times New Roman" w:hAnsi="Times New Roman"/>
          <w:sz w:val="18"/>
          <w:szCs w:val="18"/>
          <w:color w:val="auto"/>
        </w:rPr>
        <w:t>ACM believes these non-GAAP financial measures are useful to investors in assessing its operating performance. ACM uses these financial measures internally to evaluate its operating performance and for planning and forecasting of future periods. Financial analysts may focus on and publish both historical results and future projections based on the non-GAAP financial measures. ACM also believes it is in the best interests of investors for ACM to provide this non-GAAP information.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ACM believes these non-GAAP financial measures provide useful supplemental information to investors, there are limitations associated with the use of these non-GAAP financial measures. These non-GAAP financial measures may not be reported by competitors, and they may not be directly comparable to similarly titled measures of other companies due to differences in calculation methodologies. The non-GAAP financial measures are not an alternative to GAAP information and are not meant to be considered in isolation or as a substitute for comparable GAAP financial measures. They should be used only as a supplement to GAAP information and should be considered only in conjunction with ACM’s consolidated financial statements prepared in accordance with GAAP.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statements contained in this press release are not historical facts and may be forward-looking statements within the meaning of the Private Securities Litigation Reform Act of 1995. Words such as “plans,” “expects,” “believes,” “anticipates,” “designed,” and similar words are intended to identify forward-looking statements. Forward-looking statements are based on ACM management’s current expectations and beliefs, and involve a number of risks and uncertainties that are difficult to predict and that could cause actual results to differ materially from those stated or implied by the forward-looking statements. A description of certain of these risks, uncertainties and other matters can be found in filings ACM makes with the U.S. Securities and Exchange Commission, all of which are available at www.sec.gov. Because forward-looking statements involve risks and uncertainties, actual results and events may differ materially from results and events currently expected by ACM. Readers are cautioned not to place undue reliance on these forward-looking statements, which speak only as of the date hereof. ACM undertakes no obligation to publicly update these forward-looking statements to reflect events or circumstances that occur after the date hereof or to reflect any change in its expectations with regard to these forward-looking statements or the occurrence of unanticipated events.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ACM Research, Inc.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ACM develops, manufactures and sells semiconductor process equipment for single-wafer or batch wet cleaning, electroplating, stress-free polishing, vertical furnace processes, Track and PECVD, which are critical to advanced semiconductor device manufacturing and wafer-level packaging. ACM is committed to delivering customized, high performance, cost-effective process solutions that semiconductor manufacturers can use in numerous manufacturing steps to improve productivity and product yield.</w:t>
      </w:r>
    </w:p>
    <w:p>
      <w:pPr>
        <w:spacing w:after="0" w:line="180" w:lineRule="exact"/>
        <w:rPr>
          <w:sz w:val="20"/>
          <w:szCs w:val="20"/>
          <w:color w:val="auto"/>
        </w:rPr>
      </w:pPr>
    </w:p>
    <w:p>
      <w:pPr>
        <w:jc w:val="both"/>
        <w:ind w:firstLine="8"/>
        <w:spacing w:after="0" w:line="266" w:lineRule="auto"/>
        <w:tabs>
          <w:tab w:leader="none" w:pos="1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ACM Research, Inc. ULTRA C and the ACM Research logo are trademarks of ACM Research, Inc. For convenience, these trademarks appear in this press release without ™ symbols, but that practice does not mean that ACM will not assert, to the fullest extent under applicable law, its rights to the trademarks.</w:t>
      </w:r>
    </w:p>
    <w:p>
      <w:pPr>
        <w:spacing w:after="0" w:line="346" w:lineRule="exact"/>
        <w:rPr>
          <w:rFonts w:ascii="Times New Roman" w:cs="Times New Roman" w:eastAsia="Times New Roman" w:hAnsi="Times New Roman"/>
          <w:sz w:val="18"/>
          <w:szCs w:val="18"/>
          <w:color w:val="auto"/>
        </w:rPr>
      </w:pPr>
    </w:p>
    <w:p>
      <w:pPr>
        <w:ind w:left="5580" w:hanging="76"/>
        <w:spacing w:after="0"/>
        <w:tabs>
          <w:tab w:leader="none" w:pos="5580" w:val="left"/>
        </w:tabs>
        <w:numPr>
          <w:ilvl w:val="1"/>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 w:type="dxa"/>
            <w:vAlign w:val="bottom"/>
          </w:tcPr>
          <w:p>
            <w:pPr>
              <w:spacing w:after="0"/>
              <w:rPr>
                <w:sz w:val="17"/>
                <w:szCs w:val="17"/>
                <w:color w:val="auto"/>
              </w:rPr>
            </w:pPr>
          </w:p>
        </w:tc>
        <w:tc>
          <w:tcPr>
            <w:tcW w:w="2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 the United States:</w:t>
            </w:r>
          </w:p>
        </w:tc>
        <w:tc>
          <w:tcPr>
            <w:tcW w:w="86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The Blueshirt Group</w:t>
            </w:r>
          </w:p>
        </w:tc>
      </w:tr>
      <w:tr>
        <w:trPr>
          <w:trHeight w:val="218"/>
        </w:trPr>
        <w:tc>
          <w:tcPr>
            <w:tcW w:w="1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86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Steven C. Pelayo, CFA</w:t>
            </w:r>
          </w:p>
        </w:tc>
      </w:tr>
      <w:tr>
        <w:trPr>
          <w:trHeight w:val="214"/>
        </w:trPr>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(360)808-5154</w:t>
            </w:r>
          </w:p>
        </w:tc>
      </w:tr>
      <w:tr>
        <w:trPr>
          <w:trHeight w:val="236"/>
        </w:trPr>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600" w:type="dxa"/>
            <w:vAlign w:val="bottom"/>
          </w:tcPr>
          <w:p>
            <w:pPr>
              <w:ind w:left="1000"/>
              <w:spacing w:after="0"/>
              <w:rPr>
                <w:sz w:val="20"/>
                <w:szCs w:val="20"/>
                <w:color w:val="auto"/>
              </w:rPr>
            </w:pPr>
            <w:r>
              <w:rPr>
                <w:rFonts w:ascii="Times New Roman" w:cs="Times New Roman" w:eastAsia="Times New Roman" w:hAnsi="Times New Roman"/>
                <w:sz w:val="18"/>
                <w:szCs w:val="18"/>
                <w:i w:val="1"/>
                <w:iCs w:val="1"/>
                <w:color w:val="auto"/>
              </w:rPr>
              <w:t>steven@blueshirtgroup.co</w:t>
            </w:r>
          </w:p>
        </w:tc>
      </w:tr>
      <w:tr>
        <w:trPr>
          <w:trHeight w:val="391"/>
        </w:trPr>
        <w:tc>
          <w:tcPr>
            <w:tcW w:w="160" w:type="dxa"/>
            <w:vAlign w:val="bottom"/>
          </w:tcPr>
          <w:p>
            <w:pPr>
              <w:spacing w:after="0"/>
              <w:rPr>
                <w:sz w:val="24"/>
                <w:szCs w:val="24"/>
                <w:color w:val="auto"/>
              </w:rPr>
            </w:pPr>
          </w:p>
        </w:tc>
        <w:tc>
          <w:tcPr>
            <w:tcW w:w="2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 China:</w:t>
            </w:r>
          </w:p>
        </w:tc>
        <w:tc>
          <w:tcPr>
            <w:tcW w:w="86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The Blueshirt Group Asia</w:t>
            </w:r>
          </w:p>
        </w:tc>
      </w:tr>
      <w:tr>
        <w:trPr>
          <w:trHeight w:val="218"/>
        </w:trPr>
        <w:tc>
          <w:tcPr>
            <w:tcW w:w="1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Gary Dvorchak, CFA</w:t>
            </w:r>
          </w:p>
        </w:tc>
      </w:tr>
      <w:tr>
        <w:trPr>
          <w:trHeight w:val="214"/>
        </w:trPr>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+86 (138) 1079-1480</w:t>
            </w:r>
          </w:p>
        </w:tc>
      </w:tr>
      <w:tr>
        <w:trPr>
          <w:trHeight w:val="236"/>
        </w:trPr>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600" w:type="dxa"/>
            <w:vAlign w:val="bottom"/>
          </w:tcPr>
          <w:p>
            <w:pPr>
              <w:ind w:left="1000"/>
              <w:spacing w:after="0"/>
              <w:rPr>
                <w:sz w:val="20"/>
                <w:szCs w:val="20"/>
                <w:color w:val="auto"/>
              </w:rPr>
            </w:pPr>
            <w:r>
              <w:rPr>
                <w:rFonts w:ascii="Times New Roman" w:cs="Times New Roman" w:eastAsia="Times New Roman" w:hAnsi="Times New Roman"/>
                <w:sz w:val="18"/>
                <w:szCs w:val="18"/>
                <w:i w:val="1"/>
                <w:iCs w:val="1"/>
                <w:color w:val="auto"/>
              </w:rPr>
              <w:t>gary@blueshirtgroup.co</w:t>
            </w:r>
          </w:p>
        </w:tc>
      </w:tr>
      <w:tr>
        <w:trPr>
          <w:trHeight w:val="557"/>
        </w:trPr>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0" w:type="dxa"/>
            <w:vAlign w:val="bottom"/>
          </w:tcPr>
          <w:p>
            <w:pPr>
              <w:ind w:left="2860"/>
              <w:spacing w:after="0"/>
              <w:rPr>
                <w:sz w:val="20"/>
                <w:szCs w:val="20"/>
                <w:color w:val="auto"/>
              </w:rPr>
            </w:pPr>
            <w:r>
              <w:rPr>
                <w:rFonts w:ascii="Times New Roman" w:cs="Times New Roman" w:eastAsia="Times New Roman" w:hAnsi="Times New Roman"/>
                <w:sz w:val="14"/>
                <w:szCs w:val="14"/>
                <w:color w:val="auto"/>
              </w:rPr>
              <w:t>- 5 -</w:t>
            </w:r>
          </w:p>
        </w:tc>
      </w:tr>
      <w:tr>
        <w:trPr>
          <w:trHeight w:val="44"/>
        </w:trPr>
        <w:tc>
          <w:tcPr>
            <w:tcW w:w="1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6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5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Pr>
          <w:p>
            <w:pPr>
              <w:spacing w:after="0"/>
              <w:rPr>
                <w:sz w:val="21"/>
                <w:szCs w:val="21"/>
                <w:color w:val="auto"/>
              </w:rPr>
            </w:pPr>
          </w:p>
        </w:tc>
        <w:tc>
          <w:tcPr>
            <w:tcW w:w="1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196"/>
        </w:trPr>
        <w:tc>
          <w:tcPr>
            <w:tcW w:w="65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50"/>
              <w:spacing w:after="0" w:line="195" w:lineRule="exact"/>
              <w:rPr>
                <w:sz w:val="20"/>
                <w:szCs w:val="20"/>
                <w:color w:val="auto"/>
              </w:rPr>
            </w:pPr>
            <w:r>
              <w:rPr>
                <w:rFonts w:ascii="Times New Roman" w:cs="Times New Roman" w:eastAsia="Times New Roman" w:hAnsi="Times New Roman"/>
                <w:sz w:val="18"/>
                <w:szCs w:val="18"/>
                <w:i w:val="1"/>
                <w:iCs w:val="1"/>
                <w:color w:val="auto"/>
                <w:w w:val="97"/>
              </w:rPr>
              <w:t>(Unaudited)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gridSpan w:val="6"/>
          </w:tcPr>
          <w:p>
            <w:pPr>
              <w:jc w:val="right"/>
              <w:ind w:right="300"/>
              <w:spacing w:after="0"/>
              <w:rPr>
                <w:sz w:val="20"/>
                <w:szCs w:val="20"/>
                <w:color w:val="auto"/>
              </w:rPr>
            </w:pPr>
            <w:r>
              <w:rPr>
                <w:rFonts w:ascii="Times New Roman" w:cs="Times New Roman" w:eastAsia="Times New Roman" w:hAnsi="Times New Roman"/>
                <w:sz w:val="18"/>
                <w:szCs w:val="18"/>
                <w:i w:val="1"/>
                <w:iCs w:val="1"/>
                <w:color w:val="auto"/>
              </w:rPr>
              <w:t>(In thousands, except for per share</w:t>
            </w:r>
          </w:p>
        </w:tc>
        <w:tc>
          <w:tcPr>
            <w:tcW w:w="0" w:type="dxa"/>
            <w:vAlign w:val="bottom"/>
          </w:tcPr>
          <w:p>
            <w:pPr>
              <w:spacing w:after="0"/>
              <w:rPr>
                <w:sz w:val="1"/>
                <w:szCs w:val="1"/>
                <w:color w:val="auto"/>
              </w:rPr>
            </w:pPr>
          </w:p>
        </w:tc>
      </w:tr>
      <w:tr>
        <w:trPr>
          <w:trHeight w:val="236"/>
        </w:trPr>
        <w:tc>
          <w:tcPr>
            <w:tcW w:w="6560" w:type="dxa"/>
            <w:vAlign w:val="bottom"/>
            <w:vMerge w:val="restart"/>
          </w:tcPr>
          <w:p>
            <w:pPr>
              <w:ind w:left="38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i w:val="1"/>
                <w:iCs w:val="1"/>
                <w:color w:val="auto"/>
              </w:rPr>
              <w:t>data)</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560" w:type="dxa"/>
            <w:vAlign w:val="bottom"/>
            <w:vMerge w:val="continue"/>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324,031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182,090</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1,083</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time deposits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27,183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80,524</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19,597</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21,312</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283,186</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53,694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40,065</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602,927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545,395</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Advances to related party</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2,432</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18,594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20,023</w:t>
            </w:r>
          </w:p>
        </w:tc>
        <w:tc>
          <w:tcPr>
            <w:tcW w:w="0" w:type="dxa"/>
            <w:vAlign w:val="bottom"/>
          </w:tcPr>
          <w:p>
            <w:pPr>
              <w:spacing w:after="0"/>
              <w:rPr>
                <w:sz w:val="1"/>
                <w:szCs w:val="1"/>
                <w:color w:val="auto"/>
              </w:rPr>
            </w:pPr>
          </w:p>
        </w:tc>
      </w:tr>
      <w:tr>
        <w:trPr>
          <w:trHeight w:val="27"/>
        </w:trPr>
        <w:tc>
          <w:tcPr>
            <w:tcW w:w="656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1,343,162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1,176,110</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201,848</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Land use right, net</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8,367</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7,026</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2,538</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time deposits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14,656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40,818</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20,898</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20,271</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31,898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27,880</w:t>
            </w: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10,917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6,050</w:t>
            </w:r>
          </w:p>
        </w:tc>
        <w:tc>
          <w:tcPr>
            <w:tcW w:w="0" w:type="dxa"/>
            <w:vAlign w:val="bottom"/>
          </w:tcPr>
          <w:p>
            <w:pPr>
              <w:spacing w:after="0"/>
              <w:rPr>
                <w:sz w:val="1"/>
                <w:szCs w:val="1"/>
                <w:color w:val="auto"/>
              </w:rPr>
            </w:pPr>
          </w:p>
        </w:tc>
      </w:tr>
      <w:tr>
        <w:trPr>
          <w:trHeight w:val="256"/>
        </w:trPr>
        <w:tc>
          <w:tcPr>
            <w:tcW w:w="65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60" w:type="dxa"/>
            <w:vAlign w:val="bottom"/>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1,667,575</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1,490,908</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560" w:type="dxa"/>
            <w:vAlign w:val="bottom"/>
            <w:tcBorders>
              <w:top w:val="single" w:sz="8" w:color="CCEEFF"/>
            </w:tcBorders>
          </w:tcPr>
          <w:p>
            <w:pPr>
              <w:ind w:left="32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6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54,439</w:t>
            </w:r>
          </w:p>
        </w:tc>
        <w:tc>
          <w:tcPr>
            <w:tcW w:w="68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31,335</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borrowings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19,671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6,783</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Related party accounts payable</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18,012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11,407</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141,814</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Advances from customers</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181,368</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3,687</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6,401</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FIN-48 payable</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12,093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12,149</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 and accrued expenses</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114,940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102,951</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2,764</w:t>
            </w:r>
          </w:p>
        </w:tc>
        <w:tc>
          <w:tcPr>
            <w:tcW w:w="0" w:type="dxa"/>
            <w:vAlign w:val="bottom"/>
          </w:tcPr>
          <w:p>
            <w:pPr>
              <w:spacing w:after="0"/>
              <w:rPr>
                <w:sz w:val="1"/>
                <w:szCs w:val="1"/>
                <w:color w:val="auto"/>
              </w:rPr>
            </w:pPr>
          </w:p>
        </w:tc>
      </w:tr>
      <w:tr>
        <w:trPr>
          <w:trHeight w:val="27"/>
        </w:trPr>
        <w:tc>
          <w:tcPr>
            <w:tcW w:w="656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586,170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500,659</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borrowings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70,833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53,952</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4,262</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5,873</w:t>
            </w:r>
          </w:p>
        </w:tc>
        <w:tc>
          <w:tcPr>
            <w:tcW w:w="0" w:type="dxa"/>
            <w:vAlign w:val="bottom"/>
          </w:tcPr>
          <w:p>
            <w:pPr>
              <w:spacing w:after="0"/>
              <w:rPr>
                <w:sz w:val="1"/>
                <w:szCs w:val="1"/>
                <w:color w:val="auto"/>
              </w:rPr>
            </w:pPr>
          </w:p>
        </w:tc>
      </w:tr>
      <w:tr>
        <w:trPr>
          <w:trHeight w:val="27"/>
        </w:trPr>
        <w:tc>
          <w:tcPr>
            <w:tcW w:w="656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6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666,187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564,746</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Common stock</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659,462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629,845</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156,827</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Statutory surplus reserve</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30,060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30,060</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(54,830)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(49,349)</w:t>
            </w:r>
          </w:p>
        </w:tc>
        <w:tc>
          <w:tcPr>
            <w:tcW w:w="0" w:type="dxa"/>
            <w:vAlign w:val="bottom"/>
          </w:tcPr>
          <w:p>
            <w:pPr>
              <w:spacing w:after="0"/>
              <w:rPr>
                <w:sz w:val="1"/>
                <w:szCs w:val="1"/>
                <w:color w:val="auto"/>
              </w:rPr>
            </w:pPr>
          </w:p>
        </w:tc>
      </w:tr>
      <w:tr>
        <w:trPr>
          <w:trHeight w:val="27"/>
        </w:trPr>
        <w:tc>
          <w:tcPr>
            <w:tcW w:w="656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ACM Research, Inc. stockholders’ equity</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833,169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767,390</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158,772</w:t>
            </w:r>
          </w:p>
        </w:tc>
        <w:tc>
          <w:tcPr>
            <w:tcW w:w="0" w:type="dxa"/>
            <w:vAlign w:val="bottom"/>
          </w:tcPr>
          <w:p>
            <w:pPr>
              <w:spacing w:after="0"/>
              <w:rPr>
                <w:sz w:val="1"/>
                <w:szCs w:val="1"/>
                <w:color w:val="auto"/>
              </w:rPr>
            </w:pPr>
          </w:p>
        </w:tc>
      </w:tr>
      <w:tr>
        <w:trPr>
          <w:trHeight w:val="27"/>
        </w:trPr>
        <w:tc>
          <w:tcPr>
            <w:tcW w:w="656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1,001,388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926,162</w:t>
            </w:r>
          </w:p>
        </w:tc>
        <w:tc>
          <w:tcPr>
            <w:tcW w:w="0" w:type="dxa"/>
            <w:vAlign w:val="bottom"/>
          </w:tcPr>
          <w:p>
            <w:pPr>
              <w:spacing w:after="0"/>
              <w:rPr>
                <w:sz w:val="1"/>
                <w:szCs w:val="1"/>
                <w:color w:val="auto"/>
              </w:rPr>
            </w:pPr>
          </w:p>
        </w:tc>
      </w:tr>
      <w:tr>
        <w:trPr>
          <w:trHeight w:val="236"/>
        </w:trPr>
        <w:tc>
          <w:tcPr>
            <w:tcW w:w="65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660" w:type="dxa"/>
            <w:vAlign w:val="bottom"/>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1,667,575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1,490,908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4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20" w:type="dxa"/>
            <w:vAlign w:val="bottom"/>
          </w:tcPr>
          <w:p>
            <w:pPr>
              <w:spacing w:after="0"/>
              <w:rPr>
                <w:sz w:val="21"/>
                <w:szCs w:val="21"/>
                <w:color w:val="auto"/>
              </w:rPr>
            </w:pPr>
          </w:p>
        </w:tc>
        <w:tc>
          <w:tcPr>
            <w:tcW w:w="242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196"/>
        </w:trPr>
        <w:tc>
          <w:tcPr>
            <w:tcW w:w="5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60" w:type="dxa"/>
            <w:vAlign w:val="bottom"/>
            <w:gridSpan w:val="5"/>
          </w:tcPr>
          <w:p>
            <w:pPr>
              <w:jc w:val="right"/>
              <w:ind w:right="1020"/>
              <w:spacing w:after="0" w:line="195" w:lineRule="exact"/>
              <w:rPr>
                <w:sz w:val="20"/>
                <w:szCs w:val="20"/>
                <w:color w:val="auto"/>
              </w:rPr>
            </w:pPr>
            <w:r>
              <w:rPr>
                <w:rFonts w:ascii="Times New Roman" w:cs="Times New Roman" w:eastAsia="Times New Roman" w:hAnsi="Times New Roman"/>
                <w:sz w:val="18"/>
                <w:szCs w:val="18"/>
                <w:i w:val="1"/>
                <w:iCs w:val="1"/>
                <w:color w:val="auto"/>
              </w:rPr>
              <w:t>(Unaudited)</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5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40" w:type="dxa"/>
            <w:vAlign w:val="bottom"/>
            <w:gridSpan w:val="9"/>
          </w:tcPr>
          <w:p>
            <w:pPr>
              <w:jc w:val="right"/>
              <w:spacing w:after="0"/>
              <w:rPr>
                <w:sz w:val="20"/>
                <w:szCs w:val="20"/>
                <w:color w:val="auto"/>
              </w:rPr>
            </w:pPr>
            <w:r>
              <w:rPr>
                <w:rFonts w:ascii="Times New Roman" w:cs="Times New Roman" w:eastAsia="Times New Roman" w:hAnsi="Times New Roman"/>
                <w:sz w:val="18"/>
                <w:szCs w:val="18"/>
                <w:i w:val="1"/>
                <w:iCs w:val="1"/>
                <w:color w:val="auto"/>
              </w:rPr>
              <w:t>( In thousands, except share and per share data)</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202,480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144,577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354,671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218,833</w:t>
            </w:r>
          </w:p>
        </w:tc>
      </w:tr>
      <w:tr>
        <w:trPr>
          <w:trHeight w:val="22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105,696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75,938</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178,766</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110,208</w:t>
            </w:r>
          </w:p>
        </w:tc>
      </w:tr>
      <w:tr>
        <w:trPr>
          <w:trHeight w:val="223"/>
        </w:trPr>
        <w:tc>
          <w:tcPr>
            <w:tcW w:w="54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5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96,784</w:t>
            </w:r>
          </w:p>
        </w:tc>
        <w:tc>
          <w:tcPr>
            <w:tcW w:w="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68,639</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175,905</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108,625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11,439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31,308</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20,776</w:t>
            </w:r>
          </w:p>
        </w:tc>
      </w:tr>
      <w:tr>
        <w:trPr>
          <w:trHeight w:val="216"/>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20,064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49,886</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34,093</w:t>
            </w:r>
          </w:p>
        </w:tc>
      </w:tr>
      <w:tr>
        <w:trPr>
          <w:trHeight w:val="216"/>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6,706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31,886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14,464</w:t>
            </w:r>
          </w:p>
        </w:tc>
      </w:tr>
      <w:tr>
        <w:trPr>
          <w:trHeight w:val="27"/>
        </w:trPr>
        <w:tc>
          <w:tcPr>
            <w:tcW w:w="54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4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59,191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38,209</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113,080</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69,333</w:t>
            </w:r>
          </w:p>
        </w:tc>
      </w:tr>
      <w:tr>
        <w:trPr>
          <w:trHeight w:val="216"/>
        </w:trPr>
        <w:tc>
          <w:tcPr>
            <w:tcW w:w="5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5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37,593</w:t>
            </w: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30,430</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62,825</w:t>
            </w: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39,292</w:t>
            </w: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4,155</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4,131</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(1,715)</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(1,344)</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Realized gain from sale of short-term investments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3,919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273</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7,913</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 (loss) on short-term investments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(2,455)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(1,564)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(3,109)</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3,724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4,437</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2,306</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from equity method investments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3,920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(1,215)</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3,888</w:t>
            </w:r>
          </w:p>
        </w:tc>
      </w:tr>
      <w:tr>
        <w:trPr>
          <w:trHeight w:val="27"/>
        </w:trPr>
        <w:tc>
          <w:tcPr>
            <w:tcW w:w="54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4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40,735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41,235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67,196</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53,077</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(9,336)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(7,638)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(13,705)</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(10,517)</w:t>
            </w:r>
          </w:p>
        </w:tc>
      </w:tr>
      <w:tr>
        <w:trPr>
          <w:trHeight w:val="27"/>
        </w:trPr>
        <w:tc>
          <w:tcPr>
            <w:tcW w:w="54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4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31,399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33,597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53,491</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42,560</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6,772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11,848</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8,590</w:t>
            </w:r>
          </w:p>
        </w:tc>
      </w:tr>
      <w:tr>
        <w:trPr>
          <w:trHeight w:val="27"/>
        </w:trPr>
        <w:tc>
          <w:tcPr>
            <w:tcW w:w="54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4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income attributable to ACM Research, Inc.</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24,210</w:t>
            </w:r>
          </w:p>
        </w:tc>
        <w:tc>
          <w:tcPr>
            <w:tcW w:w="26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26,825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41,643</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33,970</w:t>
            </w:r>
          </w:p>
        </w:tc>
      </w:tr>
      <w:tr>
        <w:trPr>
          <w:trHeight w:val="21"/>
        </w:trPr>
        <w:tc>
          <w:tcPr>
            <w:tcW w:w="5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31,399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33,597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53,491</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42,560</w:t>
            </w:r>
          </w:p>
        </w:tc>
      </w:tr>
      <w:tr>
        <w:trPr>
          <w:trHeight w:val="216"/>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 net of tax</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(35,269)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(6,713)</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(25,846)</w:t>
            </w:r>
          </w:p>
        </w:tc>
      </w:tr>
      <w:tr>
        <w:trPr>
          <w:trHeight w:val="27"/>
        </w:trPr>
        <w:tc>
          <w:tcPr>
            <w:tcW w:w="54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4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(1,672)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46,778</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16,714</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10,616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4,114</w:t>
            </w:r>
          </w:p>
        </w:tc>
      </w:tr>
      <w:tr>
        <w:trPr>
          <w:trHeight w:val="27"/>
        </w:trPr>
        <w:tc>
          <w:tcPr>
            <w:tcW w:w="54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4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ACM Research, Inc.</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24,305</w:t>
            </w:r>
          </w:p>
        </w:tc>
        <w:tc>
          <w:tcPr>
            <w:tcW w:w="26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36,162</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12,600</w:t>
            </w:r>
          </w:p>
        </w:tc>
      </w:tr>
      <w:tr>
        <w:trPr>
          <w:trHeight w:val="21"/>
        </w:trPr>
        <w:tc>
          <w:tcPr>
            <w:tcW w:w="5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ACM Research, Inc. per common share:</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0.67</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0.57</w:t>
            </w:r>
          </w:p>
        </w:tc>
      </w:tr>
      <w:tr>
        <w:trPr>
          <w:trHeight w:val="20"/>
        </w:trPr>
        <w:tc>
          <w:tcPr>
            <w:tcW w:w="54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26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0.52</w:t>
            </w:r>
          </w:p>
        </w:tc>
      </w:tr>
      <w:tr>
        <w:trPr>
          <w:trHeight w:val="20"/>
        </w:trPr>
        <w:tc>
          <w:tcPr>
            <w:tcW w:w="5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5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 outstanding used in computing per share</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amounts:</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62,178,369</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59,898,149</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61,772,776</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59,817,903</w:t>
            </w:r>
          </w:p>
        </w:tc>
      </w:tr>
      <w:tr>
        <w:trPr>
          <w:trHeight w:val="20"/>
        </w:trPr>
        <w:tc>
          <w:tcPr>
            <w:tcW w:w="54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7"/>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67,057,846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64,929,638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66,520,706</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64,968,900</w:t>
            </w:r>
          </w:p>
        </w:tc>
      </w:tr>
      <w:tr>
        <w:trPr>
          <w:trHeight w:val="557"/>
        </w:trPr>
        <w:tc>
          <w:tcPr>
            <w:tcW w:w="5460" w:type="dxa"/>
            <w:vAlign w:val="bottom"/>
          </w:tcPr>
          <w:p>
            <w:pPr>
              <w:spacing w:after="0"/>
              <w:rPr>
                <w:sz w:val="24"/>
                <w:szCs w:val="24"/>
                <w:color w:val="auto"/>
              </w:rPr>
            </w:pPr>
          </w:p>
        </w:tc>
        <w:tc>
          <w:tcPr>
            <w:tcW w:w="520" w:type="dxa"/>
            <w:vAlign w:val="bottom"/>
          </w:tcPr>
          <w:p>
            <w:pPr>
              <w:jc w:val="right"/>
              <w:ind w:right="153"/>
              <w:spacing w:after="0"/>
              <w:rPr>
                <w:sz w:val="20"/>
                <w:szCs w:val="20"/>
                <w:color w:val="auto"/>
              </w:rPr>
            </w:pPr>
            <w:r>
              <w:rPr>
                <w:rFonts w:ascii="Times New Roman" w:cs="Times New Roman" w:eastAsia="Times New Roman" w:hAnsi="Times New Roman"/>
                <w:sz w:val="14"/>
                <w:szCs w:val="14"/>
                <w:color w:val="auto"/>
              </w:rPr>
              <w:t>- 7 -</w:t>
            </w:r>
          </w:p>
        </w:tc>
        <w:tc>
          <w:tcPr>
            <w:tcW w:w="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54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Total Revenue by Product Category and by Region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4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20" w:type="dxa"/>
            <w:vAlign w:val="bottom"/>
          </w:tcPr>
          <w:p>
            <w:pPr>
              <w:spacing w:after="0"/>
              <w:rPr>
                <w:sz w:val="21"/>
                <w:szCs w:val="21"/>
                <w:color w:val="auto"/>
              </w:rPr>
            </w:pPr>
          </w:p>
        </w:tc>
        <w:tc>
          <w:tcPr>
            <w:tcW w:w="242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196"/>
        </w:trPr>
        <w:tc>
          <w:tcPr>
            <w:tcW w:w="5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20" w:type="dxa"/>
            <w:vAlign w:val="bottom"/>
            <w:gridSpan w:val="5"/>
          </w:tcPr>
          <w:p>
            <w:pPr>
              <w:jc w:val="right"/>
              <w:ind w:right="1020"/>
              <w:spacing w:after="0" w:line="195" w:lineRule="exact"/>
              <w:rPr>
                <w:sz w:val="20"/>
                <w:szCs w:val="20"/>
                <w:color w:val="auto"/>
              </w:rPr>
            </w:pPr>
            <w:r>
              <w:rPr>
                <w:rFonts w:ascii="Times New Roman" w:cs="Times New Roman" w:eastAsia="Times New Roman" w:hAnsi="Times New Roman"/>
                <w:sz w:val="18"/>
                <w:szCs w:val="18"/>
                <w:i w:val="1"/>
                <w:iCs w:val="1"/>
                <w:color w:val="auto"/>
              </w:rPr>
              <w:t>(Unaudited)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5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i w:val="1"/>
                <w:iCs w:val="1"/>
                <w:color w:val="auto"/>
              </w:rPr>
              <w:t>($ in thousand)</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Single wafer cleaning, Tahoe and semi-critical cleaning equipment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153,221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112,528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262,691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149,142</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ECP (front-end and packaging), furnace and other technologies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38,962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19,117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64,762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45,715</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Advanced packaging (excluding ECP), services &amp; spares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10,297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12,932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27,218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23,976</w:t>
            </w:r>
          </w:p>
        </w:tc>
      </w:tr>
      <w:tr>
        <w:trPr>
          <w:trHeight w:val="27"/>
        </w:trPr>
        <w:tc>
          <w:tcPr>
            <w:tcW w:w="5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 By Product Category</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202,480</w:t>
            </w:r>
          </w:p>
        </w:tc>
        <w:tc>
          <w:tcPr>
            <w:tcW w:w="24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144,577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354,671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218,833</w:t>
            </w:r>
          </w:p>
        </w:tc>
      </w:tr>
      <w:tr>
        <w:trPr>
          <w:trHeight w:val="20"/>
        </w:trPr>
        <w:tc>
          <w:tcPr>
            <w:tcW w:w="5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3"/>
        </w:trPr>
        <w:tc>
          <w:tcPr>
            <w:tcW w:w="5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4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20" w:type="dxa"/>
            <w:vAlign w:val="bottom"/>
          </w:tcPr>
          <w:p>
            <w:pPr>
              <w:spacing w:after="0"/>
              <w:rPr>
                <w:sz w:val="24"/>
                <w:szCs w:val="24"/>
                <w:color w:val="auto"/>
              </w:rPr>
            </w:pPr>
          </w:p>
        </w:tc>
        <w:tc>
          <w:tcPr>
            <w:tcW w:w="242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Mainland China</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196,835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134,767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348,970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207,226</w:t>
            </w:r>
          </w:p>
        </w:tc>
        <w:tc>
          <w:tcPr>
            <w:tcW w:w="100" w:type="dxa"/>
            <w:vAlign w:val="bottom"/>
            <w:shd w:val="clear" w:color="auto" w:fill="CCEEFF"/>
          </w:tcPr>
          <w:p>
            <w:pPr>
              <w:spacing w:after="0"/>
              <w:rPr>
                <w:sz w:val="18"/>
                <w:szCs w:val="18"/>
                <w:color w:val="auto"/>
              </w:rPr>
            </w:pPr>
          </w:p>
        </w:tc>
      </w:tr>
      <w:tr>
        <w:trPr>
          <w:trHeight w:val="22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Other Regions</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9,810</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5,701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11,607</w:t>
            </w:r>
          </w:p>
        </w:tc>
      </w:tr>
      <w:tr>
        <w:trPr>
          <w:trHeight w:val="223"/>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 By Region</w:t>
            </w:r>
          </w:p>
        </w:tc>
        <w:tc>
          <w:tcPr>
            <w:tcW w:w="820" w:type="dxa"/>
            <w:vAlign w:val="bottom"/>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202,480</w:t>
            </w:r>
          </w:p>
        </w:tc>
        <w:tc>
          <w:tcPr>
            <w:tcW w:w="24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144,577</w:t>
            </w:r>
          </w:p>
        </w:tc>
        <w:tc>
          <w:tcPr>
            <w:tcW w:w="22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354,671</w:t>
            </w:r>
          </w:p>
        </w:tc>
        <w:tc>
          <w:tcPr>
            <w:tcW w:w="2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218,833</w:t>
            </w:r>
          </w:p>
        </w:tc>
        <w:tc>
          <w:tcPr>
            <w:tcW w:w="100" w:type="dxa"/>
            <w:vAlign w:val="bottom"/>
            <w:shd w:val="clear" w:color="auto" w:fill="CCEEFF"/>
          </w:tcPr>
          <w:p>
            <w:pPr>
              <w:spacing w:after="0"/>
              <w:rPr>
                <w:sz w:val="19"/>
                <w:szCs w:val="19"/>
                <w:color w:val="auto"/>
              </w:rPr>
            </w:pPr>
          </w:p>
        </w:tc>
      </w:tr>
      <w:tr>
        <w:trPr>
          <w:trHeight w:val="557"/>
        </w:trPr>
        <w:tc>
          <w:tcPr>
            <w:tcW w:w="516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jc w:val="right"/>
              <w:ind w:right="156"/>
              <w:spacing w:after="0"/>
              <w:rPr>
                <w:sz w:val="20"/>
                <w:szCs w:val="20"/>
                <w:color w:val="auto"/>
              </w:rPr>
            </w:pPr>
            <w:r>
              <w:rPr>
                <w:rFonts w:ascii="Times New Roman" w:cs="Times New Roman" w:eastAsia="Times New Roman" w:hAnsi="Times New Roman"/>
                <w:sz w:val="14"/>
                <w:szCs w:val="14"/>
                <w:color w:val="auto"/>
              </w:rPr>
              <w:t>- 8 -</w:t>
            </w:r>
          </w:p>
        </w:tc>
        <w:tc>
          <w:tcPr>
            <w:tcW w:w="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4"/>
        </w:trPr>
        <w:tc>
          <w:tcPr>
            <w:tcW w:w="5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11" w:name="page12"/>
    <w:bookmarkEnd w:id="11"/>
    <w:p>
      <w:pPr>
        <w:ind w:left="4980"/>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Measures</w:t>
      </w:r>
    </w:p>
    <w:p>
      <w:pPr>
        <w:spacing w:after="0" w:line="20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described under “Use of Non-GAAP Financial Measures” above, ACM presents non-GAAP gross margin, operating expenses, operating income, net income attributable to ACM Research, Inc., and basic and diluted earnings per share as supplemental measures to GAAP financial measures, each of which excludes stock-based compensation (“SBC”) from the equivalent GAAP financial line items. In addition, non-GAAP net income attributable to ACM Research, Inc., and basic and diluted earnings per share exclude unrealized gain (loss) on short-term investments. The following tables reconcile gross margin, operating expenses, operating income, net income attributable to ACM Research, Inc., and basic and diluted earnings per share to the related non-GAAP financial measures: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8"/>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8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8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gridSpan w:val="3"/>
          </w:tcPr>
          <w:p>
            <w:pPr>
              <w:jc w:val="right"/>
              <w:ind w:right="80"/>
              <w:spacing w:after="0" w:line="194" w:lineRule="exact"/>
              <w:rPr>
                <w:sz w:val="20"/>
                <w:szCs w:val="20"/>
                <w:color w:val="auto"/>
              </w:rPr>
            </w:pPr>
            <w:r>
              <w:rPr>
                <w:rFonts w:ascii="Times New Roman" w:cs="Times New Roman" w:eastAsia="Times New Roman" w:hAnsi="Times New Roman"/>
                <w:sz w:val="18"/>
                <w:szCs w:val="18"/>
                <w:b w:val="1"/>
                <w:bCs w:val="1"/>
                <w:color w:val="auto"/>
              </w:rPr>
              <w:t>Other non-</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Adjusted</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3"/>
          </w:tcPr>
          <w:p>
            <w:pPr>
              <w:jc w:val="right"/>
              <w:ind w:right="180"/>
              <w:spacing w:after="0" w:line="194" w:lineRule="exact"/>
              <w:rPr>
                <w:sz w:val="20"/>
                <w:szCs w:val="20"/>
                <w:color w:val="auto"/>
              </w:rPr>
            </w:pPr>
            <w:r>
              <w:rPr>
                <w:rFonts w:ascii="Times New Roman" w:cs="Times New Roman" w:eastAsia="Times New Roman" w:hAnsi="Times New Roman"/>
                <w:sz w:val="18"/>
                <w:szCs w:val="18"/>
                <w:b w:val="1"/>
                <w:bCs w:val="1"/>
                <w:color w:val="auto"/>
              </w:rPr>
              <w:t>Other non-</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Adjusted</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SBC</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operating</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SBC</w:t>
            </w:r>
          </w:p>
        </w:tc>
        <w:tc>
          <w:tcPr>
            <w:tcW w:w="80" w:type="dxa"/>
            <w:vAlign w:val="bottom"/>
          </w:tcPr>
          <w:p>
            <w:pPr>
              <w:spacing w:after="0"/>
              <w:rPr>
                <w:sz w:val="9"/>
                <w:szCs w:val="9"/>
                <w:color w:val="auto"/>
              </w:rPr>
            </w:pP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7"/>
              </w:rPr>
              <w:t>operating</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0" w:type="dxa"/>
            <w:vAlign w:val="bottom"/>
          </w:tcPr>
          <w:p>
            <w:pPr>
              <w:spacing w:after="0"/>
              <w:rPr>
                <w:sz w:val="1"/>
                <w:szCs w:val="1"/>
                <w:color w:val="auto"/>
              </w:rPr>
            </w:pPr>
          </w:p>
        </w:tc>
      </w:tr>
      <w:tr>
        <w:trPr>
          <w:trHeight w:val="108"/>
        </w:trPr>
        <w:tc>
          <w:tcPr>
            <w:tcW w:w="2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(GAAP)</w:t>
            </w: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8"/>
              </w:rPr>
              <w:t>(GAAP)</w:t>
            </w:r>
          </w:p>
        </w:tc>
        <w:tc>
          <w:tcPr>
            <w:tcW w:w="1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GAAP)</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GAAP)</w:t>
            </w:r>
          </w:p>
        </w:tc>
        <w:tc>
          <w:tcPr>
            <w:tcW w:w="0" w:type="dxa"/>
            <w:vAlign w:val="bottom"/>
          </w:tcPr>
          <w:p>
            <w:pPr>
              <w:spacing w:after="0"/>
              <w:rPr>
                <w:sz w:val="1"/>
                <w:szCs w:val="1"/>
                <w:color w:val="auto"/>
              </w:rPr>
            </w:pPr>
          </w:p>
        </w:tc>
      </w:tr>
      <w:tr>
        <w:trPr>
          <w:trHeight w:val="108"/>
        </w:trPr>
        <w:tc>
          <w:tcPr>
            <w:tcW w:w="2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gridSpan w:val="4"/>
            <w:vMerge w:val="continue"/>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gridSpan w:val="2"/>
          </w:tcPr>
          <w:p>
            <w:pPr>
              <w:spacing w:after="0"/>
              <w:rPr>
                <w:sz w:val="2"/>
                <w:szCs w:val="2"/>
                <w:color w:val="auto"/>
              </w:rPr>
            </w:pPr>
          </w:p>
        </w:tc>
        <w:tc>
          <w:tcPr>
            <w:tcW w:w="860" w:type="dxa"/>
            <w:vAlign w:val="bottom"/>
            <w:gridSpan w:val="2"/>
            <w:shd w:val="clear" w:color="auto" w:fill="000000"/>
          </w:tcPr>
          <w:p>
            <w:pPr>
              <w:spacing w:after="0"/>
              <w:rPr>
                <w:sz w:val="2"/>
                <w:szCs w:val="2"/>
                <w:color w:val="auto"/>
              </w:rPr>
            </w:pPr>
          </w:p>
        </w:tc>
        <w:tc>
          <w:tcPr>
            <w:tcW w:w="280" w:type="dxa"/>
            <w:vAlign w:val="bottom"/>
            <w:vMerge w:val="restart"/>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i w:val="1"/>
                <w:iCs w:val="1"/>
                <w:color w:val="auto"/>
              </w:rPr>
              <w:t>(In</w:t>
            </w:r>
          </w:p>
        </w:tc>
        <w:tc>
          <w:tcPr>
            <w:tcW w:w="114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i w:val="1"/>
                <w:iCs w:val="1"/>
                <w:color w:val="auto"/>
                <w:w w:val="80"/>
              </w:rPr>
              <w:t>thousands)</w:t>
            </w:r>
          </w:p>
        </w:tc>
        <w:tc>
          <w:tcPr>
            <w:tcW w:w="2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202,480</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202,480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144,577</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144,577</w:t>
            </w:r>
          </w:p>
        </w:tc>
        <w:tc>
          <w:tcPr>
            <w:tcW w:w="0" w:type="dxa"/>
            <w:vAlign w:val="bottom"/>
          </w:tcPr>
          <w:p>
            <w:pPr>
              <w:spacing w:after="0"/>
              <w:rPr>
                <w:sz w:val="1"/>
                <w:szCs w:val="1"/>
                <w:color w:val="auto"/>
              </w:rPr>
            </w:pPr>
          </w:p>
        </w:tc>
      </w:tr>
      <w:tr>
        <w:trPr>
          <w:trHeight w:val="223"/>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tcPr>
          <w:p>
            <w:pPr>
              <w:spacing w:after="0"/>
              <w:rPr>
                <w:sz w:val="19"/>
                <w:szCs w:val="19"/>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(105,696)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(104,904)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(75,938)</w:t>
            </w:r>
          </w:p>
        </w:tc>
        <w:tc>
          <w:tcPr>
            <w:tcW w:w="18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(75,813)</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96,784</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97,576</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68,639</w:t>
            </w: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68,764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Gross margin</w:t>
            </w:r>
          </w:p>
        </w:tc>
        <w:tc>
          <w:tcPr>
            <w:tcW w:w="10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47.8%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47.5%</w:t>
            </w: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(17,135)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(3,024)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(14,111)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(11,439)</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(11,008)</w:t>
            </w:r>
          </w:p>
        </w:tc>
        <w:tc>
          <w:tcPr>
            <w:tcW w:w="0" w:type="dxa"/>
            <w:vAlign w:val="bottom"/>
          </w:tcPr>
          <w:p>
            <w:pPr>
              <w:spacing w:after="0"/>
              <w:rPr>
                <w:sz w:val="1"/>
                <w:szCs w:val="1"/>
                <w:color w:val="auto"/>
              </w:rPr>
            </w:pPr>
          </w:p>
        </w:tc>
      </w:tr>
      <w:tr>
        <w:trPr>
          <w:trHeight w:val="198"/>
        </w:trPr>
        <w:tc>
          <w:tcPr>
            <w:tcW w:w="220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Research and</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development</w:t>
            </w:r>
          </w:p>
        </w:tc>
        <w:tc>
          <w:tcPr>
            <w:tcW w:w="10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(25,968)</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(4,206)</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(21,762)</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(20,064)</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(709)</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(19,355)</w:t>
            </w:r>
          </w:p>
        </w:tc>
        <w:tc>
          <w:tcPr>
            <w:tcW w:w="0" w:type="dxa"/>
            <w:vAlign w:val="bottom"/>
          </w:tcPr>
          <w:p>
            <w:pPr>
              <w:spacing w:after="0"/>
              <w:rPr>
                <w:sz w:val="1"/>
                <w:szCs w:val="1"/>
                <w:color w:val="auto"/>
              </w:rPr>
            </w:pPr>
          </w:p>
        </w:tc>
      </w:tr>
      <w:tr>
        <w:trPr>
          <w:trHeight w:val="198"/>
        </w:trPr>
        <w:tc>
          <w:tcPr>
            <w:tcW w:w="220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General and</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administrative</w:t>
            </w:r>
          </w:p>
        </w:tc>
        <w:tc>
          <w:tcPr>
            <w:tcW w:w="100" w:type="dxa"/>
            <w:vAlign w:val="bottom"/>
          </w:tcPr>
          <w:p>
            <w:pPr>
              <w:spacing w:after="0"/>
              <w:rPr>
                <w:sz w:val="20"/>
                <w:szCs w:val="20"/>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(16,088)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(6,320)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(9,768)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(6,706)</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(752)</w:t>
            </w:r>
          </w:p>
        </w:tc>
        <w:tc>
          <w:tcPr>
            <w:tcW w:w="8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(5,954)</w:t>
            </w:r>
          </w:p>
        </w:tc>
        <w:tc>
          <w:tcPr>
            <w:tcW w:w="0" w:type="dxa"/>
            <w:vAlign w:val="bottom"/>
          </w:tcPr>
          <w:p>
            <w:pPr>
              <w:spacing w:after="0"/>
              <w:rPr>
                <w:sz w:val="1"/>
                <w:szCs w:val="1"/>
                <w:color w:val="auto"/>
              </w:rPr>
            </w:pPr>
          </w:p>
        </w:tc>
      </w:tr>
      <w:tr>
        <w:trPr>
          <w:trHeight w:val="198"/>
        </w:trPr>
        <w:tc>
          <w:tcPr>
            <w:tcW w:w="220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Total operating</w:t>
            </w: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expenses</w:t>
            </w:r>
          </w:p>
        </w:tc>
        <w:tc>
          <w:tcPr>
            <w:tcW w:w="10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(59,191)</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(13,550)</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(45,641)</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(38,209)</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(1,892)</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(36,317)</w:t>
            </w:r>
          </w:p>
        </w:tc>
        <w:tc>
          <w:tcPr>
            <w:tcW w:w="0" w:type="dxa"/>
            <w:vAlign w:val="bottom"/>
          </w:tcPr>
          <w:p>
            <w:pPr>
              <w:spacing w:after="0"/>
              <w:rPr>
                <w:sz w:val="1"/>
                <w:szCs w:val="1"/>
                <w:color w:val="auto"/>
              </w:rPr>
            </w:pPr>
          </w:p>
        </w:tc>
      </w:tr>
      <w:tr>
        <w:trPr>
          <w:trHeight w:val="198"/>
        </w:trPr>
        <w:tc>
          <w:tcPr>
            <w:tcW w:w="2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Income (loss) from</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37,593</w:t>
            </w:r>
          </w:p>
        </w:tc>
        <w:tc>
          <w:tcPr>
            <w:tcW w:w="180" w:type="dxa"/>
            <w:vAlign w:val="bottom"/>
          </w:tcPr>
          <w:p>
            <w:pPr>
              <w:spacing w:after="0"/>
              <w:rPr>
                <w:sz w:val="20"/>
                <w:szCs w:val="20"/>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(14,342)</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51,935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30,430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(2,017)</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32,447</w:t>
            </w:r>
          </w:p>
        </w:tc>
        <w:tc>
          <w:tcPr>
            <w:tcW w:w="0" w:type="dxa"/>
            <w:vAlign w:val="bottom"/>
          </w:tcPr>
          <w:p>
            <w:pPr>
              <w:spacing w:after="0"/>
              <w:rPr>
                <w:sz w:val="1"/>
                <w:szCs w:val="1"/>
                <w:color w:val="auto"/>
              </w:rPr>
            </w:pPr>
          </w:p>
        </w:tc>
      </w:tr>
      <w:tr>
        <w:trPr>
          <w:trHeight w:val="198"/>
        </w:trPr>
        <w:tc>
          <w:tcPr>
            <w:tcW w:w="220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Unrealized gain (loss)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on short-term</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2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investments</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1,031</w:t>
            </w: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1,031</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(2,455)</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(2,455)</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2200" w:type="dxa"/>
            <w:vAlign w:val="bottom"/>
            <w:tcBorders>
              <w:top w:val="single" w:sz="8" w:color="CCEEFF"/>
            </w:tcBorders>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income (loss)</w:t>
            </w: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attributable to ACM</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Research, Inc.</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24,210</w:t>
            </w:r>
          </w:p>
        </w:tc>
        <w:tc>
          <w:tcPr>
            <w:tcW w:w="180" w:type="dxa"/>
            <w:vAlign w:val="bottom"/>
          </w:tcPr>
          <w:p>
            <w:pPr>
              <w:spacing w:after="0"/>
              <w:rPr>
                <w:sz w:val="20"/>
                <w:szCs w:val="20"/>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(14,342)</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1,031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37,521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26,825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(2,017)</w:t>
            </w:r>
          </w:p>
        </w:tc>
        <w:tc>
          <w:tcPr>
            <w:tcW w:w="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(2,455)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31,297</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EPS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EPS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0.35</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0.55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0.41</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0.48</w:t>
            </w:r>
          </w:p>
        </w:tc>
        <w:tc>
          <w:tcPr>
            <w:tcW w:w="0" w:type="dxa"/>
            <w:vAlign w:val="bottom"/>
          </w:tcPr>
          <w:p>
            <w:pPr>
              <w:spacing w:after="0"/>
              <w:rPr>
                <w:sz w:val="1"/>
                <w:szCs w:val="1"/>
                <w:color w:val="auto"/>
              </w:rPr>
            </w:pPr>
          </w:p>
        </w:tc>
      </w:tr>
      <w:tr>
        <w:trPr>
          <w:trHeight w:val="539"/>
        </w:trPr>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gridSpan w:val="3"/>
          </w:tcPr>
          <w:p>
            <w:pPr>
              <w:jc w:val="right"/>
              <w:ind w:right="670"/>
              <w:spacing w:after="0"/>
              <w:rPr>
                <w:sz w:val="20"/>
                <w:szCs w:val="20"/>
                <w:color w:val="auto"/>
              </w:rPr>
            </w:pPr>
            <w:r>
              <w:rPr>
                <w:rFonts w:ascii="Times New Roman" w:cs="Times New Roman" w:eastAsia="Times New Roman" w:hAnsi="Times New Roman"/>
                <w:sz w:val="14"/>
                <w:szCs w:val="14"/>
                <w:color w:val="auto"/>
              </w:rPr>
              <w:t>- 9 -</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8"/>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8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8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3"/>
          </w:tcPr>
          <w:p>
            <w:pPr>
              <w:jc w:val="right"/>
              <w:ind w:right="100"/>
              <w:spacing w:after="0" w:line="194" w:lineRule="exact"/>
              <w:rPr>
                <w:sz w:val="20"/>
                <w:szCs w:val="20"/>
                <w:color w:val="auto"/>
              </w:rPr>
            </w:pPr>
            <w:r>
              <w:rPr>
                <w:rFonts w:ascii="Times New Roman" w:cs="Times New Roman" w:eastAsia="Times New Roman" w:hAnsi="Times New Roman"/>
                <w:sz w:val="18"/>
                <w:szCs w:val="18"/>
                <w:b w:val="1"/>
                <w:bCs w:val="1"/>
                <w:color w:val="auto"/>
              </w:rPr>
              <w:t>Other non-</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Adjusted</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3"/>
          </w:tcPr>
          <w:p>
            <w:pPr>
              <w:jc w:val="right"/>
              <w:ind w:right="180"/>
              <w:spacing w:after="0" w:line="194" w:lineRule="exact"/>
              <w:rPr>
                <w:sz w:val="20"/>
                <w:szCs w:val="20"/>
                <w:color w:val="auto"/>
              </w:rPr>
            </w:pPr>
            <w:r>
              <w:rPr>
                <w:rFonts w:ascii="Times New Roman" w:cs="Times New Roman" w:eastAsia="Times New Roman" w:hAnsi="Times New Roman"/>
                <w:sz w:val="18"/>
                <w:szCs w:val="18"/>
                <w:b w:val="1"/>
                <w:bCs w:val="1"/>
                <w:color w:val="auto"/>
              </w:rPr>
              <w:t>Other non-</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Adjusted</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SBC</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operating</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SBC</w:t>
            </w:r>
          </w:p>
        </w:tc>
        <w:tc>
          <w:tcPr>
            <w:tcW w:w="80" w:type="dxa"/>
            <w:vAlign w:val="bottom"/>
          </w:tcPr>
          <w:p>
            <w:pPr>
              <w:spacing w:after="0"/>
              <w:rPr>
                <w:sz w:val="9"/>
                <w:szCs w:val="9"/>
                <w:color w:val="auto"/>
              </w:rPr>
            </w:pP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7"/>
              </w:rPr>
              <w:t>operating</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0" w:type="dxa"/>
            <w:vAlign w:val="bottom"/>
          </w:tcPr>
          <w:p>
            <w:pPr>
              <w:spacing w:after="0"/>
              <w:rPr>
                <w:sz w:val="1"/>
                <w:szCs w:val="1"/>
                <w:color w:val="auto"/>
              </w:rPr>
            </w:pPr>
          </w:p>
        </w:tc>
      </w:tr>
      <w:tr>
        <w:trPr>
          <w:trHeight w:val="108"/>
        </w:trPr>
        <w:tc>
          <w:tcPr>
            <w:tcW w:w="2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(GAAP)</w:t>
            </w: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8"/>
              </w:rPr>
              <w:t>(GAAP)</w:t>
            </w:r>
          </w:p>
        </w:tc>
        <w:tc>
          <w:tcPr>
            <w:tcW w:w="1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GAAP)</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GAAP)</w:t>
            </w:r>
          </w:p>
        </w:tc>
        <w:tc>
          <w:tcPr>
            <w:tcW w:w="0" w:type="dxa"/>
            <w:vAlign w:val="bottom"/>
          </w:tcPr>
          <w:p>
            <w:pPr>
              <w:spacing w:after="0"/>
              <w:rPr>
                <w:sz w:val="1"/>
                <w:szCs w:val="1"/>
                <w:color w:val="auto"/>
              </w:rPr>
            </w:pPr>
          </w:p>
        </w:tc>
      </w:tr>
      <w:tr>
        <w:trPr>
          <w:trHeight w:val="108"/>
        </w:trPr>
        <w:tc>
          <w:tcPr>
            <w:tcW w:w="2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gridSpan w:val="2"/>
          </w:tcPr>
          <w:p>
            <w:pPr>
              <w:spacing w:after="0"/>
              <w:rPr>
                <w:sz w:val="2"/>
                <w:szCs w:val="2"/>
                <w:color w:val="auto"/>
              </w:rPr>
            </w:pPr>
          </w:p>
        </w:tc>
        <w:tc>
          <w:tcPr>
            <w:tcW w:w="860" w:type="dxa"/>
            <w:vAlign w:val="bottom"/>
            <w:gridSpan w:val="2"/>
            <w:shd w:val="clear" w:color="auto" w:fill="000000"/>
          </w:tcPr>
          <w:p>
            <w:pPr>
              <w:spacing w:after="0"/>
              <w:rPr>
                <w:sz w:val="2"/>
                <w:szCs w:val="2"/>
                <w:color w:val="auto"/>
              </w:rPr>
            </w:pPr>
          </w:p>
        </w:tc>
        <w:tc>
          <w:tcPr>
            <w:tcW w:w="280" w:type="dxa"/>
            <w:vAlign w:val="bottom"/>
            <w:vMerge w:val="restart"/>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i w:val="1"/>
                <w:iCs w:val="1"/>
                <w:color w:val="auto"/>
              </w:rPr>
              <w:t>(In</w:t>
            </w:r>
          </w:p>
        </w:tc>
        <w:tc>
          <w:tcPr>
            <w:tcW w:w="114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i w:val="1"/>
                <w:iCs w:val="1"/>
                <w:color w:val="auto"/>
                <w:w w:val="80"/>
              </w:rPr>
              <w:t>thousands)</w:t>
            </w:r>
          </w:p>
        </w:tc>
        <w:tc>
          <w:tcPr>
            <w:tcW w:w="2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354,671</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354,671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218,833</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218,833</w:t>
            </w:r>
          </w:p>
        </w:tc>
        <w:tc>
          <w:tcPr>
            <w:tcW w:w="0" w:type="dxa"/>
            <w:vAlign w:val="bottom"/>
          </w:tcPr>
          <w:p>
            <w:pPr>
              <w:spacing w:after="0"/>
              <w:rPr>
                <w:sz w:val="1"/>
                <w:szCs w:val="1"/>
                <w:color w:val="auto"/>
              </w:rPr>
            </w:pPr>
          </w:p>
        </w:tc>
      </w:tr>
      <w:tr>
        <w:trPr>
          <w:trHeight w:val="223"/>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tcPr>
          <w:p>
            <w:pPr>
              <w:spacing w:after="0"/>
              <w:rPr>
                <w:sz w:val="19"/>
                <w:szCs w:val="19"/>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(178,766)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(1,573)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(177,193)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(110,208)</w:t>
            </w:r>
          </w:p>
        </w:tc>
        <w:tc>
          <w:tcPr>
            <w:tcW w:w="18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(109,958)</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175,905</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177,478</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108,625</w:t>
            </w: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108,875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Gross margin</w:t>
            </w:r>
          </w:p>
        </w:tc>
        <w:tc>
          <w:tcPr>
            <w:tcW w:w="10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49.6%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49.6%</w:t>
            </w: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(31,308)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(6,051)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(25,257)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(20,776)</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(862)</w:t>
            </w:r>
          </w:p>
        </w:tc>
        <w:tc>
          <w:tcPr>
            <w:tcW w:w="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(19,914)</w:t>
            </w:r>
          </w:p>
        </w:tc>
        <w:tc>
          <w:tcPr>
            <w:tcW w:w="0" w:type="dxa"/>
            <w:vAlign w:val="bottom"/>
          </w:tcPr>
          <w:p>
            <w:pPr>
              <w:spacing w:after="0"/>
              <w:rPr>
                <w:sz w:val="1"/>
                <w:szCs w:val="1"/>
                <w:color w:val="auto"/>
              </w:rPr>
            </w:pPr>
          </w:p>
        </w:tc>
      </w:tr>
      <w:tr>
        <w:trPr>
          <w:trHeight w:val="198"/>
        </w:trPr>
        <w:tc>
          <w:tcPr>
            <w:tcW w:w="220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Research and</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development</w:t>
            </w:r>
          </w:p>
        </w:tc>
        <w:tc>
          <w:tcPr>
            <w:tcW w:w="10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(49,886)</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(8,709)</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(41,177)</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(34,093)</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(1,410)</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(32,683)</w:t>
            </w:r>
          </w:p>
        </w:tc>
        <w:tc>
          <w:tcPr>
            <w:tcW w:w="0" w:type="dxa"/>
            <w:vAlign w:val="bottom"/>
          </w:tcPr>
          <w:p>
            <w:pPr>
              <w:spacing w:after="0"/>
              <w:rPr>
                <w:sz w:val="1"/>
                <w:szCs w:val="1"/>
                <w:color w:val="auto"/>
              </w:rPr>
            </w:pPr>
          </w:p>
        </w:tc>
      </w:tr>
      <w:tr>
        <w:trPr>
          <w:trHeight w:val="198"/>
        </w:trPr>
        <w:tc>
          <w:tcPr>
            <w:tcW w:w="220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General and</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administrative</w:t>
            </w:r>
          </w:p>
        </w:tc>
        <w:tc>
          <w:tcPr>
            <w:tcW w:w="100" w:type="dxa"/>
            <w:vAlign w:val="bottom"/>
          </w:tcPr>
          <w:p>
            <w:pPr>
              <w:spacing w:after="0"/>
              <w:rPr>
                <w:sz w:val="20"/>
                <w:szCs w:val="20"/>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(31,886)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(12,578)</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(19,308)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(14,464)</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(1,563)</w:t>
            </w:r>
          </w:p>
        </w:tc>
        <w:tc>
          <w:tcPr>
            <w:tcW w:w="8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(12,901)</w:t>
            </w:r>
          </w:p>
        </w:tc>
        <w:tc>
          <w:tcPr>
            <w:tcW w:w="0" w:type="dxa"/>
            <w:vAlign w:val="bottom"/>
          </w:tcPr>
          <w:p>
            <w:pPr>
              <w:spacing w:after="0"/>
              <w:rPr>
                <w:sz w:val="1"/>
                <w:szCs w:val="1"/>
                <w:color w:val="auto"/>
              </w:rPr>
            </w:pPr>
          </w:p>
        </w:tc>
      </w:tr>
      <w:tr>
        <w:trPr>
          <w:trHeight w:val="198"/>
        </w:trPr>
        <w:tc>
          <w:tcPr>
            <w:tcW w:w="220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Total operating</w:t>
            </w: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expenses</w:t>
            </w:r>
          </w:p>
        </w:tc>
        <w:tc>
          <w:tcPr>
            <w:tcW w:w="10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(113,080)</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(27,338)</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(85,742)</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(69,333)</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(3,835)</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(65,498)</w:t>
            </w:r>
          </w:p>
        </w:tc>
        <w:tc>
          <w:tcPr>
            <w:tcW w:w="0" w:type="dxa"/>
            <w:vAlign w:val="bottom"/>
          </w:tcPr>
          <w:p>
            <w:pPr>
              <w:spacing w:after="0"/>
              <w:rPr>
                <w:sz w:val="1"/>
                <w:szCs w:val="1"/>
                <w:color w:val="auto"/>
              </w:rPr>
            </w:pPr>
          </w:p>
        </w:tc>
      </w:tr>
      <w:tr>
        <w:trPr>
          <w:trHeight w:val="198"/>
        </w:trPr>
        <w:tc>
          <w:tcPr>
            <w:tcW w:w="2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Income (loss) from</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62,825</w:t>
            </w:r>
          </w:p>
        </w:tc>
        <w:tc>
          <w:tcPr>
            <w:tcW w:w="180" w:type="dxa"/>
            <w:vAlign w:val="bottom"/>
          </w:tcPr>
          <w:p>
            <w:pPr>
              <w:spacing w:after="0"/>
              <w:rPr>
                <w:sz w:val="20"/>
                <w:szCs w:val="20"/>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(28,911)</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91,736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39,292</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(4,085)</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43,377</w:t>
            </w:r>
          </w:p>
        </w:tc>
        <w:tc>
          <w:tcPr>
            <w:tcW w:w="0" w:type="dxa"/>
            <w:vAlign w:val="bottom"/>
          </w:tcPr>
          <w:p>
            <w:pPr>
              <w:spacing w:after="0"/>
              <w:rPr>
                <w:sz w:val="1"/>
                <w:szCs w:val="1"/>
                <w:color w:val="auto"/>
              </w:rPr>
            </w:pPr>
          </w:p>
        </w:tc>
      </w:tr>
      <w:tr>
        <w:trPr>
          <w:trHeight w:val="198"/>
        </w:trPr>
        <w:tc>
          <w:tcPr>
            <w:tcW w:w="220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Unrealized gain (loss)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on short-term</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2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investments</w:t>
            </w:r>
          </w:p>
        </w:tc>
        <w:tc>
          <w:tcPr>
            <w:tcW w:w="10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(1,564)</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(3,109)</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(3,109)</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2200" w:type="dxa"/>
            <w:vAlign w:val="bottom"/>
            <w:tcBorders>
              <w:top w:val="single" w:sz="8" w:color="CCEEFF"/>
            </w:tcBorders>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income (loss)</w:t>
            </w: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attributable to ACM</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Research, Inc.</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41,643</w:t>
            </w:r>
          </w:p>
        </w:tc>
        <w:tc>
          <w:tcPr>
            <w:tcW w:w="180" w:type="dxa"/>
            <w:vAlign w:val="bottom"/>
          </w:tcPr>
          <w:p>
            <w:pPr>
              <w:spacing w:after="0"/>
              <w:rPr>
                <w:sz w:val="20"/>
                <w:szCs w:val="20"/>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(28,911)</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(1,564)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72,118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33,970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(4,085)</w:t>
            </w:r>
          </w:p>
        </w:tc>
        <w:tc>
          <w:tcPr>
            <w:tcW w:w="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(3,109)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41,164</w:t>
            </w:r>
          </w:p>
        </w:tc>
        <w:tc>
          <w:tcPr>
            <w:tcW w:w="0" w:type="dxa"/>
            <w:vAlign w:val="bottom"/>
          </w:tcPr>
          <w:p>
            <w:pPr>
              <w:spacing w:after="0"/>
              <w:rPr>
                <w:sz w:val="1"/>
                <w:szCs w:val="1"/>
                <w:color w:val="auto"/>
              </w:rPr>
            </w:pPr>
          </w:p>
        </w:tc>
      </w:tr>
      <w:tr>
        <w:trPr>
          <w:trHeight w:val="21"/>
        </w:trPr>
        <w:tc>
          <w:tcPr>
            <w:tcW w:w="2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EPS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EPS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0.61</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0.52</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0.63</w:t>
            </w:r>
          </w:p>
        </w:tc>
        <w:tc>
          <w:tcPr>
            <w:tcW w:w="0" w:type="dxa"/>
            <w:vAlign w:val="bottom"/>
          </w:tcPr>
          <w:p>
            <w:pPr>
              <w:spacing w:after="0"/>
              <w:rPr>
                <w:sz w:val="1"/>
                <w:szCs w:val="1"/>
                <w:color w:val="auto"/>
              </w:rPr>
            </w:pPr>
          </w:p>
        </w:tc>
      </w:tr>
      <w:tr>
        <w:trPr>
          <w:trHeight w:val="579"/>
        </w:trPr>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gridSpan w:val="3"/>
          </w:tcPr>
          <w:p>
            <w:pPr>
              <w:jc w:val="right"/>
              <w:ind w:right="630"/>
              <w:spacing w:after="0"/>
              <w:rPr>
                <w:sz w:val="20"/>
                <w:szCs w:val="20"/>
                <w:color w:val="auto"/>
              </w:rPr>
            </w:pPr>
            <w:r>
              <w:rPr>
                <w:rFonts w:ascii="Times New Roman" w:cs="Times New Roman" w:eastAsia="Times New Roman" w:hAnsi="Times New Roman"/>
                <w:sz w:val="14"/>
                <w:szCs w:val="14"/>
                <w:color w:val="auto"/>
                <w:w w:val="98"/>
              </w:rPr>
              <w:t>- 10 -</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2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2024-08-07T06:14:22Z</dcterms:created>
  <dcterms:modified xsi:type="dcterms:W3CDTF">2024-08-07T06:14:22Z</dcterms:modified>
</cp:coreProperties>
</file>