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 Yue NMN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ACM Research,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ACMR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ACM RESEARCH,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42307 OSGOOD ROAD, SUITE I</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FREMONT CA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94539</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1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32,000</w:t>
            </w:r>
          </w:p>
        </w:tc>
        <w:tc>
          <w:tcPr>
            <w:tcW w:w="260" w:type="dxa"/>
            <w:vAlign w:val="bottom"/>
          </w:tcPr>
          <w:p>
            <w:pPr>
              <w:spacing w:after="0"/>
              <w:rPr>
                <w:sz w:val="22"/>
                <w:szCs w:val="22"/>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0000FF"/>
                <w:w w:val="96"/>
              </w:rPr>
              <w:t>D</w:t>
            </w: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700" w:type="dxa"/>
            <w:vAlign w:val="bottom"/>
            <w:tcBorders>
              <w:bottom w:val="single" w:sz="8" w:color="2C2C2C"/>
            </w:tcBorders>
            <w:gridSpan w:val="4"/>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gridSpan w:val="2"/>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0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6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gridSpan w:val="2"/>
            <w:vMerge w:val="restart"/>
          </w:tcPr>
          <w:p>
            <w:pPr>
              <w:jc w:val="right"/>
              <w:ind w:right="12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960" w:type="dxa"/>
            <w:vAlign w:val="bottom"/>
            <w:gridSpan w:val="3"/>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96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w:t>
            </w:r>
          </w:p>
        </w:tc>
        <w:tc>
          <w:tcPr>
            <w:tcW w:w="96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of</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26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List: 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Mark McKechnie,</w:t>
            </w:r>
          </w:p>
        </w:tc>
        <w:tc>
          <w:tcPr>
            <w:tcW w:w="3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 Yue</w:t>
            </w:r>
          </w:p>
        </w:tc>
        <w:tc>
          <w:tcPr>
            <w:tcW w:w="238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11/06/2026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89"/>
              </w:rPr>
              <w:t>Ma</w:t>
            </w:r>
          </w:p>
        </w:tc>
        <w:tc>
          <w:tcPr>
            <w:tcW w:w="740" w:type="dxa"/>
            <w:vAlign w:val="bottom"/>
            <w:tcBorders>
              <w:top w:val="single" w:sz="8" w:color="auto"/>
            </w:tcBorders>
            <w:gridSpan w:val="2"/>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i w:val="1"/>
          <w:iCs w:val="1"/>
          <w:color w:val="auto"/>
        </w:rPr>
        <w:t>(For Executing 3, 4 and 5 for Filing with the Securities and Exchange Commission)</w:t>
      </w:r>
    </w:p>
    <w:p>
      <w:pPr>
        <w:spacing w:after="0" w:line="238" w:lineRule="exact"/>
        <w:rPr>
          <w:sz w:val="20"/>
          <w:szCs w:val="20"/>
          <w:color w:val="auto"/>
        </w:rPr>
      </w:pPr>
    </w:p>
    <w:p>
      <w:pPr>
        <w:jc w:val="both"/>
        <w:spacing w:after="0" w:line="302" w:lineRule="exact"/>
        <w:rPr>
          <w:sz w:val="20"/>
          <w:szCs w:val="20"/>
          <w:color w:val="auto"/>
        </w:rPr>
      </w:pPr>
      <w:r>
        <w:rPr>
          <w:rFonts w:ascii="Times New Roman" w:cs="Times New Roman" w:eastAsia="Times New Roman" w:hAnsi="Times New Roman"/>
          <w:sz w:val="24"/>
          <w:szCs w:val="24"/>
          <w:color w:val="auto"/>
        </w:rPr>
        <w:t>Know all by these present, that the undersigned hereby constitutes and appoints each of Mark McKechnie of ACM Research, Inc. and Jason C. Dreibelbis of K&amp;L Gates LLP, severally with full power of substitution, as the undersigned’s true and lawful attorneys</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to:</w:t>
      </w:r>
    </w:p>
    <w:p>
      <w:pPr>
        <w:spacing w:after="0" w:line="192" w:lineRule="exact"/>
        <w:rPr>
          <w:sz w:val="20"/>
          <w:szCs w:val="20"/>
          <w:color w:val="auto"/>
        </w:rPr>
      </w:pPr>
    </w:p>
    <w:p>
      <w:pPr>
        <w:jc w:val="both"/>
        <w:ind w:left="360" w:hanging="360"/>
        <w:spacing w:after="0" w:line="242" w:lineRule="auto"/>
        <w:tabs>
          <w:tab w:leader="none" w:pos="3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 from time to time Forms 3, 4 and 5 (including amendments thereto and joint filing agreements in connection therewith) in accordance with Section 16(a) of the Exchange Act and the rules thereunder in the undersigned’s capacity as an officer, director or beneficial owner of more than ten percent of a registered class of securities of various entities (collectively, the “</w:t>
      </w:r>
      <w:r>
        <w:rPr>
          <w:rFonts w:ascii="Times New Roman" w:cs="Times New Roman" w:eastAsia="Times New Roman" w:hAnsi="Times New Roman"/>
          <w:sz w:val="24"/>
          <w:szCs w:val="24"/>
          <w:i w:val="1"/>
          <w:iCs w:val="1"/>
          <w:color w:val="auto"/>
        </w:rPr>
        <w:t>Company</w:t>
      </w:r>
      <w:r>
        <w:rPr>
          <w:rFonts w:ascii="Times New Roman" w:cs="Times New Roman" w:eastAsia="Times New Roman" w:hAnsi="Times New Roman"/>
          <w:sz w:val="24"/>
          <w:szCs w:val="24"/>
          <w:color w:val="auto"/>
        </w:rPr>
        <w:t>”);</w:t>
      </w:r>
    </w:p>
    <w:p>
      <w:pPr>
        <w:spacing w:after="0" w:line="229" w:lineRule="exact"/>
        <w:rPr>
          <w:rFonts w:ascii="Times New Roman" w:cs="Times New Roman" w:eastAsia="Times New Roman" w:hAnsi="Times New Roman"/>
          <w:sz w:val="24"/>
          <w:szCs w:val="24"/>
          <w:color w:val="auto"/>
        </w:rPr>
      </w:pPr>
    </w:p>
    <w:p>
      <w:pPr>
        <w:jc w:val="both"/>
        <w:ind w:left="360" w:hanging="360"/>
        <w:spacing w:after="0" w:line="245" w:lineRule="auto"/>
        <w:tabs>
          <w:tab w:leader="none" w:pos="3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any such Form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left="360" w:hanging="360"/>
        <w:spacing w:after="0" w:line="293" w:lineRule="exact"/>
        <w:tabs>
          <w:tab w:leader="none" w:pos="3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may be of benefit to, in the best interest of, or legally required of the undersigned, it being understood that the documents executed by either attorney-in-fact on behalf of the undersigned pursuant to this Power of Attorney shall be in such form and shall contain such terms and conditions as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may approve in the attorney-in-fact’s discretion.</w:t>
      </w:r>
    </w:p>
    <w:p>
      <w:pPr>
        <w:spacing w:after="0" w:line="150" w:lineRule="exact"/>
        <w:rPr>
          <w:sz w:val="20"/>
          <w:szCs w:val="20"/>
          <w:color w:val="auto"/>
        </w:rPr>
      </w:pPr>
    </w:p>
    <w:p>
      <w:pPr>
        <w:jc w:val="both"/>
        <w:spacing w:after="0" w:line="282" w:lineRule="exact"/>
        <w:rPr>
          <w:sz w:val="20"/>
          <w:szCs w:val="20"/>
          <w:color w:val="auto"/>
        </w:rPr>
      </w:pPr>
      <w:r>
        <w:rPr>
          <w:rFonts w:ascii="Times New Roman" w:cs="Times New Roman" w:eastAsia="Times New Roman" w:hAnsi="Times New Roman"/>
          <w:sz w:val="24"/>
          <w:szCs w:val="24"/>
          <w:color w:val="auto"/>
        </w:rPr>
        <w:t>The undersigned hereby grants to each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severally,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either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or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fact’s substitute or substitutes, shall lawfully do or cause to be done by virtue of this power of attorney and the rights and powers herein granted. The undersigned acknowledges that, in serving in such capacity at the request of the undersigned, neither of the foregoing attorneys-in-fact, or their substitutes, is assuming (nor is the Company assuming) any of the undersigned’s responsibilities to comply with Section 16 of the Exchange Act.</w:t>
      </w:r>
    </w:p>
    <w:p>
      <w:pPr>
        <w:spacing w:after="0" w:line="236" w:lineRule="exact"/>
        <w:rPr>
          <w:sz w:val="20"/>
          <w:szCs w:val="20"/>
          <w:color w:val="auto"/>
        </w:rPr>
      </w:pPr>
    </w:p>
    <w:p>
      <w:pPr>
        <w:jc w:val="both"/>
        <w:spacing w:after="0" w:line="281" w:lineRule="exact"/>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time as of which the undersigned is no longer required to file Forms 3, 4 and 5 with respect to the undersigned’s holdings of and transactions in securities issued by the Company, (b) revocation of this Power of Attorney by the undersigned in a signed writing delivered to the Company and the foregoing attorneys</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and (c) with respect to either attorney-in-fact, the time as of which such attorney-in-fact is no longer affiliated with K&amp;L Gates LLP.</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5,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Yue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19050</wp:posOffset>
            </wp:positionV>
            <wp:extent cx="32683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68345" cy="952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Yue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429260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5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63595" TargetMode="External"/><Relationship Id="rId11"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2026-11-06T20:31:54Z</dcterms:created>
  <dcterms:modified xsi:type="dcterms:W3CDTF">2026-11-06T20:31:54Z</dcterms:modified>
</cp:coreProperties>
</file>