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747,708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710,208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36,481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673,727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672,708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45,837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620,001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1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770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7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7Title.Title Sharesand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9500" w:type="dxa"/>
            <w:vAlign w:val="bottom"/>
            <w:gridSpan w:val="10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sales reported in this Form 4 were effected pursuant to a Rule 10b5-1 trading plan adopted by the reporting person on May 14, 2024, as amended on August 13, 2024.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price reported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in Column 4 is a weighted average price. The shares were sold in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multiple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transactions at prices ranging from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$26.35 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to$27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.00, inclusive. 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reporting person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undertakes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(Instr.4)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to provide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40"/>
        <w:spacing w:after="0" w:line="231" w:lineRule="auto"/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to the Issuer, any security holder of the Issuer, or the staff of the Securities and Exchange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Disposed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Commission, upon request, full information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3and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regarding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4)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the number of shares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Rported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soldat each separate price within the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0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ranges set forth in footnote (2), (3), (4), and (5) to this Form 4.</w:t>
            </w:r>
          </w:p>
        </w:tc>
        <w:tc>
          <w:tcPr>
            <w:tcW w:w="4560" w:type="dxa"/>
            <w:vAlign w:val="bottom"/>
          </w:tcPr>
          <w:p>
            <w:pPr>
              <w:ind w:left="6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</w:tr>
      <w:tr>
        <w:trPr>
          <w:trHeight w:val="107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6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93"/>
        </w:trPr>
        <w:tc>
          <w:tcPr>
            <w:tcW w:w="8560" w:type="dxa"/>
            <w:vAlign w:val="bottom"/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The price reported in Column 4 is a weighted average price. The shares were sold in multiple transactions at prices ranging from $27.05 to $27.97, inclusive.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81"/>
        </w:trPr>
        <w:tc>
          <w:tcPr>
            <w:tcW w:w="4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ind w:left="6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The price reported in Column 4 is a weighted average price. The shares were sold in multiple transactions at prices ranging from $26.64 to $27.62, inclusive.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The price reported in Column 4 is a weighted average price. The shares were sold in multiple transactions at prices ranging from $27.64 to $27.66, inclusive.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4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Chief Executive Officer, President and Director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/s/ Mark McKechnie,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4500" w:type="dxa"/>
            <w:vAlign w:val="bottom"/>
            <w:vMerge w:val="restart"/>
          </w:tcPr>
          <w:p>
            <w:pPr>
              <w:ind w:left="3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 xml:space="preserve">Attorney-in-Fact for David H. </w:t>
            </w: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  <w:highlight w:val="white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4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Wang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2025-03-13T20:40:10Z</dcterms:created>
  <dcterms:modified xsi:type="dcterms:W3CDTF">2025-03-13T20:40:10Z</dcterms:modified>
</cp:coreProperties>
</file>